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6, 2025</w:t>
      </w:r>
    </w:p>
    <w:p>
      <w:pPr>
        <w:spacing w:after="0" w:line="12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62" w:lineRule="exact"/>
        <w:rPr>
          <w:sz w:val="24"/>
          <w:szCs w:val="24"/>
          <w:color w:val="auto"/>
        </w:rPr>
      </w:pPr>
    </w:p>
    <w:tbl>
      <w:tblPr>
        <w:tblLayout w:type="fixed"/>
        <w:tblInd w:w="700" w:type="dxa"/>
        <w:tblCellMar>
          <w:top w:w="0" w:type="dxa"/>
          <w:left w:w="0" w:type="dxa"/>
          <w:bottom w:w="0" w:type="dxa"/>
          <w:right w:w="0" w:type="dxa"/>
        </w:tblCellMar>
      </w:tblPr>
      <w:tr>
        <w:trPr>
          <w:trHeight w:val="235"/>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1601"/>
              <w:spacing w:after="0"/>
              <w:rPr>
                <w:sz w:val="20"/>
                <w:szCs w:val="20"/>
                <w:color w:val="auto"/>
              </w:rPr>
            </w:pPr>
            <w:r>
              <w:rPr>
                <w:rFonts w:ascii="Times New Roman" w:cs="Times New Roman" w:eastAsia="Times New Roman" w:hAnsi="Times New Roman"/>
                <w:sz w:val="18"/>
                <w:szCs w:val="18"/>
                <w:b w:val="1"/>
                <w:bCs w:val="1"/>
                <w:color w:val="auto"/>
              </w:rPr>
              <w:t>01-39323</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46-4233385</w:t>
            </w:r>
          </w:p>
        </w:tc>
        <w:tc>
          <w:tcPr>
            <w:tcW w:w="0" w:type="dxa"/>
            <w:vAlign w:val="bottom"/>
          </w:tcPr>
          <w:p>
            <w:pPr>
              <w:spacing w:after="0"/>
              <w:rPr>
                <w:sz w:val="1"/>
                <w:szCs w:val="1"/>
                <w:color w:val="auto"/>
              </w:rPr>
            </w:pPr>
          </w:p>
        </w:tc>
      </w:tr>
      <w:tr>
        <w:trPr>
          <w:trHeight w:val="138"/>
        </w:trPr>
        <w:tc>
          <w:tcPr>
            <w:tcW w:w="3220" w:type="dxa"/>
            <w:vAlign w:val="bottom"/>
          </w:tcPr>
          <w:p>
            <w:pPr>
              <w:jc w:val="center"/>
              <w:ind w:right="820"/>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81"/>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825 Industrial Road</w:t>
            </w:r>
          </w:p>
        </w:tc>
        <w:tc>
          <w:tcPr>
            <w:tcW w:w="3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20" w:type="dxa"/>
            <w:vAlign w:val="bottom"/>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Suite 300</w:t>
            </w:r>
          </w:p>
        </w:tc>
        <w:tc>
          <w:tcPr>
            <w:tcW w:w="3720" w:type="dxa"/>
            <w:vAlign w:val="bottom"/>
          </w:tcPr>
          <w:p>
            <w:pPr>
              <w:spacing w:after="0"/>
              <w:rPr>
                <w:sz w:val="15"/>
                <w:szCs w:val="15"/>
                <w:color w:val="auto"/>
              </w:rPr>
            </w:pPr>
          </w:p>
        </w:tc>
        <w:tc>
          <w:tcPr>
            <w:tcW w:w="2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94070</w:t>
            </w:r>
          </w:p>
        </w:tc>
        <w:tc>
          <w:tcPr>
            <w:tcW w:w="0" w:type="dxa"/>
            <w:vAlign w:val="bottom"/>
          </w:tcPr>
          <w:p>
            <w:pPr>
              <w:spacing w:after="0"/>
              <w:rPr>
                <w:sz w:val="1"/>
                <w:szCs w:val="1"/>
                <w:color w:val="auto"/>
              </w:rPr>
            </w:pPr>
          </w:p>
        </w:tc>
      </w:tr>
      <w:tr>
        <w:trPr>
          <w:trHeight w:val="240"/>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San Carlos , California</w:t>
            </w:r>
          </w:p>
        </w:tc>
        <w:tc>
          <w:tcPr>
            <w:tcW w:w="37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837-0111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60" w:type="dxa"/>
            <w:vAlign w:val="bottom"/>
          </w:tcPr>
          <w:p>
            <w:pPr>
              <w:spacing w:after="0"/>
              <w:rPr>
                <w:sz w:val="18"/>
                <w:szCs w:val="18"/>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PCVX</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On August 6, 2025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Vaxcyte, Inc. issued a press release announcing its financial results for the quarter ended June 30, 2025. The full text of the press release is furnished as Exhibit 99.1 to this report on Form 8-K and is incorporated herein by reference.</w:t>
      </w:r>
    </w:p>
    <w:p>
      <w:pPr>
        <w:spacing w:after="0" w:line="199"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Item 9.01, including Exhibit 99.1,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0"/>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0" w:type="dxa"/>
            <w:vAlign w:val="bottom"/>
          </w:tcPr>
          <w:p>
            <w:pPr>
              <w:spacing w:after="0"/>
              <w:rPr>
                <w:sz w:val="16"/>
                <w:szCs w:val="16"/>
                <w:color w:val="auto"/>
              </w:rPr>
            </w:pPr>
          </w:p>
        </w:tc>
        <w:tc>
          <w:tcPr>
            <w:tcW w:w="5520" w:type="dxa"/>
            <w:vAlign w:val="bottom"/>
          </w:tcPr>
          <w:p>
            <w:pPr>
              <w:spacing w:after="0"/>
              <w:rPr>
                <w:sz w:val="16"/>
                <w:szCs w:val="16"/>
                <w:color w:val="auto"/>
              </w:rPr>
            </w:pPr>
          </w:p>
        </w:tc>
      </w:tr>
      <w:tr>
        <w:trPr>
          <w:trHeight w:val="23"/>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10"/>
        </w:trPr>
        <w:tc>
          <w:tcPr>
            <w:tcW w:w="182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Vaxcyte, Inc., dated August 6, 2025</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277"/>
        </w:trPr>
        <w:tc>
          <w:tcPr>
            <w:tcW w:w="182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VAXCYTE, INC.</w:t>
      </w:r>
    </w:p>
    <w:p>
      <w:pPr>
        <w:spacing w:after="0" w:line="324" w:lineRule="exact"/>
        <w:rPr>
          <w:sz w:val="20"/>
          <w:szCs w:val="20"/>
          <w:color w:val="auto"/>
        </w:rPr>
      </w:pPr>
    </w:p>
    <w:p>
      <w:pPr>
        <w:ind w:left="20"/>
        <w:spacing w:after="0"/>
        <w:tabs>
          <w:tab w:leader="none" w:pos="680" w:val="left"/>
          <w:tab w:leader="none" w:pos="5560" w:val="left"/>
          <w:tab w:leader="none" w:pos="7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Andrew Guggenhime</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sectPr>
          <w:pgSz w:w="11900" w:h="16838" w:orient="portrait"/>
          <w:cols w:equalWidth="0" w:num="1">
            <w:col w:w="11200"/>
          </w:cols>
          <w:pgMar w:left="320" w:top="103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835025</wp:posOffset>
            </wp:positionV>
            <wp:extent cx="2057400"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140"/>
        <w:spacing w:after="0"/>
        <w:rPr>
          <w:sz w:val="20"/>
          <w:szCs w:val="20"/>
          <w:color w:val="auto"/>
        </w:rPr>
      </w:pPr>
      <w:r>
        <w:rPr>
          <w:rFonts w:ascii="Arial" w:cs="Arial" w:eastAsia="Arial" w:hAnsi="Arial"/>
          <w:sz w:val="19"/>
          <w:szCs w:val="19"/>
          <w:b w:val="1"/>
          <w:bCs w:val="1"/>
          <w:color w:val="auto"/>
        </w:rPr>
        <w:t>Exhibit 99.1</w:t>
      </w:r>
    </w:p>
    <w:p>
      <w:pPr>
        <w:spacing w:after="0" w:line="263"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b w:val="1"/>
          <w:bCs w:val="1"/>
          <w:color w:val="auto"/>
        </w:rPr>
        <w:t>Vaxcyte Reports Second Quarter 2025 Financial Results and Provides Business Update, Highlighting Key Clinical and Regulatory Progress for VAX-31, a Potential Best-in-Class Pneumococcal Conjugate Vaccine (PCV)</w:t>
      </w:r>
    </w:p>
    <w:p>
      <w:pPr>
        <w:spacing w:after="0" w:line="167" w:lineRule="exact"/>
        <w:rPr>
          <w:sz w:val="20"/>
          <w:szCs w:val="20"/>
          <w:color w:val="auto"/>
        </w:rPr>
      </w:pPr>
    </w:p>
    <w:p>
      <w:pPr>
        <w:jc w:val="center"/>
        <w:ind w:left="340" w:right="280"/>
        <w:spacing w:after="0" w:line="243" w:lineRule="auto"/>
        <w:rPr>
          <w:sz w:val="20"/>
          <w:szCs w:val="20"/>
          <w:color w:val="auto"/>
        </w:rPr>
      </w:pPr>
      <w:r>
        <w:rPr>
          <w:rFonts w:ascii="Arial" w:cs="Arial" w:eastAsia="Arial" w:hAnsi="Arial"/>
          <w:sz w:val="22"/>
          <w:szCs w:val="22"/>
          <w:b w:val="1"/>
          <w:bCs w:val="1"/>
          <w:i w:val="1"/>
          <w:iCs w:val="1"/>
          <w:color w:val="auto"/>
        </w:rPr>
        <w:t>Following Interactions with FDA on VAX-31 Adult Program, Including End-of-Phase 2 Meeting, Company Finalizing Phase 3 Clinical Program to Validate VAX-31 as Potential New Standard-of-Care Adult PCV; Pivotal, Non-Inferiority Study Expected to be Initiated in Fourth Quarter of 2025 with Topline Data in 2026</w:t>
      </w:r>
    </w:p>
    <w:p>
      <w:pPr>
        <w:spacing w:after="0" w:line="190" w:lineRule="exact"/>
        <w:rPr>
          <w:sz w:val="20"/>
          <w:szCs w:val="20"/>
          <w:color w:val="auto"/>
        </w:rPr>
      </w:pPr>
    </w:p>
    <w:p>
      <w:pPr>
        <w:jc w:val="center"/>
        <w:ind w:left="340" w:right="300"/>
        <w:spacing w:after="0" w:line="270" w:lineRule="auto"/>
        <w:rPr>
          <w:sz w:val="20"/>
          <w:szCs w:val="20"/>
          <w:color w:val="auto"/>
        </w:rPr>
      </w:pPr>
      <w:r>
        <w:rPr>
          <w:rFonts w:ascii="Arial" w:cs="Arial" w:eastAsia="Arial" w:hAnsi="Arial"/>
          <w:sz w:val="22"/>
          <w:szCs w:val="22"/>
          <w:b w:val="1"/>
          <w:bCs w:val="1"/>
          <w:i w:val="1"/>
          <w:iCs w:val="1"/>
          <w:color w:val="auto"/>
        </w:rPr>
        <w:t>FDA Provided Input on VAX-31 Adult CMC Licensure Requirements Facilitating Progression to Phase 3; Company Plans to Seek Ongoing Input as Program Advances</w:t>
      </w:r>
    </w:p>
    <w:p>
      <w:pPr>
        <w:spacing w:after="0" w:line="160" w:lineRule="exact"/>
        <w:rPr>
          <w:sz w:val="20"/>
          <w:szCs w:val="20"/>
          <w:color w:val="auto"/>
        </w:rPr>
      </w:pPr>
    </w:p>
    <w:p>
      <w:pPr>
        <w:jc w:val="center"/>
        <w:spacing w:after="0" w:line="270" w:lineRule="auto"/>
        <w:rPr>
          <w:sz w:val="20"/>
          <w:szCs w:val="20"/>
          <w:color w:val="auto"/>
        </w:rPr>
      </w:pPr>
      <w:r>
        <w:rPr>
          <w:rFonts w:ascii="Arial" w:cs="Arial" w:eastAsia="Arial" w:hAnsi="Arial"/>
          <w:sz w:val="22"/>
          <w:szCs w:val="22"/>
          <w:b w:val="1"/>
          <w:bCs w:val="1"/>
          <w:i w:val="1"/>
          <w:iCs w:val="1"/>
          <w:color w:val="auto"/>
        </w:rPr>
        <w:t>Company Expects Multiple VAX-31 Adult Phase 3 Program Data Readouts in 2026 and 2027 to Support Biologics License Application Submission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For VAX-31 Pediatric Program, Company Modifies Ongoing Infant Phase 2 Dose-Finding Study to Add a VAX-</w:t>
      </w:r>
    </w:p>
    <w:p>
      <w:pPr>
        <w:jc w:val="center"/>
        <w:spacing w:after="0" w:line="238" w:lineRule="auto"/>
        <w:rPr>
          <w:sz w:val="20"/>
          <w:szCs w:val="20"/>
          <w:color w:val="auto"/>
        </w:rPr>
      </w:pPr>
      <w:r>
        <w:rPr>
          <w:rFonts w:ascii="Arial" w:cs="Arial" w:eastAsia="Arial" w:hAnsi="Arial"/>
          <w:sz w:val="22"/>
          <w:szCs w:val="22"/>
          <w:b w:val="1"/>
          <w:bCs w:val="1"/>
          <w:i w:val="1"/>
          <w:iCs w:val="1"/>
          <w:color w:val="auto"/>
        </w:rPr>
        <w:t>31 Optimized Dose Arm (4.4mcg/3.3mcg) and Discontinues Enrollment of Low Dose Arm; Enrollment in</w:t>
      </w:r>
    </w:p>
    <w:p>
      <w:pPr>
        <w:jc w:val="center"/>
        <w:spacing w:after="0" w:line="230" w:lineRule="auto"/>
        <w:rPr>
          <w:sz w:val="20"/>
          <w:szCs w:val="20"/>
          <w:color w:val="auto"/>
        </w:rPr>
      </w:pPr>
      <w:r>
        <w:rPr>
          <w:rFonts w:ascii="Arial" w:cs="Arial" w:eastAsia="Arial" w:hAnsi="Arial"/>
          <w:sz w:val="22"/>
          <w:szCs w:val="22"/>
          <w:b w:val="1"/>
          <w:bCs w:val="1"/>
          <w:i w:val="1"/>
          <w:iCs w:val="1"/>
          <w:color w:val="auto"/>
        </w:rPr>
        <w:t>Modified Study Expected to Proceed by End of Third Quarter of 2025 with Topline Data from Both Primary</w:t>
      </w:r>
    </w:p>
    <w:p>
      <w:pPr>
        <w:jc w:val="center"/>
        <w:spacing w:after="0" w:line="231" w:lineRule="auto"/>
        <w:rPr>
          <w:sz w:val="20"/>
          <w:szCs w:val="20"/>
          <w:color w:val="auto"/>
        </w:rPr>
      </w:pPr>
      <w:r>
        <w:rPr>
          <w:rFonts w:ascii="Arial" w:cs="Arial" w:eastAsia="Arial" w:hAnsi="Arial"/>
          <w:sz w:val="22"/>
          <w:szCs w:val="22"/>
          <w:b w:val="1"/>
          <w:bCs w:val="1"/>
          <w:i w:val="1"/>
          <w:iCs w:val="1"/>
          <w:color w:val="auto"/>
        </w:rPr>
        <w:t>Immunization Series and Booster Dose by</w:t>
      </w:r>
    </w:p>
    <w:p>
      <w:pPr>
        <w:jc w:val="center"/>
        <w:spacing w:after="0"/>
        <w:rPr>
          <w:sz w:val="20"/>
          <w:szCs w:val="20"/>
          <w:color w:val="auto"/>
        </w:rPr>
      </w:pPr>
      <w:r>
        <w:rPr>
          <w:rFonts w:ascii="Arial" w:cs="Arial" w:eastAsia="Arial" w:hAnsi="Arial"/>
          <w:sz w:val="22"/>
          <w:szCs w:val="22"/>
          <w:b w:val="1"/>
          <w:bCs w:val="1"/>
          <w:i w:val="1"/>
          <w:iCs w:val="1"/>
          <w:color w:val="auto"/>
        </w:rPr>
        <w:t>End of First Half of 2027</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1"/>
          <w:szCs w:val="21"/>
          <w:b w:val="1"/>
          <w:bCs w:val="1"/>
          <w:i w:val="1"/>
          <w:iCs w:val="1"/>
          <w:color w:val="auto"/>
        </w:rPr>
        <w:t>Company Remains Focused on Disciplined Capital Allocation; Streamlining Early-Stage Pipeline to Prioritize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Resources for PCV Programs and Further Extend Cash Runway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Approximately $2.8 Billion in Cash, Cash Equivalents and Investments as of June 30, 2025</w:t>
      </w:r>
    </w:p>
    <w:p>
      <w:pPr>
        <w:spacing w:after="0" w:line="231"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b w:val="1"/>
          <w:bCs w:val="1"/>
          <w:color w:val="auto"/>
        </w:rPr>
        <w:t xml:space="preserve">SAN CARLOS, Calif., August 6, 2025 </w:t>
      </w:r>
      <w:r>
        <w:rPr>
          <w:rFonts w:ascii="Arial" w:cs="Arial" w:eastAsia="Arial" w:hAnsi="Arial"/>
          <w:sz w:val="22"/>
          <w:szCs w:val="22"/>
          <w:color w:val="auto"/>
        </w:rPr>
        <w:t>– Vaxcyte, Inc. (Nasdaq: PCVX), a clinical-stage vaccine innovation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engineering high-fidelity vaccines to protect humankind from the consequences of bacterial diseases, today announced financial results for the second quarter ended June 30, 2025, and provided a business update, highlighting key clinical and regulatory progress for VAX-31, a potential best-in-class pneumococcal conjugate vaccine (PCV).</w:t>
      </w:r>
    </w:p>
    <w:p>
      <w:pPr>
        <w:spacing w:after="0" w:line="206"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“We are laser-focused on advancing the development of VAX-31 in both adults and infants, given its potential to meaningfully elevate the standard-of-care by broadening protection against invasive pneumococcal disease,” said Grant Pickering, Chief Executive Officer and Co-founder of Vaxcyte. “For the adult indication, following a series of interactions with the FDA, including an End-of-Phase 2 meeting, we are finalizing the Phase 3 program, the results of which we believe could validate the best-in-class potential of VAX-31. This work includes final-stage planning for the pivotal, non-inferiority study, which we intend to initiate in the fourth quarter of this year with topline data expected in 2026, consistent with prior readout guidance. We look forward to delivering multiple anticipated Phase 3 data readouts in 2026 and 2027 to support our potential BLA submission for the VAX-31 adult indication. For the infant indication, we have leveraged key</w:t>
      </w:r>
    </w:p>
    <w:p>
      <w:pPr>
        <w:sectPr>
          <w:pgSz w:w="11900" w:h="16838" w:orient="portrait"/>
          <w:cols w:equalWidth="0" w:num="1">
            <w:col w:w="11240"/>
          </w:cols>
          <w:pgMar w:left="320" w:top="1440" w:right="339" w:bottom="1440" w:gutter="0" w:footer="0" w:header="0"/>
        </w:sectPr>
      </w:pPr>
    </w:p>
    <w:bookmarkStart w:id="4" w:name="page5"/>
    <w:bookmarkEnd w:id="4"/>
    <w:p>
      <w:pPr>
        <w:ind w:right="180"/>
        <w:spacing w:after="0" w:line="236" w:lineRule="auto"/>
        <w:rPr>
          <w:sz w:val="20"/>
          <w:szCs w:val="20"/>
          <w:color w:val="auto"/>
        </w:rPr>
      </w:pPr>
      <w:r>
        <w:rPr>
          <w:rFonts w:ascii="Arial" w:cs="Arial" w:eastAsia="Arial" w:hAnsi="Arial"/>
          <w:sz w:val="22"/>
          <w:szCs w:val="22"/>
          <w:color w:val="auto"/>
        </w:rPr>
        <w:t>insights from the robust VAX-24 and VAX-31 data generated to date, as well as our carrier-sparing platform, to support the evaluation of a new, Optimized dose in the ongoing VAX-31 Phase 2 dose-finding study to elicit even stronger immune responses in this population. We expect the modified study to proceed by the end of the third quarter of this year with topline data from both the primary immunogenicity series and the booster dose expected by the end of the first half of 2027. We believe the incorporation of this new, Optimized dose arm, which results in a minor extension to our prior readout timeline, best positions VAX-31 for long-term success.”</w:t>
      </w:r>
    </w:p>
    <w:p>
      <w:pPr>
        <w:spacing w:after="0" w:line="209"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“With a strong balance sheet totaling approximately $2.8 billion in cash, cash equivalents and investments as of the end of the second quarter, we remain focused on advancing VAX-31, our lead candidate and the broadest-spectrum PCV in the clinic today,” said Andrew Guggenhime, President and Chief Financial Officer of Vaxcyte. “In this dynamic macro environment, we continue to take a disciplined approach to capital allocation, directing resources to further extend our cash runway and fully support the continued progress of our PCV programs, including preparation for our planned VAX-31 adult Phase 3 program and pursuit of potential U.S. commercialization. As part of this focused strategy, among other initiatives, we are streamlining activities across our early-stage pipeline while preserving the option to advance promising programs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Second Quarter and Recent Highlights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PCV Program Updates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VAX-31 Adult Program Updates</w:t>
      </w:r>
    </w:p>
    <w:p>
      <w:pPr>
        <w:spacing w:after="0" w:line="222" w:lineRule="exact"/>
        <w:rPr>
          <w:sz w:val="20"/>
          <w:szCs w:val="20"/>
          <w:color w:val="auto"/>
        </w:rPr>
      </w:pPr>
    </w:p>
    <w:p>
      <w:pPr>
        <w:ind w:left="660" w:right="60" w:hanging="328"/>
        <w:spacing w:after="0" w:line="232"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Following Interactions with U.S. Food and Drug Administration (FDA) on VAX-31 Adult Program, Including End-of-Phase 2 Meeting, Company Finalizing Phase 3 Clinical Program to Validate VAX-31 as Potential New Standard-of-Care Adult PCV to Prevent Invasive Pneumococcal Disease (IPD) and Pneumonia: </w:t>
      </w:r>
      <w:r>
        <w:rPr>
          <w:rFonts w:ascii="Arial" w:cs="Arial" w:eastAsia="Arial" w:hAnsi="Arial"/>
          <w:sz w:val="22"/>
          <w:szCs w:val="22"/>
          <w:color w:val="auto"/>
        </w:rPr>
        <w:t>Through a series of interactions with the FDA, including an End-of-Phase 2 meeting, regarding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VAX-31 adult Phase 3 clinical program, the FDA provided input on the adult commercial licensure requirements, including the approximate number of study participants in the Phase 3 program; key immunogenicity and safety endpoints for the pivotal, non-inferiority study; and a continued indication that the scale of the planned immunogenicity and safety assessments are in line with precedent requirements and will be sufficient to support potential licensure. Additionally, as part of ongoing discussions granted under the VAX-31 adult Breakthrough Therapy designation (BTD), the FDA provided input on the chemistry, manufacturing and controls (CMC) licensure requirements in support of the Company’s path to delivering a Biologics License Application (BLA) submission.</w:t>
      </w:r>
    </w:p>
    <w:p>
      <w:pPr>
        <w:spacing w:after="0" w:line="211" w:lineRule="exact"/>
        <w:rPr>
          <w:sz w:val="20"/>
          <w:szCs w:val="20"/>
          <w:color w:val="auto"/>
        </w:rPr>
      </w:pPr>
    </w:p>
    <w:p>
      <w:pPr>
        <w:ind w:left="660"/>
        <w:spacing w:after="0" w:line="235" w:lineRule="auto"/>
        <w:rPr>
          <w:sz w:val="20"/>
          <w:szCs w:val="20"/>
          <w:color w:val="auto"/>
        </w:rPr>
      </w:pPr>
      <w:r>
        <w:rPr>
          <w:rFonts w:ascii="Arial" w:cs="Arial" w:eastAsia="Arial" w:hAnsi="Arial"/>
          <w:sz w:val="22"/>
          <w:szCs w:val="22"/>
          <w:color w:val="auto"/>
        </w:rPr>
        <w:t>The Company is incorporating the FDA’s input to finalize the Phase 3 program designed to validate VAX-31 as the potential new standard-of-care adult PCV. This includes conducting final-stage planning for the pivotal, non-inferiority study, which is expected to be initiated in the fourth quarter of this year, with topline data expected in 2026, consistent with prior readout guidance. Initiation of the remaining Phase 3 studies, which are shorter in duration than the non-inferiority study, is planned for 2025 and 2026. The VAX-31 High dose (all serotypes dosed at 3.3mcg or 4.4mcg) has been selected to advance into Phase 3. Subject to the results of the Phase 3 studies, which are expected to read out in 2026 and 2027, the Company plans to submit a BLA shortly following the completion of the last Phase 3 study.</w:t>
      </w:r>
    </w:p>
    <w:p>
      <w:pPr>
        <w:sectPr>
          <w:pgSz w:w="11900" w:h="16838" w:orient="portrait"/>
          <w:cols w:equalWidth="0" w:num="1">
            <w:col w:w="11240"/>
          </w:cols>
          <w:pgMar w:left="320" w:top="1288" w:right="339" w:bottom="1440" w:gutter="0" w:footer="0" w:header="0"/>
        </w:sectPr>
      </w:pPr>
    </w:p>
    <w:bookmarkStart w:id="5" w:name="page6"/>
    <w:bookmarkEnd w:id="5"/>
    <w:p>
      <w:pPr>
        <w:ind w:left="660" w:right="100" w:hanging="328"/>
        <w:spacing w:after="0" w:line="236"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FDA Expanded VAX-31 Adult BTD to Include Prevention of Pneumonia Caused by Streptococcus Pneumoniae in Addition to IPD: </w:t>
      </w:r>
      <w:r>
        <w:rPr>
          <w:rFonts w:ascii="Arial" w:cs="Arial" w:eastAsia="Arial" w:hAnsi="Arial"/>
          <w:sz w:val="22"/>
          <w:szCs w:val="22"/>
          <w:color w:val="auto"/>
        </w:rPr>
        <w:t>In May 2025, the FDA expanded the adult BTD for VAX-31 to include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prevention of pneumonia in addition to the prevention of IPD based on the positive topline results from the VAX-31 adult Phase 1/2 study, indicating that VAX-31 may demonstrate substantial improvement over existing therapies. The BTD process is designed to expedite the development and review of drugs and biologics that are intended to treat a serious or life-threatening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VAX-31 Infant Program Updates</w:t>
      </w:r>
    </w:p>
    <w:p>
      <w:pPr>
        <w:spacing w:after="0" w:line="222" w:lineRule="exact"/>
        <w:rPr>
          <w:sz w:val="20"/>
          <w:szCs w:val="20"/>
          <w:color w:val="auto"/>
        </w:rPr>
      </w:pPr>
    </w:p>
    <w:p>
      <w:pPr>
        <w:ind w:left="660" w:right="120" w:hanging="328"/>
        <w:spacing w:after="0" w:line="245" w:lineRule="auto"/>
        <w:tabs>
          <w:tab w:leader="none" w:pos="628" w:val="left"/>
        </w:tabs>
        <w:numPr>
          <w:ilvl w:val="0"/>
          <w:numId w:val="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Company Modified Ongoing VAX-31 Infant Phase 2 Dose-Finding Study to Add a VAX-31 Optimized Dose Designed to Elicit Even Stronger Immune Responses in Pediatric Population: </w:t>
      </w:r>
      <w:r>
        <w:rPr>
          <w:rFonts w:ascii="Arial" w:cs="Arial" w:eastAsia="Arial" w:hAnsi="Arial"/>
          <w:sz w:val="21"/>
          <w:szCs w:val="21"/>
          <w:color w:val="auto"/>
        </w:rPr>
        <w:t>The Company has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modified the ongoing VAX-31 infant Phase 2 randomized, dose-finding study to add a new dose arm to evaluate a VAX-31 Optimized dose with the majority of serotypes dosed at 4.4mcg and the balance dosed at 3.3mcg. Both the Middle dose and High dose VAX-31 arms in the study will proceed, while the Company has elected to discontinue enrollment in the Low dose arm. The modified study will evaluate VAX-31 in approximately 900 participants, including the 100 participants previously enrolled in the Low dose arm. Enrollment in the modified study is expected to proceed by the end of the third quarter of this year with topline data from both the primary immunization series and the booster dose by the end of the first half of 2027.</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Early-Stage Pipeline Updates</w:t>
      </w:r>
    </w:p>
    <w:p>
      <w:pPr>
        <w:spacing w:after="0" w:line="235" w:lineRule="exact"/>
        <w:rPr>
          <w:sz w:val="20"/>
          <w:szCs w:val="20"/>
          <w:color w:val="auto"/>
        </w:rPr>
      </w:pPr>
    </w:p>
    <w:p>
      <w:pPr>
        <w:ind w:left="660" w:hanging="328"/>
        <w:spacing w:after="0" w:line="233" w:lineRule="auto"/>
        <w:tabs>
          <w:tab w:leader="none" w:pos="628" w:val="left"/>
        </w:tabs>
        <w:numPr>
          <w:ilvl w:val="0"/>
          <w:numId w:val="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Streamlined Early-Stage Pipeline to Prioritize Resources for PCV Programs: </w:t>
      </w:r>
      <w:r>
        <w:rPr>
          <w:rFonts w:ascii="Arial" w:cs="Arial" w:eastAsia="Arial" w:hAnsi="Arial"/>
          <w:sz w:val="22"/>
          <w:szCs w:val="22"/>
          <w:color w:val="auto"/>
        </w:rPr>
        <w:t>As part of its continued focus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strategic capital deployment, the Company is prioritizing resources toward its PCV franchise. To this end, the Company has paused the advancement, beyond preclinical development, of VAX-A1, a prophylactic vaccine candidate designed to prevent Group A Strep infections, and VAX-GI, a vaccine candidate designed to prevent Shigella, while remaining confident in their potential and preserving the option to advance the programs in the future. Additionally, the Company has discontinued further development of VAX-PG, a therapeutic vaccine candidate designed to slow or stop the progression of periodontal disease. VAX-PG preclinical data demonstrated an acceptable safety profile but not sufficient efficacy signals to warrant further investment.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Leadership Team Appointment</w:t>
      </w:r>
    </w:p>
    <w:p>
      <w:pPr>
        <w:spacing w:after="0" w:line="235" w:lineRule="exact"/>
        <w:rPr>
          <w:sz w:val="20"/>
          <w:szCs w:val="20"/>
          <w:color w:val="auto"/>
        </w:rPr>
      </w:pPr>
    </w:p>
    <w:p>
      <w:pPr>
        <w:ind w:left="660" w:right="40" w:hanging="328"/>
        <w:spacing w:after="0" w:line="238"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Appointed Chief Business and Strategy Officer: </w:t>
      </w:r>
      <w:r>
        <w:rPr>
          <w:rFonts w:ascii="Arial" w:cs="Arial" w:eastAsia="Arial" w:hAnsi="Arial"/>
          <w:sz w:val="22"/>
          <w:szCs w:val="22"/>
          <w:color w:val="auto"/>
        </w:rPr>
        <w:t>In July, Chris Griffith joined Vaxcyte as Chief Business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Strategy Officer. With more than 20 years of experience spanning corporate and business development, portfolio strategy and business operations, Mr. Griffith brings deep expertise to this newly expanded role. His leadership will help ensure strong cross-functional alignment and execution as the Company advances its late-stage programs and prepares for the next phase of growth.</w:t>
      </w:r>
    </w:p>
    <w:p>
      <w:pPr>
        <w:sectPr>
          <w:pgSz w:w="11900" w:h="16838" w:orient="portrait"/>
          <w:cols w:equalWidth="0" w:num="1">
            <w:col w:w="11240"/>
          </w:cols>
          <w:pgMar w:left="320" w:top="128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Anticipated Key PVC Program Milestones</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Vaxcyte is advancing the clinical development of its PCV programs with several anticipated key upcoming milestones: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PVC Franchise Adult Indication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VAX-31</w:t>
      </w:r>
    </w:p>
    <w:p>
      <w:pPr>
        <w:spacing w:after="0" w:line="235" w:lineRule="exact"/>
        <w:rPr>
          <w:sz w:val="20"/>
          <w:szCs w:val="20"/>
          <w:color w:val="auto"/>
        </w:rPr>
      </w:pPr>
    </w:p>
    <w:p>
      <w:pPr>
        <w:ind w:left="660" w:right="520" w:hanging="328"/>
        <w:spacing w:after="0" w:line="233" w:lineRule="auto"/>
        <w:tabs>
          <w:tab w:leader="none" w:pos="628" w:val="left"/>
        </w:tabs>
        <w:numPr>
          <w:ilvl w:val="0"/>
          <w:numId w:val="7"/>
        </w:numPr>
        <w:rPr>
          <w:rFonts w:ascii="Arial" w:cs="Arial" w:eastAsia="Arial" w:hAnsi="Arial"/>
          <w:sz w:val="22"/>
          <w:szCs w:val="22"/>
          <w:color w:val="auto"/>
        </w:rPr>
      </w:pPr>
      <w:r>
        <w:rPr>
          <w:rFonts w:ascii="Arial" w:cs="Arial" w:eastAsia="Arial" w:hAnsi="Arial"/>
          <w:sz w:val="22"/>
          <w:szCs w:val="22"/>
          <w:color w:val="auto"/>
        </w:rPr>
        <w:t>Initiate the Phase 3 pivotal, non-inferiority study in the fourth quarter of 2025 and announce topline safety, tolerability and immunogenicity data in 2026, consistent with prior readout guidance.</w:t>
      </w:r>
    </w:p>
    <w:p>
      <w:pPr>
        <w:spacing w:after="0" w:line="1" w:lineRule="exact"/>
        <w:rPr>
          <w:rFonts w:ascii="Arial" w:cs="Arial" w:eastAsia="Arial" w:hAnsi="Arial"/>
          <w:sz w:val="22"/>
          <w:szCs w:val="22"/>
          <w:color w:val="auto"/>
        </w:rPr>
      </w:pPr>
    </w:p>
    <w:p>
      <w:pPr>
        <w:ind w:left="660" w:right="100" w:hanging="328"/>
        <w:spacing w:after="0"/>
        <w:tabs>
          <w:tab w:leader="none" w:pos="628" w:val="left"/>
        </w:tabs>
        <w:numPr>
          <w:ilvl w:val="0"/>
          <w:numId w:val="7"/>
        </w:numPr>
        <w:rPr>
          <w:rFonts w:ascii="Arial" w:cs="Arial" w:eastAsia="Arial" w:hAnsi="Arial"/>
          <w:sz w:val="22"/>
          <w:szCs w:val="22"/>
          <w:color w:val="auto"/>
        </w:rPr>
      </w:pPr>
      <w:r>
        <w:rPr>
          <w:rFonts w:ascii="Arial" w:cs="Arial" w:eastAsia="Arial" w:hAnsi="Arial"/>
          <w:sz w:val="22"/>
          <w:szCs w:val="22"/>
          <w:color w:val="auto"/>
        </w:rPr>
        <w:t>Initiate remaining Phase 3 studies in 2025 and 2026 and announce data from these studies in 2026 and 2027, consistent with prior guidance.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PCV Franchise Infant Indication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VAX-24</w:t>
      </w:r>
    </w:p>
    <w:p>
      <w:pPr>
        <w:spacing w:after="0" w:line="235" w:lineRule="exact"/>
        <w:rPr>
          <w:sz w:val="20"/>
          <w:szCs w:val="20"/>
          <w:color w:val="auto"/>
        </w:rPr>
      </w:pPr>
    </w:p>
    <w:p>
      <w:pPr>
        <w:ind w:left="660" w:right="260" w:hanging="328"/>
        <w:spacing w:after="0" w:line="245" w:lineRule="auto"/>
        <w:tabs>
          <w:tab w:leader="none" w:pos="628" w:val="left"/>
        </w:tabs>
        <w:numPr>
          <w:ilvl w:val="0"/>
          <w:numId w:val="8"/>
        </w:numPr>
        <w:rPr>
          <w:rFonts w:ascii="Arial" w:cs="Arial" w:eastAsia="Arial" w:hAnsi="Arial"/>
          <w:sz w:val="22"/>
          <w:szCs w:val="22"/>
          <w:color w:val="auto"/>
        </w:rPr>
      </w:pPr>
      <w:r>
        <w:rPr>
          <w:rFonts w:ascii="Arial" w:cs="Arial" w:eastAsia="Arial" w:hAnsi="Arial"/>
          <w:sz w:val="22"/>
          <w:szCs w:val="22"/>
          <w:color w:val="auto"/>
        </w:rPr>
        <w:t>Announce the balance of the VAX-24 Phase 2 dose-finding study data, including final safety data, full post-dose 3 opsonophagocytic assay (OPA) data, and full post-dose 4 immunoglobulin G (IgG) and OPA data, by the end of 2025.</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VAX-31</w:t>
      </w:r>
    </w:p>
    <w:p>
      <w:pPr>
        <w:spacing w:after="0" w:line="235" w:lineRule="exact"/>
        <w:rPr>
          <w:sz w:val="20"/>
          <w:szCs w:val="20"/>
          <w:color w:val="auto"/>
        </w:rPr>
      </w:pPr>
    </w:p>
    <w:p>
      <w:pPr>
        <w:ind w:left="620" w:hanging="288"/>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Proceed with the modified Phase 2 randomized, dose-finding study by the end of the third quarter of 2025.</w:t>
      </w:r>
    </w:p>
    <w:p>
      <w:pPr>
        <w:spacing w:after="0" w:line="10" w:lineRule="exact"/>
        <w:rPr>
          <w:rFonts w:ascii="Arial" w:cs="Arial" w:eastAsia="Arial" w:hAnsi="Arial"/>
          <w:sz w:val="22"/>
          <w:szCs w:val="22"/>
          <w:color w:val="auto"/>
        </w:rPr>
      </w:pPr>
    </w:p>
    <w:p>
      <w:pPr>
        <w:ind w:left="660" w:right="160" w:hanging="328"/>
        <w:spacing w:after="0" w:line="232" w:lineRule="auto"/>
        <w:tabs>
          <w:tab w:leader="none" w:pos="628" w:val="left"/>
        </w:tabs>
        <w:numPr>
          <w:ilvl w:val="0"/>
          <w:numId w:val="9"/>
        </w:numPr>
        <w:rPr>
          <w:rFonts w:ascii="Arial" w:cs="Arial" w:eastAsia="Arial" w:hAnsi="Arial"/>
          <w:sz w:val="22"/>
          <w:szCs w:val="22"/>
          <w:color w:val="auto"/>
        </w:rPr>
      </w:pPr>
      <w:r>
        <w:rPr>
          <w:rFonts w:ascii="Arial" w:cs="Arial" w:eastAsia="Arial" w:hAnsi="Arial"/>
          <w:sz w:val="22"/>
          <w:szCs w:val="22"/>
          <w:color w:val="auto"/>
        </w:rPr>
        <w:t>Announce topline safety, tolerability and immunogenicity data for the Phase 2 randomized, dose-finding study from both the primary three-dose immunization series and booster dose by the end of the first half of 2027, representing a minor extension to prior readout guidance.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Upcoming Investor Conferences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Company management will participate in the following upcoming investor conferences.</w:t>
      </w:r>
    </w:p>
    <w:p>
      <w:pPr>
        <w:spacing w:after="0" w:line="231" w:lineRule="exact"/>
        <w:rPr>
          <w:sz w:val="20"/>
          <w:szCs w:val="20"/>
          <w:color w:val="auto"/>
        </w:rPr>
      </w:pPr>
    </w:p>
    <w:p>
      <w:pPr>
        <w:ind w:left="660" w:right="760" w:hanging="328"/>
        <w:spacing w:after="0"/>
        <w:tabs>
          <w:tab w:leader="none" w:pos="628"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 xml:space="preserve">Cantor Global Healthcare Conference, September 3-5, 2025: </w:t>
      </w:r>
      <w:r>
        <w:rPr>
          <w:rFonts w:ascii="Arial" w:cs="Arial" w:eastAsia="Arial" w:hAnsi="Arial"/>
          <w:sz w:val="22"/>
          <w:szCs w:val="22"/>
          <w:color w:val="auto"/>
        </w:rPr>
        <w:t>Fireside chat will take place live 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Wednesday, September 3 at 11:45 a.m. PT / 2:45 p.m. ET. The fireside chat webcast will be accessible through the Investors &amp; Media section of the Company’s website at </w:t>
      </w:r>
      <w:r>
        <w:rPr>
          <w:rFonts w:ascii="Arial" w:cs="Arial" w:eastAsia="Arial" w:hAnsi="Arial"/>
          <w:sz w:val="22"/>
          <w:szCs w:val="22"/>
          <w:color w:val="0000FF"/>
        </w:rPr>
        <w:t>http://investors.vaxcyte.com</w:t>
      </w:r>
      <w:r>
        <w:rPr>
          <w:rFonts w:ascii="Arial" w:cs="Arial" w:eastAsia="Arial" w:hAnsi="Arial"/>
          <w:sz w:val="22"/>
          <w:szCs w:val="22"/>
          <w:color w:val="auto"/>
        </w:rPr>
        <w:t xml:space="preserve"> for approximately 30 days.</w:t>
      </w:r>
    </w:p>
    <w:p>
      <w:pPr>
        <w:spacing w:after="0" w:line="203" w:lineRule="exact"/>
        <w:rPr>
          <w:rFonts w:ascii="Arial" w:cs="Arial" w:eastAsia="Arial" w:hAnsi="Arial"/>
          <w:sz w:val="22"/>
          <w:szCs w:val="22"/>
          <w:color w:val="auto"/>
        </w:rPr>
      </w:pPr>
    </w:p>
    <w:p>
      <w:pPr>
        <w:ind w:left="620" w:hanging="288"/>
        <w:spacing w:after="0"/>
        <w:tabs>
          <w:tab w:leader="none" w:pos="62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Wells Fargo Healthcare Conference, September 3-5, 2025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2025 Financial Results</w:t>
      </w:r>
    </w:p>
    <w:p>
      <w:pPr>
        <w:spacing w:after="0" w:line="235" w:lineRule="exact"/>
        <w:rPr>
          <w:sz w:val="20"/>
          <w:szCs w:val="20"/>
          <w:color w:val="auto"/>
        </w:rPr>
      </w:pPr>
    </w:p>
    <w:p>
      <w:pPr>
        <w:ind w:left="660" w:right="20" w:hanging="328"/>
        <w:spacing w:after="0"/>
        <w:tabs>
          <w:tab w:leader="none" w:pos="628" w:val="left"/>
        </w:tabs>
        <w:numPr>
          <w:ilvl w:val="0"/>
          <w:numId w:val="1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Cash Position: </w:t>
      </w:r>
      <w:r>
        <w:rPr>
          <w:rFonts w:ascii="Arial" w:cs="Arial" w:eastAsia="Arial" w:hAnsi="Arial"/>
          <w:sz w:val="22"/>
          <w:szCs w:val="22"/>
          <w:color w:val="auto"/>
        </w:rPr>
        <w:t>Cash, cash equivalents and investments were $2,826.5 million as of June 30, 2025, compared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$3,134.7 million as of December 31, 2024. As a result of the Company’s continued focus on disciplined capital allocation and evaluation of investment priorities, including streamlining activities across the early-stage pipeline, the Company has extended</w:t>
      </w:r>
    </w:p>
    <w:p>
      <w:pPr>
        <w:sectPr>
          <w:pgSz w:w="11900" w:h="16838" w:orient="portrait"/>
          <w:cols w:equalWidth="0" w:num="1">
            <w:col w:w="11220"/>
          </w:cols>
          <w:pgMar w:left="320" w:top="1286" w:right="359" w:bottom="1440" w:gutter="0" w:footer="0" w:header="0"/>
        </w:sectPr>
      </w:pPr>
    </w:p>
    <w:bookmarkStart w:id="7" w:name="page8"/>
    <w:bookmarkEnd w:id="7"/>
    <w:p>
      <w:pPr>
        <w:ind w:left="660" w:right="80"/>
        <w:spacing w:after="0"/>
        <w:rPr>
          <w:sz w:val="20"/>
          <w:szCs w:val="20"/>
          <w:color w:val="auto"/>
        </w:rPr>
      </w:pPr>
      <w:r>
        <w:rPr>
          <w:rFonts w:ascii="Arial" w:cs="Arial" w:eastAsia="Arial" w:hAnsi="Arial"/>
          <w:sz w:val="22"/>
          <w:szCs w:val="22"/>
          <w:color w:val="auto"/>
        </w:rPr>
        <w:t>its cash runway and now expects its cash, cash equivalents and investments to fund its current operating plan to mid-2028.</w:t>
      </w:r>
    </w:p>
    <w:p>
      <w:pPr>
        <w:ind w:left="660" w:right="100" w:hanging="328"/>
        <w:spacing w:after="0" w:line="230" w:lineRule="auto"/>
        <w:tabs>
          <w:tab w:leader="none" w:pos="628" w:val="left"/>
        </w:tabs>
        <w:numPr>
          <w:ilvl w:val="0"/>
          <w:numId w:val="1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Research &amp; Development (R&amp;D) Expenses: </w:t>
      </w:r>
      <w:r>
        <w:rPr>
          <w:rFonts w:ascii="Arial" w:cs="Arial" w:eastAsia="Arial" w:hAnsi="Arial"/>
          <w:sz w:val="22"/>
          <w:szCs w:val="22"/>
          <w:color w:val="auto"/>
        </w:rPr>
        <w:t>R&amp;D expenses were $194.2 million for the three months ended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June 30, 2025 as compared to $131.5 million for the same period in 2024. The increase was due primarily to development and manufacturing activities in connection with the adult and infant PCV programs, including support for potential future commercial launches, as well as higher personnel expenses related to the growth in the number of R&amp;D employees.</w:t>
      </w:r>
    </w:p>
    <w:p>
      <w:pPr>
        <w:spacing w:after="0" w:line="2" w:lineRule="exact"/>
        <w:rPr>
          <w:rFonts w:ascii="Arial" w:cs="Arial" w:eastAsia="Arial" w:hAnsi="Arial"/>
          <w:sz w:val="22"/>
          <w:szCs w:val="22"/>
          <w:color w:val="auto"/>
        </w:rPr>
      </w:pPr>
    </w:p>
    <w:p>
      <w:pPr>
        <w:ind w:left="660" w:right="240" w:hanging="328"/>
        <w:spacing w:after="0" w:line="230" w:lineRule="auto"/>
        <w:tabs>
          <w:tab w:leader="none" w:pos="628" w:val="left"/>
        </w:tabs>
        <w:numPr>
          <w:ilvl w:val="0"/>
          <w:numId w:val="1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General &amp; Administrative (G&amp;A) Expenses: </w:t>
      </w:r>
      <w:r>
        <w:rPr>
          <w:rFonts w:ascii="Arial" w:cs="Arial" w:eastAsia="Arial" w:hAnsi="Arial"/>
          <w:sz w:val="22"/>
          <w:szCs w:val="22"/>
          <w:color w:val="auto"/>
        </w:rPr>
        <w:t>G&amp;A expenses were $32.0 million for the three months ended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June 30, 2025 as compared to $21.5 million for the same period in 2024. The increase was due primarily to higher personnel expenses related to the growth in the number of G&amp;A employees.</w:t>
      </w:r>
    </w:p>
    <w:p>
      <w:pPr>
        <w:spacing w:after="0" w:line="1" w:lineRule="exact"/>
        <w:rPr>
          <w:rFonts w:ascii="Arial" w:cs="Arial" w:eastAsia="Arial" w:hAnsi="Arial"/>
          <w:sz w:val="22"/>
          <w:szCs w:val="22"/>
          <w:color w:val="auto"/>
        </w:rPr>
      </w:pPr>
    </w:p>
    <w:p>
      <w:pPr>
        <w:ind w:left="660" w:right="40" w:hanging="328"/>
        <w:spacing w:after="0" w:line="233" w:lineRule="auto"/>
        <w:tabs>
          <w:tab w:leader="none" w:pos="628" w:val="left"/>
        </w:tabs>
        <w:numPr>
          <w:ilvl w:val="0"/>
          <w:numId w:val="1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Net Loss: </w:t>
      </w:r>
      <w:r>
        <w:rPr>
          <w:rFonts w:ascii="Arial" w:cs="Arial" w:eastAsia="Arial" w:hAnsi="Arial"/>
          <w:sz w:val="22"/>
          <w:szCs w:val="22"/>
          <w:color w:val="auto"/>
        </w:rPr>
        <w:t>For the three months ended June 30, 2025, net loss was $166.6 million, compared to $128.7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the same period in 2024.</w:t>
      </w:r>
    </w:p>
    <w:p>
      <w:pPr>
        <w:spacing w:after="0" w:line="204" w:lineRule="exact"/>
        <w:rPr>
          <w:rFonts w:ascii="Arial" w:cs="Arial" w:eastAsia="Arial" w:hAnsi="Arial"/>
          <w:sz w:val="22"/>
          <w:szCs w:val="22"/>
          <w:color w:val="auto"/>
        </w:rPr>
      </w:pPr>
    </w:p>
    <w:p>
      <w:pPr>
        <w:ind w:left="660" w:hanging="328"/>
        <w:spacing w:after="0" w:line="236" w:lineRule="auto"/>
        <w:tabs>
          <w:tab w:leader="none" w:pos="628" w:val="left"/>
        </w:tabs>
        <w:numPr>
          <w:ilvl w:val="0"/>
          <w:numId w:val="1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Commercial Manufacturing Suite: </w:t>
      </w:r>
      <w:r>
        <w:rPr>
          <w:rFonts w:ascii="Arial" w:cs="Arial" w:eastAsia="Arial" w:hAnsi="Arial"/>
          <w:sz w:val="22"/>
          <w:szCs w:val="22"/>
          <w:color w:val="auto"/>
        </w:rPr>
        <w:t>In the second quarter of 2025, Vaxcyte incurred an additional $44.6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capital and facility buildout expenditures related to the ongoing construction of the dedicated manufacturing suite at Lonza intended to support the potential global commercialization of the Company’s PCV programs. As of June 30, 2025, Vaxcyte had incurred $290.6 million in total capital and facility buildout expenditures that were reflected on the Company’s balance sheet as of that date. Vaxcyte continues to expect the buildout to be completed by early 2026 at a total cost of approximately $300-$350 million.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Vaxcyte</w:t>
      </w:r>
    </w:p>
    <w:p>
      <w:pPr>
        <w:spacing w:after="0" w:line="12" w:lineRule="exact"/>
        <w:rPr>
          <w:sz w:val="20"/>
          <w:szCs w:val="20"/>
          <w:color w:val="auto"/>
        </w:rPr>
      </w:pPr>
    </w:p>
    <w:p>
      <w:pPr>
        <w:ind w:right="20"/>
        <w:spacing w:after="0" w:line="221" w:lineRule="auto"/>
        <w:rPr>
          <w:sz w:val="20"/>
          <w:szCs w:val="20"/>
          <w:color w:val="auto"/>
        </w:rPr>
      </w:pPr>
      <w:r>
        <w:rPr>
          <w:rFonts w:ascii="Arial" w:cs="Arial" w:eastAsia="Arial" w:hAnsi="Arial"/>
          <w:sz w:val="22"/>
          <w:szCs w:val="22"/>
          <w:color w:val="auto"/>
        </w:rPr>
        <w:t>Vaxcyte is a vaccine innovation company engineering high-fidelity vaccines to protect humankind from the consequences of bacterial diseases. VAX-31, a 31-valent PCV candidate advancing to a Phase 3 adult clinical program and being evaluated in a Phase 2 infant clinical program, is being developed for the prevention of IPD and is the broadest-spectrum PCV candidate in the clinic today. VAX-24, a 24-valent PCV candidate, is designed to cover more serotypes than any infant PCV on-market and is being evaluated in a Phase 2 infant study. VAX-31 and VAX-24 are designed to improve upon standard-of-care PCVs by covering the serotypes in circulation that cause a significant portion of IPD and are associated with high case-fatality rates, antibiotic resistance and meningitis, while maintaining coverage of previously circulating strains.</w:t>
      </w:r>
    </w:p>
    <w:p>
      <w:pPr>
        <w:spacing w:after="0" w:line="209"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 xml:space="preserve">Vaxcyte is re-engineering the way highly complex vaccines are made through XpressCF®, its cell-free protein synthesis platform exclusively licensed from Sutro Biopharma, Inc. Unlike conventional cell-based approaches, the Company’s system for producing difficult-to-make proteins and antigens is intended to accelerate its ability to develop high-fidelity vaccines with enhanced immunological benefits. Vaxcyte’s pipeline also includes VAX-A1, a prophylactic vaccine candidate designed to prevent Group A Strep infections, and VAX-GI, a vaccine candidate designed to prevent Shigella. For more information, visit </w:t>
      </w:r>
      <w:r>
        <w:rPr>
          <w:rFonts w:ascii="Arial" w:cs="Arial" w:eastAsia="Arial" w:hAnsi="Arial"/>
          <w:sz w:val="22"/>
          <w:szCs w:val="22"/>
          <w:color w:val="0000FF"/>
        </w:rPr>
        <w:t>www.vaxcyte.com</w:t>
      </w:r>
      <w:r>
        <w:rPr>
          <w:rFonts w:ascii="Arial" w:cs="Arial" w:eastAsia="Arial" w:hAnsi="Arial"/>
          <w:sz w:val="22"/>
          <w:szCs w:val="22"/>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These statements include, but are not limited to, statements related to the potential benefits of Vaxcyte’s [carrier-sparing platform and] PCV candidates, including breadth of coverage, the ability to deliver potentially best-in-class PCVs,</w:t>
      </w:r>
    </w:p>
    <w:p>
      <w:pPr>
        <w:sectPr>
          <w:pgSz w:w="11900" w:h="16838" w:orient="portrait"/>
          <w:cols w:equalWidth="0" w:num="1">
            <w:col w:w="11220"/>
          </w:cols>
          <w:pgMar w:left="320" w:top="1288" w:right="359" w:bottom="1440" w:gutter="0" w:footer="0" w:header="0"/>
        </w:sectPr>
      </w:pPr>
    </w:p>
    <w:bookmarkStart w:id="8" w:name="page9"/>
    <w:bookmarkEnd w:id="8"/>
    <w:p>
      <w:pPr>
        <w:spacing w:after="0" w:line="242" w:lineRule="auto"/>
        <w:rPr>
          <w:sz w:val="20"/>
          <w:szCs w:val="20"/>
          <w:color w:val="auto"/>
        </w:rPr>
      </w:pPr>
      <w:r>
        <w:rPr>
          <w:rFonts w:ascii="Arial" w:cs="Arial" w:eastAsia="Arial" w:hAnsi="Arial"/>
          <w:sz w:val="21"/>
          <w:szCs w:val="21"/>
          <w:color w:val="auto"/>
        </w:rPr>
        <w:t>improve upon the standard-of-care and set a new standard for immunogenicity and disease coverage while maintaining coverage of previously circulating strains; the process and timing of anticipated future development of Vaxcyte's vaccine candidates, including the continuation of the VAX-31 infant Phase 2 dose-finding study, timing and availability of data for the VAX-24 and VAX-31 infant Phase 2 studies, and the initiation of VAX-31 adult Phase 3 studies and the timing of such studies and their data readouts and the ability of such studies to validate the best-in-class potential of VAX-31 and support a BLA submission, the timing of such BLA submission; and other statements that are not historical fact. The words “anticipate,” “believe,” “could,” “expect,” “intend,” “may,” “on track,” “potential,” “should,” “would” and similar expressions (as well as other words or expressions referencing future events, conditions or circumstances) convey uncertainty of future events or outcomes and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Quarterly Report on Form 10-Q filed with the SEC on August 6, 2025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 Readers should not rely upon the information in this press release as current or accurate after its publication date.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5" w:lineRule="exact"/>
        <w:rPr>
          <w:sz w:val="20"/>
          <w:szCs w:val="20"/>
          <w:color w:val="auto"/>
        </w:rPr>
      </w:pPr>
    </w:p>
    <w:p>
      <w:pPr>
        <w:ind w:right="5400"/>
        <w:spacing w:after="0"/>
        <w:rPr>
          <w:sz w:val="20"/>
          <w:szCs w:val="20"/>
          <w:color w:val="auto"/>
        </w:rPr>
      </w:pPr>
      <w:r>
        <w:rPr>
          <w:rFonts w:ascii="Arial" w:cs="Arial" w:eastAsia="Arial" w:hAnsi="Arial"/>
          <w:sz w:val="22"/>
          <w:szCs w:val="22"/>
          <w:color w:val="auto"/>
        </w:rPr>
        <w:t>Patrick Ryan, Executive Director, Corporate Communications Vaxcyte, Inc.</w:t>
      </w:r>
    </w:p>
    <w:p>
      <w:pPr>
        <w:spacing w:after="0" w:line="230" w:lineRule="auto"/>
        <w:rPr>
          <w:sz w:val="20"/>
          <w:szCs w:val="20"/>
          <w:color w:val="auto"/>
        </w:rPr>
      </w:pPr>
      <w:r>
        <w:rPr>
          <w:rFonts w:ascii="Arial" w:cs="Arial" w:eastAsia="Arial" w:hAnsi="Arial"/>
          <w:sz w:val="22"/>
          <w:szCs w:val="22"/>
          <w:color w:val="auto"/>
        </w:rPr>
        <w:t>415-606-5135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media@vaxcyte.com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Jeff Macdonald, Executive Director, Investor Relations</w:t>
      </w:r>
    </w:p>
    <w:p>
      <w:pPr>
        <w:spacing w:after="0"/>
        <w:rPr>
          <w:sz w:val="20"/>
          <w:szCs w:val="20"/>
          <w:color w:val="auto"/>
        </w:rPr>
      </w:pPr>
      <w:r>
        <w:rPr>
          <w:rFonts w:ascii="Arial" w:cs="Arial" w:eastAsia="Arial" w:hAnsi="Arial"/>
          <w:sz w:val="22"/>
          <w:szCs w:val="22"/>
          <w:color w:val="auto"/>
        </w:rPr>
        <w:t>Vaxcyte, Inc.</w:t>
      </w:r>
    </w:p>
    <w:p>
      <w:pPr>
        <w:spacing w:after="0" w:line="230" w:lineRule="auto"/>
        <w:rPr>
          <w:sz w:val="20"/>
          <w:szCs w:val="20"/>
          <w:color w:val="auto"/>
        </w:rPr>
      </w:pPr>
      <w:r>
        <w:rPr>
          <w:rFonts w:ascii="Arial" w:cs="Arial" w:eastAsia="Arial" w:hAnsi="Arial"/>
          <w:sz w:val="22"/>
          <w:szCs w:val="22"/>
          <w:color w:val="auto"/>
        </w:rPr>
        <w:t>917-371-094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investors@vaxcyte.com</w:t>
      </w:r>
    </w:p>
    <w:p>
      <w:pPr>
        <w:sectPr>
          <w:pgSz w:w="11900" w:h="16838" w:orient="portrait"/>
          <w:cols w:equalWidth="0" w:num="1">
            <w:col w:w="11240"/>
          </w:cols>
          <w:pgMar w:left="320" w:top="128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Vaxcyte, Inc.</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30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55"/>
        </w:trPr>
        <w:tc>
          <w:tcPr>
            <w:tcW w:w="4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10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194,179</w:t>
            </w:r>
          </w:p>
        </w:tc>
        <w:tc>
          <w:tcPr>
            <w:tcW w:w="100" w:type="dxa"/>
            <w:vAlign w:val="bottom"/>
          </w:tcPr>
          <w:p>
            <w:pPr>
              <w:spacing w:after="0"/>
              <w:rPr>
                <w:sz w:val="24"/>
                <w:szCs w:val="24"/>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131,507</w:t>
            </w:r>
          </w:p>
        </w:tc>
        <w:tc>
          <w:tcPr>
            <w:tcW w:w="100" w:type="dxa"/>
            <w:vAlign w:val="bottom"/>
          </w:tcPr>
          <w:p>
            <w:pPr>
              <w:spacing w:after="0"/>
              <w:rPr>
                <w:sz w:val="24"/>
                <w:szCs w:val="24"/>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342,313</w:t>
            </w:r>
          </w:p>
        </w:tc>
        <w:tc>
          <w:tcPr>
            <w:tcW w:w="80" w:type="dxa"/>
            <w:vAlign w:val="bottom"/>
          </w:tcPr>
          <w:p>
            <w:pPr>
              <w:spacing w:after="0"/>
              <w:rPr>
                <w:sz w:val="24"/>
                <w:szCs w:val="24"/>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226,094</w:t>
            </w:r>
          </w:p>
        </w:tc>
        <w:tc>
          <w:tcPr>
            <w:tcW w:w="0" w:type="dxa"/>
            <w:vAlign w:val="bottom"/>
          </w:tcPr>
          <w:p>
            <w:pPr>
              <w:spacing w:after="0"/>
              <w:rPr>
                <w:sz w:val="1"/>
                <w:szCs w:val="1"/>
                <w:color w:val="auto"/>
              </w:rPr>
            </w:pPr>
          </w:p>
        </w:tc>
      </w:tr>
      <w:tr>
        <w:trPr>
          <w:trHeight w:val="84"/>
        </w:trPr>
        <w:tc>
          <w:tcPr>
            <w:tcW w:w="43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4"/>
                <w:szCs w:val="2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32,040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64,699</w:t>
            </w: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41,359</w:t>
            </w:r>
          </w:p>
        </w:tc>
        <w:tc>
          <w:tcPr>
            <w:tcW w:w="0" w:type="dxa"/>
            <w:vAlign w:val="bottom"/>
          </w:tcPr>
          <w:p>
            <w:pPr>
              <w:spacing w:after="0"/>
              <w:rPr>
                <w:sz w:val="1"/>
                <w:szCs w:val="1"/>
                <w:color w:val="auto"/>
              </w:rPr>
            </w:pPr>
          </w:p>
        </w:tc>
      </w:tr>
      <w:tr>
        <w:trPr>
          <w:trHeight w:val="89"/>
        </w:trPr>
        <w:tc>
          <w:tcPr>
            <w:tcW w:w="4300" w:type="dxa"/>
            <w:vAlign w:val="bottom"/>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226,219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407,012</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267,453</w:t>
            </w:r>
          </w:p>
        </w:tc>
        <w:tc>
          <w:tcPr>
            <w:tcW w:w="0" w:type="dxa"/>
            <w:vAlign w:val="bottom"/>
          </w:tcPr>
          <w:p>
            <w:pPr>
              <w:spacing w:after="0"/>
              <w:rPr>
                <w:sz w:val="1"/>
                <w:szCs w:val="1"/>
                <w:color w:val="auto"/>
              </w:rPr>
            </w:pPr>
          </w:p>
        </w:tc>
      </w:tr>
      <w:tr>
        <w:trPr>
          <w:trHeight w:val="255"/>
        </w:trPr>
        <w:tc>
          <w:tcPr>
            <w:tcW w:w="43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3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(226,219)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(407,012)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(267,453)</w:t>
            </w:r>
          </w:p>
        </w:tc>
        <w:tc>
          <w:tcPr>
            <w:tcW w:w="0" w:type="dxa"/>
            <w:vAlign w:val="bottom"/>
          </w:tcPr>
          <w:p>
            <w:pPr>
              <w:spacing w:after="0"/>
              <w:rPr>
                <w:sz w:val="1"/>
                <w:szCs w:val="1"/>
                <w:color w:val="auto"/>
              </w:rPr>
            </w:pPr>
          </w:p>
        </w:tc>
      </w:tr>
      <w:tr>
        <w:trPr>
          <w:trHeight w:val="26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30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64,008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45,479</w:t>
            </w:r>
          </w:p>
        </w:tc>
        <w:tc>
          <w:tcPr>
            <w:tcW w:w="0" w:type="dxa"/>
            <w:vAlign w:val="bottom"/>
          </w:tcPr>
          <w:p>
            <w:pPr>
              <w:spacing w:after="0"/>
              <w:rPr>
                <w:sz w:val="1"/>
                <w:szCs w:val="1"/>
                <w:color w:val="auto"/>
              </w:rPr>
            </w:pPr>
          </w:p>
        </w:tc>
      </w:tr>
      <w:tr>
        <w:trPr>
          <w:trHeight w:val="261"/>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35,713</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45"/>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 net</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99,721</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43,730</w:t>
            </w:r>
          </w:p>
        </w:tc>
        <w:tc>
          <w:tcPr>
            <w:tcW w:w="0" w:type="dxa"/>
            <w:vAlign w:val="bottom"/>
          </w:tcPr>
          <w:p>
            <w:pPr>
              <w:spacing w:after="0"/>
              <w:rPr>
                <w:sz w:val="1"/>
                <w:szCs w:val="1"/>
                <w:color w:val="auto"/>
              </w:rPr>
            </w:pPr>
          </w:p>
        </w:tc>
      </w:tr>
      <w:tr>
        <w:trPr>
          <w:trHeight w:val="255"/>
        </w:trPr>
        <w:tc>
          <w:tcPr>
            <w:tcW w:w="43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(166,573)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(307,291)</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(223,723)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line="198" w:lineRule="exact"/>
              <w:rPr>
                <w:sz w:val="20"/>
                <w:szCs w:val="20"/>
                <w:color w:val="auto"/>
              </w:rPr>
            </w:pPr>
            <w:r>
              <w:rPr>
                <w:rFonts w:ascii="Arial" w:cs="Arial" w:eastAsia="Arial" w:hAnsi="Arial"/>
                <w:sz w:val="18"/>
                <w:szCs w:val="18"/>
                <w:color w:val="auto"/>
              </w:rPr>
              <w:t>Weighted-average shares outstanding, basic and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136,033,746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117,256,561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135,863,299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114,473,758</w:t>
            </w:r>
          </w:p>
        </w:tc>
        <w:tc>
          <w:tcPr>
            <w:tcW w:w="0" w:type="dxa"/>
            <w:vAlign w:val="bottom"/>
          </w:tcPr>
          <w:p>
            <w:pPr>
              <w:spacing w:after="0"/>
              <w:rPr>
                <w:sz w:val="1"/>
                <w:szCs w:val="1"/>
                <w:color w:val="auto"/>
              </w:rPr>
            </w:pPr>
          </w:p>
        </w:tc>
      </w:tr>
      <w:tr>
        <w:trPr>
          <w:trHeight w:val="221"/>
        </w:trPr>
        <w:tc>
          <w:tcPr>
            <w:tcW w:w="4300" w:type="dxa"/>
            <w:vAlign w:val="bottom"/>
          </w:tcPr>
          <w:p>
            <w:pPr>
              <w:ind w:left="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3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Amounts include stock-based compensation expense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8"/>
              </w:rPr>
              <w:t>20,191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36,117</w:t>
            </w:r>
          </w:p>
        </w:tc>
        <w:tc>
          <w:tcPr>
            <w:tcW w:w="8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40" w:type="dxa"/>
            <w:vAlign w:val="bottom"/>
            <w:shd w:val="clear" w:color="auto" w:fill="CCEEFF"/>
          </w:tcPr>
          <w:p>
            <w:pPr>
              <w:spacing w:after="0"/>
              <w:rPr>
                <w:sz w:val="24"/>
                <w:szCs w:val="24"/>
                <w:color w:val="auto"/>
              </w:rPr>
            </w:pPr>
          </w:p>
        </w:tc>
      </w:tr>
      <w:tr>
        <w:trPr>
          <w:trHeight w:val="279"/>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8"/>
              </w:rPr>
              <w:t>16,736</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19,514</w:t>
            </w:r>
          </w:p>
        </w:tc>
        <w:tc>
          <w:tcPr>
            <w:tcW w:w="40" w:type="dxa"/>
            <w:vAlign w:val="bottom"/>
            <w:tcBorders>
              <w:bottom w:val="single" w:sz="8" w:color="auto"/>
            </w:tcBorders>
          </w:tcPr>
          <w:p>
            <w:pPr>
              <w:spacing w:after="0"/>
              <w:rPr>
                <w:sz w:val="24"/>
                <w:szCs w:val="24"/>
                <w:color w:val="auto"/>
              </w:rPr>
            </w:pPr>
          </w:p>
        </w:tc>
      </w:tr>
      <w:tr>
        <w:trPr>
          <w:trHeight w:val="270"/>
        </w:trPr>
        <w:tc>
          <w:tcPr>
            <w:tcW w:w="8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Total stock-based compensation expense</w:t>
            </w:r>
          </w:p>
        </w:tc>
        <w:tc>
          <w:tcPr>
            <w:tcW w:w="5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8"/>
              </w:rPr>
              <w:t>36,927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67,542</w:t>
            </w:r>
          </w:p>
        </w:tc>
        <w:tc>
          <w:tcPr>
            <w:tcW w:w="8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gridSpan w:val="2"/>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40" w:type="dxa"/>
            <w:vAlign w:val="bottom"/>
            <w:tcBorders>
              <w:bottom w:val="single" w:sz="8" w:color="auto"/>
            </w:tcBorders>
            <w:shd w:val="clear" w:color="auto" w:fill="CCEEFF"/>
          </w:tcPr>
          <w:p>
            <w:pPr>
              <w:spacing w:after="0"/>
              <w:rPr>
                <w:sz w:val="23"/>
                <w:szCs w:val="23"/>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648"/>
        </w:trPr>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8"/>
              </w:rPr>
              <w:t>Vaxcyte, Inc.</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98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9"/>
              </w:rPr>
              <w:t>Summary Consolidated Balance Sheet Data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7"/>
        </w:trPr>
        <w:tc>
          <w:tcPr>
            <w:tcW w:w="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8"/>
        </w:trPr>
        <w:tc>
          <w:tcPr>
            <w:tcW w:w="80" w:type="dxa"/>
            <w:vAlign w:val="bottom"/>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21"/>
                <w:szCs w:val="21"/>
                <w:color w:val="auto"/>
              </w:rPr>
            </w:pPr>
          </w:p>
        </w:tc>
      </w:tr>
      <w:tr>
        <w:trPr>
          <w:trHeight w:val="278"/>
        </w:trPr>
        <w:tc>
          <w:tcPr>
            <w:tcW w:w="80" w:type="dxa"/>
            <w:vAlign w:val="bottom"/>
          </w:tcPr>
          <w:p>
            <w:pPr>
              <w:spacing w:after="0"/>
              <w:rPr>
                <w:sz w:val="24"/>
                <w:szCs w:val="24"/>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2,826,518</w:t>
            </w:r>
          </w:p>
        </w:tc>
        <w:tc>
          <w:tcPr>
            <w:tcW w:w="8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3,134,718</w:t>
            </w:r>
          </w:p>
        </w:tc>
        <w:tc>
          <w:tcPr>
            <w:tcW w:w="40" w:type="dxa"/>
            <w:vAlign w:val="bottom"/>
          </w:tcPr>
          <w:p>
            <w:pPr>
              <w:spacing w:after="0"/>
              <w:rPr>
                <w:sz w:val="24"/>
                <w:szCs w:val="24"/>
                <w:color w:val="auto"/>
              </w:rPr>
            </w:pPr>
          </w:p>
        </w:tc>
      </w:tr>
      <w:tr>
        <w:trPr>
          <w:trHeight w:val="279"/>
        </w:trPr>
        <w:tc>
          <w:tcPr>
            <w:tcW w:w="80" w:type="dxa"/>
            <w:vAlign w:val="bottom"/>
          </w:tcPr>
          <w:p>
            <w:pPr>
              <w:spacing w:after="0"/>
              <w:rPr>
                <w:sz w:val="24"/>
                <w:szCs w:val="24"/>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3,305,363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3,511,318</w:t>
            </w:r>
          </w:p>
        </w:tc>
        <w:tc>
          <w:tcPr>
            <w:tcW w:w="40" w:type="dxa"/>
            <w:vAlign w:val="bottom"/>
          </w:tcPr>
          <w:p>
            <w:pPr>
              <w:spacing w:after="0"/>
              <w:rPr>
                <w:sz w:val="24"/>
                <w:szCs w:val="24"/>
                <w:color w:val="auto"/>
              </w:rPr>
            </w:pPr>
          </w:p>
        </w:tc>
      </w:tr>
      <w:tr>
        <w:trPr>
          <w:trHeight w:val="288"/>
        </w:trPr>
        <w:tc>
          <w:tcPr>
            <w:tcW w:w="80" w:type="dxa"/>
            <w:vAlign w:val="bottom"/>
          </w:tcPr>
          <w:p>
            <w:pPr>
              <w:spacing w:after="0"/>
              <w:rPr>
                <w:sz w:val="24"/>
                <w:szCs w:val="24"/>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5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3,071,334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3,305,819</w:t>
            </w:r>
          </w:p>
        </w:tc>
        <w:tc>
          <w:tcPr>
            <w:tcW w:w="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20"/>
      </w:cols>
      <w:pgMar w:left="320" w:top="12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2025-08-06T15:19:10Z</dcterms:created>
  <dcterms:modified xsi:type="dcterms:W3CDTF">2025-08-06T15:19:10Z</dcterms:modified>
</cp:coreProperties>
</file>