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53340</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54610</wp:posOffset>
            </wp:positionV>
            <wp:extent cx="548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9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7" w:lineRule="exact"/>
        <w:rPr>
          <w:sz w:val="24"/>
          <w:szCs w:val="24"/>
          <w:color w:val="auto"/>
        </w:rPr>
      </w:pPr>
    </w:p>
    <w:p>
      <w:pPr>
        <w:ind w:left="4100" w:right="2860" w:hanging="4092"/>
        <w:spacing w:after="0" w:line="215" w:lineRule="auto"/>
        <w:tabs>
          <w:tab w:leader="none" w:pos="473" w:val="left"/>
        </w:tabs>
        <w:numPr>
          <w:ilvl w:val="0"/>
          <w:numId w:val="1"/>
        </w:numPr>
        <w:rPr>
          <w:rFonts w:ascii="MS PGothic" w:cs="MS PGothic" w:eastAsia="MS PGothic" w:hAnsi="MS PGothic"/>
          <w:sz w:val="32"/>
          <w:szCs w:val="32"/>
          <w:color w:val="auto"/>
          <w:highlight w:val="black"/>
          <w:vertAlign w:val="superscript"/>
        </w:rPr>
      </w:pPr>
      <w:r>
        <w:rPr>
          <w:rFonts w:ascii="Arial" w:cs="Arial" w:eastAsia="Arial" w:hAnsi="Arial"/>
          <w:sz w:val="16"/>
          <w:szCs w:val="16"/>
          <w:b w:val="1"/>
          <w:bCs w:val="1"/>
          <w:color w:val="auto"/>
        </w:rPr>
        <w:t>ANNUAL REPORT PURSUANT TO SECTION 13 OR 15(d) OF THE SECURITIES EXCHANGE ACT OF 1934 For the fiscal year ended December 31, 2020</w:t>
      </w:r>
    </w:p>
    <w:p>
      <w:pPr>
        <w:spacing w:after="0" w:line="21" w:lineRule="exact"/>
        <w:rPr>
          <w:rFonts w:ascii="MS PGothic" w:cs="MS PGothic" w:eastAsia="MS PGothic" w:hAnsi="MS PGothic"/>
          <w:sz w:val="32"/>
          <w:szCs w:val="32"/>
          <w:color w:val="auto"/>
          <w:highlight w:val="black"/>
          <w:vertAlign w:val="superscript"/>
        </w:rPr>
      </w:pPr>
    </w:p>
    <w:p>
      <w:pPr>
        <w:ind w:left="5500"/>
        <w:spacing w:after="0"/>
        <w:rPr>
          <w:rFonts w:ascii="MS PGothic" w:cs="MS PGothic" w:eastAsia="MS PGothic" w:hAnsi="MS PGothic"/>
          <w:sz w:val="32"/>
          <w:szCs w:val="32"/>
          <w:color w:val="auto"/>
          <w:highlight w:val="black"/>
          <w:vertAlign w:val="superscript"/>
        </w:rPr>
      </w:pPr>
      <w:r>
        <w:rPr>
          <w:rFonts w:ascii="Arial" w:cs="Arial" w:eastAsia="Arial" w:hAnsi="Arial"/>
          <w:sz w:val="16"/>
          <w:szCs w:val="16"/>
          <w:b w:val="1"/>
          <w:bCs w:val="1"/>
          <w:color w:val="auto"/>
        </w:rPr>
        <w:t>OR</w:t>
      </w:r>
    </w:p>
    <w:p>
      <w:pPr>
        <w:spacing w:after="0" w:line="59" w:lineRule="exact"/>
        <w:rPr>
          <w:sz w:val="24"/>
          <w:szCs w:val="24"/>
          <w:color w:val="auto"/>
        </w:rPr>
      </w:pPr>
    </w:p>
    <w:p>
      <w:pPr>
        <w:ind w:left="3840" w:right="2540" w:hanging="3832"/>
        <w:spacing w:after="0" w:line="215" w:lineRule="auto"/>
        <w:tabs>
          <w:tab w:leader="none" w:pos="459" w:val="left"/>
        </w:tabs>
        <w:numPr>
          <w:ilvl w:val="0"/>
          <w:numId w:val="2"/>
        </w:numPr>
        <w:rPr>
          <w:rFonts w:ascii="MS PGothic" w:cs="MS PGothic" w:eastAsia="MS PGothic" w:hAnsi="MS PGothic"/>
          <w:sz w:val="32"/>
          <w:szCs w:val="32"/>
          <w:color w:val="auto"/>
          <w:highlight w:val="black"/>
          <w:vertAlign w:val="superscript"/>
        </w:rPr>
      </w:pPr>
      <w:r>
        <w:rPr>
          <w:rFonts w:ascii="Arial" w:cs="Arial" w:eastAsia="Arial" w:hAnsi="Arial"/>
          <w:sz w:val="16"/>
          <w:szCs w:val="16"/>
          <w:b w:val="1"/>
          <w:bCs w:val="1"/>
          <w:color w:val="auto"/>
        </w:rPr>
        <w:t>TRANSITION REPORT PURSUANT TO SECTION 13 OR 15(d) OF THE SECURITIES EXCHANGE ACT OF 1934 For the transition period from _________ to ___________</w:t>
      </w:r>
    </w:p>
    <w:p>
      <w:pPr>
        <w:spacing w:after="0" w:line="21" w:lineRule="exact"/>
        <w:rPr>
          <w:rFonts w:ascii="MS PGothic" w:cs="MS PGothic" w:eastAsia="MS PGothic" w:hAnsi="MS PGothic"/>
          <w:sz w:val="32"/>
          <w:szCs w:val="32"/>
          <w:color w:val="auto"/>
          <w:highlight w:val="black"/>
          <w:vertAlign w:val="superscript"/>
        </w:rPr>
      </w:pPr>
    </w:p>
    <w:p>
      <w:pPr>
        <w:ind w:left="4360"/>
        <w:spacing w:after="0"/>
        <w:rPr>
          <w:rFonts w:ascii="MS PGothic" w:cs="MS PGothic" w:eastAsia="MS PGothic" w:hAnsi="MS PGothic"/>
          <w:sz w:val="32"/>
          <w:szCs w:val="32"/>
          <w:color w:val="auto"/>
          <w:highlight w:val="black"/>
          <w:vertAlign w:val="superscript"/>
        </w:rPr>
      </w:pPr>
      <w:r>
        <w:rPr>
          <w:rFonts w:ascii="Arial" w:cs="Arial" w:eastAsia="Arial" w:hAnsi="Arial"/>
          <w:sz w:val="16"/>
          <w:szCs w:val="16"/>
          <w:b w:val="1"/>
          <w:bCs w:val="1"/>
          <w:color w:val="auto"/>
        </w:rPr>
        <w:t>Commission File Number 001-39323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54610</wp:posOffset>
            </wp:positionV>
            <wp:extent cx="548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374"/>
        </w:trPr>
        <w:tc>
          <w:tcPr>
            <w:tcW w:w="3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20" w:type="dxa"/>
            <w:vAlign w:val="bottom"/>
            <w:gridSpan w:val="7"/>
          </w:tcPr>
          <w:p>
            <w:pPr>
              <w:jc w:val="center"/>
              <w:ind w:right="760"/>
              <w:spacing w:after="0"/>
              <w:rPr>
                <w:sz w:val="20"/>
                <w:szCs w:val="20"/>
                <w:color w:val="auto"/>
              </w:rPr>
            </w:pPr>
            <w:r>
              <w:rPr>
                <w:rFonts w:ascii="Arial" w:cs="Arial" w:eastAsia="Arial" w:hAnsi="Arial"/>
                <w:sz w:val="31"/>
                <w:szCs w:val="31"/>
                <w:b w:val="1"/>
                <w:bCs w:val="1"/>
                <w:color w:val="auto"/>
              </w:rPr>
              <w:t>VAXCYTE, INC.</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3900" w:type="dxa"/>
            <w:vAlign w:val="bottom"/>
            <w:gridSpan w:val="8"/>
          </w:tcPr>
          <w:p>
            <w:pPr>
              <w:jc w:val="center"/>
              <w:ind w:right="100"/>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3720" w:type="dxa"/>
            <w:vAlign w:val="bottom"/>
            <w:vMerge w:val="restart"/>
          </w:tcPr>
          <w:p>
            <w:pPr>
              <w:jc w:val="center"/>
              <w:ind w:left="1828"/>
              <w:spacing w:after="0"/>
              <w:rPr>
                <w:sz w:val="20"/>
                <w:szCs w:val="20"/>
                <w:color w:val="auto"/>
              </w:rPr>
            </w:pPr>
            <w:r>
              <w:rPr>
                <w:rFonts w:ascii="Arial" w:cs="Arial" w:eastAsia="Arial" w:hAnsi="Arial"/>
                <w:sz w:val="16"/>
                <w:szCs w:val="16"/>
                <w:b w:val="1"/>
                <w:bCs w:val="1"/>
                <w:color w:val="auto"/>
                <w:w w:val="93"/>
              </w:rPr>
              <w:t>Delaware</w:t>
            </w: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20" w:type="dxa"/>
            <w:vAlign w:val="bottom"/>
            <w:vMerge w:val="restart"/>
          </w:tcPr>
          <w:p>
            <w:pPr>
              <w:jc w:val="right"/>
              <w:ind w:right="2351"/>
              <w:spacing w:after="0"/>
              <w:rPr>
                <w:sz w:val="20"/>
                <w:szCs w:val="20"/>
                <w:color w:val="auto"/>
              </w:rPr>
            </w:pPr>
            <w:r>
              <w:rPr>
                <w:rFonts w:ascii="Arial" w:cs="Arial" w:eastAsia="Arial" w:hAnsi="Arial"/>
                <w:sz w:val="16"/>
                <w:szCs w:val="16"/>
                <w:b w:val="1"/>
                <w:bCs w:val="1"/>
                <w:color w:val="auto"/>
              </w:rPr>
              <w:t>46-4233385</w:t>
            </w:r>
          </w:p>
        </w:tc>
        <w:tc>
          <w:tcPr>
            <w:tcW w:w="0" w:type="dxa"/>
            <w:vAlign w:val="bottom"/>
          </w:tcPr>
          <w:p>
            <w:pPr>
              <w:spacing w:after="0"/>
              <w:rPr>
                <w:sz w:val="1"/>
                <w:szCs w:val="1"/>
                <w:color w:val="auto"/>
              </w:rPr>
            </w:pPr>
          </w:p>
        </w:tc>
      </w:tr>
      <w:tr>
        <w:trPr>
          <w:trHeight w:val="245"/>
        </w:trPr>
        <w:tc>
          <w:tcPr>
            <w:tcW w:w="3720" w:type="dxa"/>
            <w:vAlign w:val="bottom"/>
            <w:vMerge w:val="continue"/>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720" w:type="dxa"/>
            <w:vAlign w:val="bottom"/>
          </w:tcPr>
          <w:p>
            <w:pPr>
              <w:jc w:val="center"/>
              <w:ind w:left="1828"/>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20" w:type="dxa"/>
            <w:vAlign w:val="bottom"/>
          </w:tcPr>
          <w:p>
            <w:pPr>
              <w:jc w:val="center"/>
              <w:ind w:right="1931"/>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39"/>
        </w:trPr>
        <w:tc>
          <w:tcPr>
            <w:tcW w:w="3720" w:type="dxa"/>
            <w:vAlign w:val="bottom"/>
          </w:tcPr>
          <w:p>
            <w:pPr>
              <w:jc w:val="center"/>
              <w:ind w:left="1848"/>
              <w:spacing w:after="0" w:line="139" w:lineRule="exact"/>
              <w:rPr>
                <w:sz w:val="20"/>
                <w:szCs w:val="20"/>
                <w:color w:val="auto"/>
              </w:rPr>
            </w:pPr>
            <w:r>
              <w:rPr>
                <w:rFonts w:ascii="Arial" w:cs="Arial" w:eastAsia="Arial" w:hAnsi="Arial"/>
                <w:sz w:val="13"/>
                <w:szCs w:val="13"/>
                <w:b w:val="1"/>
                <w:bCs w:val="1"/>
                <w:color w:val="auto"/>
                <w:w w:val="88"/>
              </w:rPr>
              <w:t>incorporation or organization)</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20" w:type="dxa"/>
            <w:vAlign w:val="bottom"/>
          </w:tcPr>
          <w:p>
            <w:pPr>
              <w:jc w:val="center"/>
              <w:ind w:right="1931"/>
              <w:spacing w:after="0" w:line="139" w:lineRule="exact"/>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03"/>
        </w:trPr>
        <w:tc>
          <w:tcPr>
            <w:tcW w:w="3720" w:type="dxa"/>
            <w:vAlign w:val="bottom"/>
          </w:tcPr>
          <w:p>
            <w:pPr>
              <w:jc w:val="center"/>
              <w:ind w:left="1828"/>
              <w:spacing w:after="0"/>
              <w:rPr>
                <w:sz w:val="20"/>
                <w:szCs w:val="20"/>
                <w:color w:val="auto"/>
              </w:rPr>
            </w:pPr>
            <w:r>
              <w:rPr>
                <w:rFonts w:ascii="Arial" w:cs="Arial" w:eastAsia="Arial" w:hAnsi="Arial"/>
                <w:sz w:val="16"/>
                <w:szCs w:val="16"/>
                <w:b w:val="1"/>
                <w:bCs w:val="1"/>
                <w:color w:val="auto"/>
                <w:w w:val="94"/>
              </w:rPr>
              <w:t>353 Hatch Drive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tcPr>
          <w:p>
            <w:pPr>
              <w:jc w:val="center"/>
              <w:ind w:left="1848"/>
              <w:spacing w:after="0"/>
              <w:rPr>
                <w:sz w:val="20"/>
                <w:szCs w:val="20"/>
                <w:color w:val="auto"/>
              </w:rPr>
            </w:pPr>
            <w:r>
              <w:rPr>
                <w:rFonts w:ascii="Arial" w:cs="Arial" w:eastAsia="Arial" w:hAnsi="Arial"/>
                <w:sz w:val="16"/>
                <w:szCs w:val="16"/>
                <w:b w:val="1"/>
                <w:bCs w:val="1"/>
                <w:color w:val="auto"/>
                <w:w w:val="93"/>
              </w:rPr>
              <w:t>Foster City, California</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20" w:type="dxa"/>
            <w:vAlign w:val="bottom"/>
          </w:tcPr>
          <w:p>
            <w:pPr>
              <w:jc w:val="right"/>
              <w:ind w:right="2531"/>
              <w:spacing w:after="0"/>
              <w:rPr>
                <w:sz w:val="20"/>
                <w:szCs w:val="20"/>
                <w:color w:val="auto"/>
              </w:rPr>
            </w:pPr>
            <w:r>
              <w:rPr>
                <w:rFonts w:ascii="Arial" w:cs="Arial" w:eastAsia="Arial" w:hAnsi="Arial"/>
                <w:sz w:val="16"/>
                <w:szCs w:val="16"/>
                <w:b w:val="1"/>
                <w:bCs w:val="1"/>
                <w:color w:val="auto"/>
              </w:rPr>
              <w:t>94404</w:t>
            </w:r>
          </w:p>
        </w:tc>
        <w:tc>
          <w:tcPr>
            <w:tcW w:w="0" w:type="dxa"/>
            <w:vAlign w:val="bottom"/>
          </w:tcPr>
          <w:p>
            <w:pPr>
              <w:spacing w:after="0"/>
              <w:rPr>
                <w:sz w:val="1"/>
                <w:szCs w:val="1"/>
                <w:color w:val="auto"/>
              </w:rPr>
            </w:pPr>
          </w:p>
        </w:tc>
      </w:tr>
      <w:tr>
        <w:trPr>
          <w:trHeight w:val="164"/>
        </w:trPr>
        <w:tc>
          <w:tcPr>
            <w:tcW w:w="7620" w:type="dxa"/>
            <w:vAlign w:val="bottom"/>
            <w:gridSpan w:val="9"/>
          </w:tcPr>
          <w:p>
            <w:pPr>
              <w:jc w:val="center"/>
              <w:ind w:right="198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620" w:type="dxa"/>
            <w:vAlign w:val="bottom"/>
          </w:tcPr>
          <w:p>
            <w:pPr>
              <w:jc w:val="center"/>
              <w:ind w:right="1931"/>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53"/>
        </w:trPr>
        <w:tc>
          <w:tcPr>
            <w:tcW w:w="11240" w:type="dxa"/>
            <w:vAlign w:val="bottom"/>
            <w:gridSpan w:val="10"/>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 (650) 837-0111</w:t>
            </w:r>
          </w:p>
        </w:tc>
        <w:tc>
          <w:tcPr>
            <w:tcW w:w="0" w:type="dxa"/>
            <w:vAlign w:val="bottom"/>
          </w:tcPr>
          <w:p>
            <w:pPr>
              <w:spacing w:after="0"/>
              <w:rPr>
                <w:sz w:val="1"/>
                <w:szCs w:val="1"/>
                <w:color w:val="auto"/>
              </w:rPr>
            </w:pPr>
          </w:p>
        </w:tc>
      </w:tr>
      <w:tr>
        <w:trPr>
          <w:trHeight w:val="60"/>
        </w:trPr>
        <w:tc>
          <w:tcPr>
            <w:tcW w:w="3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Borders>
              <w:bottom w:val="single" w:sz="8" w:color="auto"/>
            </w:tcBorders>
            <w:gridSpan w:val="2"/>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7"/>
                <w:szCs w:val="17"/>
                <w:color w:val="auto"/>
              </w:rPr>
            </w:pPr>
          </w:p>
        </w:tc>
        <w:tc>
          <w:tcPr>
            <w:tcW w:w="3900" w:type="dxa"/>
            <w:vAlign w:val="bottom"/>
            <w:gridSpan w:val="8"/>
          </w:tcPr>
          <w:p>
            <w:pPr>
              <w:jc w:val="center"/>
              <w:ind w:right="80"/>
              <w:spacing w:after="0"/>
              <w:rPr>
                <w:sz w:val="20"/>
                <w:szCs w:val="20"/>
                <w:color w:val="auto"/>
              </w:rPr>
            </w:pPr>
            <w:r>
              <w:rPr>
                <w:rFonts w:ascii="Arial" w:cs="Arial" w:eastAsia="Arial" w:hAnsi="Arial"/>
                <w:sz w:val="13"/>
                <w:szCs w:val="13"/>
                <w:b w:val="1"/>
                <w:bCs w:val="1"/>
                <w:color w:val="auto"/>
                <w:w w:val="92"/>
              </w:rPr>
              <w:t>Securities registered pursuant to Section 12(b) of the Act:</w:t>
            </w: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4"/>
          </w:tcPr>
          <w:p>
            <w:pPr>
              <w:jc w:val="center"/>
              <w:ind w:right="1560"/>
              <w:spacing w:after="0"/>
              <w:rPr>
                <w:sz w:val="20"/>
                <w:szCs w:val="20"/>
                <w:color w:val="auto"/>
              </w:rPr>
            </w:pPr>
            <w:r>
              <w:rPr>
                <w:rFonts w:ascii="Arial" w:cs="Arial" w:eastAsia="Arial" w:hAnsi="Arial"/>
                <w:sz w:val="13"/>
                <w:szCs w:val="13"/>
                <w:b w:val="1"/>
                <w:bCs w:val="1"/>
                <w:color w:val="auto"/>
                <w:w w:val="96"/>
              </w:rPr>
              <w:t>Trading</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720" w:type="dxa"/>
            <w:vAlign w:val="bottom"/>
          </w:tcPr>
          <w:p>
            <w:pPr>
              <w:jc w:val="center"/>
              <w:ind w:left="608"/>
              <w:spacing w:after="0"/>
              <w:rPr>
                <w:sz w:val="20"/>
                <w:szCs w:val="20"/>
                <w:color w:val="auto"/>
              </w:rPr>
            </w:pPr>
            <w:r>
              <w:rPr>
                <w:rFonts w:ascii="Arial" w:cs="Arial" w:eastAsia="Arial" w:hAnsi="Arial"/>
                <w:sz w:val="13"/>
                <w:szCs w:val="13"/>
                <w:b w:val="1"/>
                <w:bCs w:val="1"/>
                <w:color w:val="auto"/>
                <w:w w:val="89"/>
              </w:rPr>
              <w:t>Title of each class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4"/>
          </w:tcPr>
          <w:p>
            <w:pPr>
              <w:jc w:val="center"/>
              <w:ind w:right="1560"/>
              <w:spacing w:after="0"/>
              <w:rPr>
                <w:sz w:val="20"/>
                <w:szCs w:val="20"/>
                <w:color w:val="auto"/>
              </w:rPr>
            </w:pPr>
            <w:r>
              <w:rPr>
                <w:rFonts w:ascii="Arial" w:cs="Arial" w:eastAsia="Arial" w:hAnsi="Arial"/>
                <w:sz w:val="13"/>
                <w:szCs w:val="13"/>
                <w:b w:val="1"/>
                <w:bCs w:val="1"/>
                <w:color w:val="auto"/>
                <w:w w:val="92"/>
              </w:rPr>
              <w:t>Symbol(s)</w:t>
            </w:r>
          </w:p>
        </w:tc>
        <w:tc>
          <w:tcPr>
            <w:tcW w:w="3620" w:type="dxa"/>
            <w:vAlign w:val="bottom"/>
          </w:tcPr>
          <w:p>
            <w:pPr>
              <w:jc w:val="center"/>
              <w:ind w:right="691"/>
              <w:spacing w:after="0"/>
              <w:rPr>
                <w:sz w:val="20"/>
                <w:szCs w:val="20"/>
                <w:color w:val="auto"/>
              </w:rPr>
            </w:pPr>
            <w:r>
              <w:rPr>
                <w:rFonts w:ascii="Arial" w:cs="Arial" w:eastAsia="Arial" w:hAnsi="Arial"/>
                <w:sz w:val="13"/>
                <w:szCs w:val="13"/>
                <w:b w:val="1"/>
                <w:bCs w:val="1"/>
                <w:color w:val="auto"/>
                <w:w w:val="91"/>
              </w:rPr>
              <w:t>Name of each exchange on which registered</w:t>
            </w:r>
          </w:p>
        </w:tc>
        <w:tc>
          <w:tcPr>
            <w:tcW w:w="0" w:type="dxa"/>
            <w:vAlign w:val="bottom"/>
          </w:tcPr>
          <w:p>
            <w:pPr>
              <w:spacing w:after="0"/>
              <w:rPr>
                <w:sz w:val="1"/>
                <w:szCs w:val="1"/>
                <w:color w:val="auto"/>
              </w:rPr>
            </w:pPr>
          </w:p>
        </w:tc>
      </w:tr>
      <w:tr>
        <w:trPr>
          <w:trHeight w:val="166"/>
        </w:trPr>
        <w:tc>
          <w:tcPr>
            <w:tcW w:w="3720" w:type="dxa"/>
            <w:vAlign w:val="bottom"/>
            <w:tcBorders>
              <w:top w:val="single" w:sz="8" w:color="auto"/>
            </w:tcBorders>
          </w:tcPr>
          <w:p>
            <w:pPr>
              <w:jc w:val="center"/>
              <w:ind w:left="628"/>
              <w:spacing w:after="0"/>
              <w:rPr>
                <w:sz w:val="20"/>
                <w:szCs w:val="20"/>
                <w:color w:val="auto"/>
              </w:rPr>
            </w:pPr>
            <w:r>
              <w:rPr>
                <w:rFonts w:ascii="Arial" w:cs="Arial" w:eastAsia="Arial" w:hAnsi="Arial"/>
                <w:sz w:val="13"/>
                <w:szCs w:val="13"/>
                <w:color w:val="auto"/>
                <w:w w:val="93"/>
              </w:rPr>
              <w:t>Common Stock, $0.001 par value per share</w:t>
            </w: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jc w:val="center"/>
              <w:ind w:right="680"/>
              <w:spacing w:after="0"/>
              <w:rPr>
                <w:sz w:val="20"/>
                <w:szCs w:val="20"/>
                <w:color w:val="auto"/>
              </w:rPr>
            </w:pPr>
            <w:r>
              <w:rPr>
                <w:rFonts w:ascii="Arial" w:cs="Arial" w:eastAsia="Arial" w:hAnsi="Arial"/>
                <w:sz w:val="13"/>
                <w:szCs w:val="13"/>
                <w:color w:val="auto"/>
              </w:rPr>
              <w:t>PCVX</w:t>
            </w:r>
          </w:p>
        </w:tc>
        <w:tc>
          <w:tcPr>
            <w:tcW w:w="1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620" w:type="dxa"/>
            <w:vAlign w:val="bottom"/>
            <w:tcBorders>
              <w:top w:val="single" w:sz="8" w:color="auto"/>
            </w:tcBorders>
          </w:tcPr>
          <w:p>
            <w:pPr>
              <w:jc w:val="center"/>
              <w:ind w:right="691"/>
              <w:spacing w:after="0"/>
              <w:rPr>
                <w:sz w:val="20"/>
                <w:szCs w:val="20"/>
                <w:color w:val="auto"/>
              </w:rPr>
            </w:pPr>
            <w:r>
              <w:rPr>
                <w:rFonts w:ascii="Arial" w:cs="Arial" w:eastAsia="Arial" w:hAnsi="Arial"/>
                <w:sz w:val="13"/>
                <w:szCs w:val="13"/>
                <w:color w:val="auto"/>
                <w:w w:val="94"/>
              </w:rPr>
              <w:t>The Nasdaq Stock Market</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3940"/>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32" w:lineRule="exact"/>
        <w:rPr>
          <w:sz w:val="24"/>
          <w:szCs w:val="24"/>
          <w:color w:val="auto"/>
        </w:rPr>
      </w:pPr>
    </w:p>
    <w:p>
      <w:pPr>
        <w:ind w:right="4520"/>
        <w:spacing w:after="0" w:line="201"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6" w:lineRule="exact"/>
        <w:rPr>
          <w:sz w:val="24"/>
          <w:szCs w:val="24"/>
          <w:color w:val="auto"/>
        </w:rPr>
      </w:pPr>
    </w:p>
    <w:p>
      <w:pPr>
        <w:ind w:right="10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36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22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9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80" w:type="dxa"/>
            <w:vAlign w:val="bottom"/>
          </w:tcPr>
          <w:p>
            <w:pPr>
              <w:ind w:left="540"/>
              <w:spacing w:after="0" w:line="131" w:lineRule="exact"/>
              <w:rPr>
                <w:sz w:val="20"/>
                <w:szCs w:val="20"/>
                <w:color w:val="auto"/>
              </w:rPr>
            </w:pPr>
            <w:r>
              <w:rPr>
                <w:rFonts w:ascii="MS PGothic" w:cs="MS PGothic" w:eastAsia="MS PGothic" w:hAnsi="MS PGothic"/>
                <w:sz w:val="13"/>
                <w:szCs w:val="13"/>
                <w:color w:val="auto"/>
              </w:rPr>
              <w:t>☐</w:t>
            </w:r>
          </w:p>
        </w:tc>
        <w:tc>
          <w:tcPr>
            <w:tcW w:w="4900" w:type="dxa"/>
            <w:vAlign w:val="bottom"/>
          </w:tcPr>
          <w:p>
            <w:pPr>
              <w:ind w:left="3040"/>
              <w:spacing w:after="0"/>
              <w:rPr>
                <w:sz w:val="20"/>
                <w:szCs w:val="20"/>
                <w:color w:val="auto"/>
              </w:rPr>
            </w:pPr>
            <w:r>
              <w:rPr>
                <w:rFonts w:ascii="Arial" w:cs="Arial" w:eastAsia="Arial" w:hAnsi="Arial"/>
                <w:sz w:val="13"/>
                <w:szCs w:val="13"/>
                <w:color w:val="auto"/>
              </w:rPr>
              <w:t>Accelerated filer</w:t>
            </w:r>
          </w:p>
        </w:tc>
        <w:tc>
          <w:tcPr>
            <w:tcW w:w="600" w:type="dxa"/>
            <w:vAlign w:val="bottom"/>
          </w:tcPr>
          <w:p>
            <w:pPr>
              <w:ind w:left="5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57"/>
        </w:trPr>
        <w:tc>
          <w:tcPr>
            <w:tcW w:w="1920" w:type="dxa"/>
            <w:vAlign w:val="bottom"/>
          </w:tcPr>
          <w:p>
            <w:pPr>
              <w:spacing w:after="0"/>
              <w:rPr>
                <w:sz w:val="20"/>
                <w:szCs w:val="20"/>
                <w:color w:val="auto"/>
              </w:rPr>
            </w:pPr>
            <w:r>
              <w:rPr>
                <w:rFonts w:ascii="Arial" w:cs="Arial" w:eastAsia="Arial" w:hAnsi="Arial"/>
                <w:sz w:val="13"/>
                <w:szCs w:val="13"/>
                <w:color w:val="auto"/>
              </w:rPr>
              <w:t>Non-accelerated filer</w:t>
            </w:r>
          </w:p>
        </w:tc>
        <w:tc>
          <w:tcPr>
            <w:tcW w:w="3680" w:type="dxa"/>
            <w:vAlign w:val="bottom"/>
          </w:tcPr>
          <w:p>
            <w:pPr>
              <w:ind w:left="540"/>
              <w:spacing w:after="0" w:line="131" w:lineRule="exact"/>
              <w:rPr>
                <w:sz w:val="20"/>
                <w:szCs w:val="20"/>
                <w:color w:val="auto"/>
              </w:rPr>
            </w:pPr>
            <w:r>
              <w:rPr>
                <w:rFonts w:ascii="MS PGothic" w:cs="MS PGothic" w:eastAsia="MS PGothic" w:hAnsi="MS PGothic"/>
                <w:sz w:val="13"/>
                <w:szCs w:val="13"/>
                <w:color w:val="auto"/>
              </w:rPr>
              <w:t>☒</w:t>
            </w:r>
          </w:p>
        </w:tc>
        <w:tc>
          <w:tcPr>
            <w:tcW w:w="4900" w:type="dxa"/>
            <w:vAlign w:val="bottom"/>
          </w:tcPr>
          <w:p>
            <w:pPr>
              <w:ind w:left="3040"/>
              <w:spacing w:after="0"/>
              <w:rPr>
                <w:sz w:val="20"/>
                <w:szCs w:val="20"/>
                <w:color w:val="auto"/>
              </w:rPr>
            </w:pPr>
            <w:r>
              <w:rPr>
                <w:rFonts w:ascii="Arial" w:cs="Arial" w:eastAsia="Arial" w:hAnsi="Arial"/>
                <w:sz w:val="13"/>
                <w:szCs w:val="13"/>
                <w:color w:val="auto"/>
              </w:rPr>
              <w:t>Smaller reporting company</w:t>
            </w:r>
          </w:p>
        </w:tc>
        <w:tc>
          <w:tcPr>
            <w:tcW w:w="600" w:type="dxa"/>
            <w:vAlign w:val="bottom"/>
          </w:tcPr>
          <w:p>
            <w:pPr>
              <w:ind w:left="5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6"/>
        </w:trPr>
        <w:tc>
          <w:tcPr>
            <w:tcW w:w="192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80" w:type="dxa"/>
            <w:vAlign w:val="bottom"/>
          </w:tcPr>
          <w:p>
            <w:pPr>
              <w:ind w:left="540"/>
              <w:spacing w:after="0" w:line="131" w:lineRule="exact"/>
              <w:rPr>
                <w:sz w:val="20"/>
                <w:szCs w:val="20"/>
                <w:color w:val="auto"/>
              </w:rPr>
            </w:pPr>
            <w:r>
              <w:rPr>
                <w:rFonts w:ascii="MS PGothic" w:cs="MS PGothic" w:eastAsia="MS PGothic" w:hAnsi="MS PGothic"/>
                <w:sz w:val="13"/>
                <w:szCs w:val="13"/>
                <w:color w:val="auto"/>
              </w:rPr>
              <w:t>☒</w:t>
            </w:r>
          </w:p>
        </w:tc>
        <w:tc>
          <w:tcPr>
            <w:tcW w:w="490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spacing w:after="0" w:line="28" w:lineRule="exact"/>
        <w:rPr>
          <w:sz w:val="24"/>
          <w:szCs w:val="24"/>
          <w:color w:val="auto"/>
        </w:rPr>
      </w:pPr>
    </w:p>
    <w:p>
      <w:pPr>
        <w:ind w:right="32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 w:lineRule="exact"/>
        <w:rPr>
          <w:sz w:val="24"/>
          <w:szCs w:val="24"/>
          <w:color w:val="auto"/>
        </w:rPr>
      </w:pPr>
    </w:p>
    <w:p>
      <w:pPr>
        <w:ind w:right="22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4" w:lineRule="exact"/>
        <w:rPr>
          <w:sz w:val="24"/>
          <w:szCs w:val="24"/>
          <w:color w:val="auto"/>
        </w:rPr>
      </w:pPr>
    </w:p>
    <w:p>
      <w:pPr>
        <w:ind w:right="80"/>
        <w:spacing w:after="0" w:line="226"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based on the closing price of its Common Stock on the Nasdaq Global Select Market on June 30, 2020, the last business day of the Registrant’s most recently completed second fiscal quarter, was approximately $949.5 million. Shares of the Registrant’s common stock held by each executive officer, director and holder of 10% or more of the outstanding common stock have been excluded in that such persons may be deemed to be affiliates. This calculation does not reflect a determination that certain persons are affiliates of the Registrant for any other purpose.</w:t>
      </w:r>
    </w:p>
    <w:p>
      <w:pPr>
        <w:spacing w:after="0" w:line="31"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March 25, 2021 was 51,327,638.</w:t>
      </w:r>
    </w:p>
    <w:p>
      <w:pPr>
        <w:spacing w:after="0" w:line="40" w:lineRule="exact"/>
        <w:rPr>
          <w:sz w:val="24"/>
          <w:szCs w:val="24"/>
          <w:color w:val="auto"/>
        </w:rPr>
      </w:pPr>
    </w:p>
    <w:p>
      <w:pPr>
        <w:ind w:left="4260"/>
        <w:spacing w:after="0"/>
        <w:rPr>
          <w:sz w:val="20"/>
          <w:szCs w:val="20"/>
          <w:color w:val="auto"/>
        </w:rPr>
      </w:pPr>
      <w:r>
        <w:rPr>
          <w:rFonts w:ascii="Arial" w:cs="Arial" w:eastAsia="Arial" w:hAnsi="Arial"/>
          <w:sz w:val="13"/>
          <w:szCs w:val="13"/>
          <w:color w:val="auto"/>
        </w:rPr>
        <w:t>DOCUMENTS INCORPORATED BY REFERENCE</w:t>
      </w:r>
    </w:p>
    <w:p>
      <w:pPr>
        <w:spacing w:after="0" w:line="40" w:lineRule="exact"/>
        <w:rPr>
          <w:sz w:val="24"/>
          <w:szCs w:val="24"/>
          <w:color w:val="auto"/>
        </w:rPr>
      </w:pPr>
    </w:p>
    <w:p>
      <w:pPr>
        <w:ind w:right="20"/>
        <w:spacing w:after="0" w:line="236" w:lineRule="auto"/>
        <w:rPr>
          <w:sz w:val="20"/>
          <w:szCs w:val="20"/>
          <w:color w:val="auto"/>
        </w:rPr>
      </w:pPr>
      <w:r>
        <w:rPr>
          <w:rFonts w:ascii="Arial" w:cs="Arial" w:eastAsia="Arial" w:hAnsi="Arial"/>
          <w:sz w:val="13"/>
          <w:szCs w:val="13"/>
          <w:color w:val="auto"/>
        </w:rPr>
        <w:t>Part III incorporates information by reference from the Registrant’s definitive proxy statement to be filed with the U.S. Securities and Exchange Commission pursuant to Regulation 14A, not later than 120 days after the end of the fiscal year covered by this Annual Report on Form 10-K, in connection with the Registrant’s 2021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120" w:type="dxa"/>
            <w:vAlign w:val="bottom"/>
            <w:gridSpan w:val="8"/>
          </w:tcPr>
          <w:p>
            <w:pPr>
              <w:ind w:left="48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14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9440" w:type="dxa"/>
            <w:vAlign w:val="bottom"/>
            <w:gridSpan w:val="21"/>
          </w:tcPr>
          <w:p>
            <w:pPr>
              <w:spacing w:after="0" w:line="190"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Item 1A.</w:t>
            </w:r>
          </w:p>
        </w:tc>
        <w:tc>
          <w:tcPr>
            <w:tcW w:w="9440" w:type="dxa"/>
            <w:vAlign w:val="bottom"/>
            <w:gridSpan w:val="2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140"/>
              <w:spacing w:after="0"/>
              <w:rPr>
                <w:sz w:val="20"/>
                <w:szCs w:val="20"/>
                <w:color w:val="auto"/>
              </w:rPr>
            </w:pPr>
            <w:r>
              <w:rPr>
                <w:rFonts w:ascii="Arial" w:cs="Arial" w:eastAsia="Arial" w:hAnsi="Arial"/>
                <w:sz w:val="18"/>
                <w:szCs w:val="18"/>
                <w:color w:val="auto"/>
              </w:rPr>
              <w:t>Item 1B.</w:t>
            </w:r>
          </w:p>
        </w:tc>
        <w:tc>
          <w:tcPr>
            <w:tcW w:w="9440" w:type="dxa"/>
            <w:vAlign w:val="bottom"/>
            <w:gridSpan w:val="21"/>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Unresolved Staff Comments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7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01">
              <w:r>
                <w:rPr>
                  <w:rFonts w:ascii="Arial" w:cs="Arial" w:eastAsia="Arial" w:hAnsi="Arial"/>
                  <w:sz w:val="18"/>
                  <w:szCs w:val="18"/>
                  <w:color w:val="0000EE"/>
                  <w:w w:val="87"/>
                </w:rPr>
                <w:t>Properties</w:t>
              </w:r>
            </w:hyperlink>
          </w:p>
        </w:tc>
        <w:tc>
          <w:tcPr>
            <w:tcW w:w="1280" w:type="dxa"/>
            <w:vAlign w:val="bottom"/>
            <w:tcBorders>
              <w:top w:val="single" w:sz="8" w:color="0000EE"/>
            </w:tcBorders>
            <w:gridSpan w:val="8"/>
          </w:tcPr>
          <w:p>
            <w:pPr>
              <w:spacing w:after="0"/>
              <w:rPr>
                <w:sz w:val="18"/>
                <w:szCs w:val="18"/>
                <w:color w:val="auto"/>
              </w:rPr>
            </w:pPr>
          </w:p>
        </w:tc>
        <w:tc>
          <w:tcPr>
            <w:tcW w:w="7400" w:type="dxa"/>
            <w:vAlign w:val="bottom"/>
            <w:gridSpan w:val="11"/>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01">
              <w:r>
                <w:rPr>
                  <w:rFonts w:ascii="Arial" w:cs="Arial" w:eastAsia="Arial" w:hAnsi="Arial"/>
                  <w:sz w:val="18"/>
                  <w:szCs w:val="18"/>
                  <w:color w:val="0000EE"/>
                  <w:w w:val="88"/>
                </w:rPr>
                <w:t>Legal Proceedings</w:t>
              </w:r>
            </w:hyperlink>
          </w:p>
        </w:tc>
        <w:tc>
          <w:tcPr>
            <w:tcW w:w="8100" w:type="dxa"/>
            <w:vAlign w:val="bottom"/>
            <w:gridSpan w:val="16"/>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Item 4.</w:t>
            </w:r>
          </w:p>
        </w:tc>
        <w:tc>
          <w:tcPr>
            <w:tcW w:w="9440" w:type="dxa"/>
            <w:vAlign w:val="bottom"/>
            <w:gridSpan w:val="21"/>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479"/>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0"/>
          </w:tcPr>
          <w:p>
            <w:pPr>
              <w:spacing w:after="0" w:line="190"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Market for Registrant’s Common Equity, Related Stockholder Matters and Issuer Purchases of Equity Securities</w:t>
              </w:r>
            </w:hyperlink>
          </w:p>
        </w:tc>
        <w:tc>
          <w:tcPr>
            <w:tcW w:w="1360" w:type="dxa"/>
            <w:vAlign w:val="bottom"/>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03">
              <w:r>
                <w:rPr>
                  <w:rFonts w:ascii="Arial" w:cs="Arial" w:eastAsia="Arial" w:hAnsi="Arial"/>
                  <w:sz w:val="18"/>
                  <w:szCs w:val="18"/>
                  <w:color w:val="0000EE"/>
                  <w:w w:val="89"/>
                </w:rPr>
                <w:t>Selected Financial Data</w:t>
              </w:r>
            </w:hyperlink>
          </w:p>
        </w:tc>
        <w:tc>
          <w:tcPr>
            <w:tcW w:w="7720" w:type="dxa"/>
            <w:vAlign w:val="bottom"/>
            <w:gridSpan w:val="14"/>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120">
              <w:r>
                <w:rPr>
                  <w:rFonts w:ascii="Arial" w:cs="Arial" w:eastAsia="Arial" w:hAnsi="Arial"/>
                  <w:sz w:val="18"/>
                  <w:szCs w:val="18"/>
                  <w:color w:val="0000EE"/>
                  <w:w w:val="92"/>
                </w:rPr>
                <w:t>Quantitative and Qualitative Disclosures About Market Risk</w:t>
              </w:r>
            </w:hyperlink>
          </w:p>
        </w:tc>
        <w:tc>
          <w:tcPr>
            <w:tcW w:w="508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1140" w:type="dxa"/>
            <w:vAlign w:val="bottom"/>
          </w:tcPr>
          <w:p>
            <w:pPr>
              <w:ind w:left="140"/>
              <w:spacing w:after="0"/>
              <w:rPr>
                <w:sz w:val="20"/>
                <w:szCs w:val="20"/>
                <w:color w:val="auto"/>
              </w:rPr>
            </w:pPr>
            <w:r>
              <w:rPr>
                <w:rFonts w:ascii="Arial" w:cs="Arial" w:eastAsia="Arial" w:hAnsi="Arial"/>
                <w:sz w:val="18"/>
                <w:szCs w:val="18"/>
                <w:color w:val="auto"/>
              </w:rPr>
              <w:t>Item 8.</w:t>
            </w:r>
          </w:p>
        </w:tc>
        <w:tc>
          <w:tcPr>
            <w:tcW w:w="9440" w:type="dxa"/>
            <w:vAlign w:val="bottom"/>
            <w:gridSpan w:val="21"/>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Financial Statements and Supplementary Data</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140"/>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48">
              <w:r>
                <w:rPr>
                  <w:rFonts w:ascii="Arial" w:cs="Arial" w:eastAsia="Arial" w:hAnsi="Arial"/>
                  <w:sz w:val="18"/>
                  <w:szCs w:val="18"/>
                  <w:color w:val="0000EE"/>
                  <w:w w:val="90"/>
                </w:rPr>
                <w:t>Changes in and Disagreements With Accountants on Accounting and Financial Disclosure</w:t>
              </w:r>
            </w:hyperlink>
          </w:p>
        </w:tc>
        <w:tc>
          <w:tcPr>
            <w:tcW w:w="292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48">
              <w:r>
                <w:rPr>
                  <w:rFonts w:ascii="Arial" w:cs="Arial" w:eastAsia="Arial" w:hAnsi="Arial"/>
                  <w:sz w:val="18"/>
                  <w:szCs w:val="18"/>
                  <w:color w:val="0000EE"/>
                  <w:w w:val="88"/>
                </w:rPr>
                <w:t>Controls and Procedures</w:t>
              </w:r>
            </w:hyperlink>
          </w:p>
        </w:tc>
        <w:tc>
          <w:tcPr>
            <w:tcW w:w="766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1140" w:type="dxa"/>
            <w:vAlign w:val="bottom"/>
          </w:tcPr>
          <w:p>
            <w:pPr>
              <w:ind w:left="140"/>
              <w:spacing w:after="0"/>
              <w:rPr>
                <w:sz w:val="20"/>
                <w:szCs w:val="20"/>
                <w:color w:val="auto"/>
              </w:rPr>
            </w:pPr>
            <w:r>
              <w:rPr>
                <w:rFonts w:ascii="Arial" w:cs="Arial" w:eastAsia="Arial" w:hAnsi="Arial"/>
                <w:sz w:val="18"/>
                <w:szCs w:val="18"/>
                <w:color w:val="auto"/>
              </w:rPr>
              <w:t>Item 9B.</w:t>
            </w:r>
          </w:p>
        </w:tc>
        <w:tc>
          <w:tcPr>
            <w:tcW w:w="9440" w:type="dxa"/>
            <w:vAlign w:val="bottom"/>
            <w:gridSpan w:val="21"/>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479"/>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line="190" w:lineRule="exact"/>
              <w:rPr>
                <w:rFonts w:ascii="Arial" w:cs="Arial" w:eastAsia="Arial" w:hAnsi="Arial"/>
                <w:sz w:val="18"/>
                <w:szCs w:val="18"/>
                <w:color w:val="0000EE"/>
                <w:w w:val="90"/>
              </w:rPr>
            </w:pPr>
            <w:hyperlink w:anchor="page149">
              <w:r>
                <w:rPr>
                  <w:rFonts w:ascii="Arial" w:cs="Arial" w:eastAsia="Arial" w:hAnsi="Arial"/>
                  <w:sz w:val="18"/>
                  <w:szCs w:val="18"/>
                  <w:color w:val="0000EE"/>
                  <w:w w:val="90"/>
                </w:rPr>
                <w:t>Directors, Executive Officers and Corporate Governance</w:t>
              </w:r>
            </w:hyperlink>
          </w:p>
        </w:tc>
        <w:tc>
          <w:tcPr>
            <w:tcW w:w="5340" w:type="dxa"/>
            <w:vAlign w:val="bottom"/>
            <w:gridSpan w:val="7"/>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Item 11.</w:t>
            </w:r>
          </w:p>
        </w:tc>
        <w:tc>
          <w:tcPr>
            <w:tcW w:w="9440" w:type="dxa"/>
            <w:vAlign w:val="bottom"/>
            <w:gridSpan w:val="21"/>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Executive Compensation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49">
              <w:r>
                <w:rPr>
                  <w:rFonts w:ascii="Arial" w:cs="Arial" w:eastAsia="Arial" w:hAnsi="Arial"/>
                  <w:sz w:val="18"/>
                  <w:szCs w:val="18"/>
                  <w:color w:val="0000EE"/>
                  <w:w w:val="90"/>
                </w:rPr>
                <w:t>Security Ownership of Certain Beneficial Owners and Management and Related Stockholder Matters</w:t>
              </w:r>
            </w:hyperlink>
          </w:p>
        </w:tc>
        <w:tc>
          <w:tcPr>
            <w:tcW w:w="214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49">
              <w:r>
                <w:rPr>
                  <w:rFonts w:ascii="Arial" w:cs="Arial" w:eastAsia="Arial" w:hAnsi="Arial"/>
                  <w:sz w:val="18"/>
                  <w:szCs w:val="18"/>
                  <w:color w:val="0000EE"/>
                  <w:w w:val="89"/>
                </w:rPr>
                <w:t>Certain Relationships and Related Transactions, and Director Independence</w:t>
              </w:r>
            </w:hyperlink>
          </w:p>
        </w:tc>
        <w:tc>
          <w:tcPr>
            <w:tcW w:w="398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1140" w:type="dxa"/>
            <w:vAlign w:val="bottom"/>
          </w:tcPr>
          <w:p>
            <w:pPr>
              <w:ind w:left="140"/>
              <w:spacing w:after="0"/>
              <w:rPr>
                <w:sz w:val="20"/>
                <w:szCs w:val="20"/>
                <w:color w:val="auto"/>
              </w:rPr>
            </w:pPr>
            <w:r>
              <w:rPr>
                <w:rFonts w:ascii="Arial" w:cs="Arial" w:eastAsia="Arial" w:hAnsi="Arial"/>
                <w:sz w:val="18"/>
                <w:szCs w:val="18"/>
                <w:color w:val="auto"/>
              </w:rPr>
              <w:t>Item 14.</w:t>
            </w:r>
          </w:p>
        </w:tc>
        <w:tc>
          <w:tcPr>
            <w:tcW w:w="9440" w:type="dxa"/>
            <w:vAlign w:val="bottom"/>
            <w:gridSpan w:val="21"/>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Principal Accounting Fees and Services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479"/>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9440" w:type="dxa"/>
            <w:vAlign w:val="bottom"/>
            <w:gridSpan w:val="21"/>
          </w:tcPr>
          <w:p>
            <w:pPr>
              <w:spacing w:after="0" w:line="190" w:lineRule="exact"/>
              <w:rPr>
                <w:rFonts w:ascii="Arial" w:cs="Arial" w:eastAsia="Arial" w:hAnsi="Arial"/>
                <w:sz w:val="18"/>
                <w:szCs w:val="18"/>
                <w:color w:val="0000EE"/>
              </w:rPr>
            </w:pPr>
            <w:hyperlink w:anchor="page150">
              <w:r>
                <w:rPr>
                  <w:rFonts w:ascii="Arial" w:cs="Arial" w:eastAsia="Arial" w:hAnsi="Arial"/>
                  <w:sz w:val="18"/>
                  <w:szCs w:val="18"/>
                  <w:color w:val="0000EE"/>
                </w:rPr>
                <w:t>Exhibits, Financial Statement Schedules</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9"/>
        </w:trPr>
        <w:tc>
          <w:tcPr>
            <w:tcW w:w="1140" w:type="dxa"/>
            <w:vAlign w:val="bottom"/>
          </w:tcPr>
          <w:p>
            <w:pPr>
              <w:ind w:left="140"/>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150">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6"/>
          </w:tcPr>
          <w:p>
            <w:pPr>
              <w:spacing w:after="0"/>
              <w:rPr>
                <w:sz w:val="18"/>
                <w:szCs w:val="18"/>
                <w:color w:val="auto"/>
              </w:rPr>
            </w:pPr>
          </w:p>
        </w:tc>
        <w:tc>
          <w:tcPr>
            <w:tcW w:w="6540" w:type="dxa"/>
            <w:vAlign w:val="bottom"/>
            <w:gridSpan w:val="9"/>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9440" w:type="dxa"/>
            <w:vAlign w:val="bottom"/>
            <w:gridSpan w:val="21"/>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Signatures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Unless the context otherwise requires, all references in this Annual Report on Form 10-K to “we,” “us,” “our,” “our company” and “Vaxcyte” refer to Vaxcyte, Inc.</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“Vaxcyte,” “eCRM,” and other trademarks of ours appearing in this report are our property. This report contains additional trade names and trademarks of other companies. We do not intend our use or display of other companies’ trade names or trademarks to imply an endorsement or sponsorship of us by such companies, or any relationship with any of these companies.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1175"/>
        <w:spacing w:after="0" w:line="293" w:lineRule="auto"/>
        <w:rPr>
          <w:sz w:val="20"/>
          <w:szCs w:val="20"/>
          <w:color w:val="auto"/>
        </w:rPr>
      </w:pPr>
      <w:r>
        <w:rPr>
          <w:rFonts w:ascii="Arial" w:cs="Arial" w:eastAsia="Arial" w:hAnsi="Arial"/>
          <w:sz w:val="16"/>
          <w:szCs w:val="16"/>
          <w:color w:val="auto"/>
        </w:rPr>
        <w:t>This Annual Report on Form 10-K contains forward-looking statements about us and our industry that involve substantial risks and uncertainties. All statements other than statements of historical facts contained in this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“seek,” “should,” “target,” “will,” or “would,” or the negative of these words or other similar terms or expressions. Forward-looking statements contained in this Annual Report on Form 10-K include, but are not limited to, statements about:</w:t>
      </w:r>
    </w:p>
    <w:p>
      <w:pPr>
        <w:spacing w:after="0" w:line="164" w:lineRule="exact"/>
        <w:rPr>
          <w:sz w:val="20"/>
          <w:szCs w:val="20"/>
          <w:color w:val="auto"/>
        </w:rPr>
      </w:pPr>
    </w:p>
    <w:p>
      <w:pPr>
        <w:ind w:left="1620" w:hanging="438"/>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spectrum coverage and immunogenicity of our vaccine candidates;</w:t>
      </w:r>
    </w:p>
    <w:p>
      <w:pPr>
        <w:spacing w:after="0" w:line="225" w:lineRule="exact"/>
        <w:rPr>
          <w:rFonts w:ascii="Arial" w:cs="Arial" w:eastAsia="Arial" w:hAnsi="Arial"/>
          <w:sz w:val="18"/>
          <w:szCs w:val="18"/>
          <w:color w:val="auto"/>
        </w:rPr>
      </w:pPr>
    </w:p>
    <w:p>
      <w:pPr>
        <w:ind w:left="1620" w:hanging="438"/>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preclinical study results potentially being predictive of clinical study results;</w:t>
      </w:r>
    </w:p>
    <w:p>
      <w:pPr>
        <w:spacing w:after="0" w:line="225" w:lineRule="exact"/>
        <w:rPr>
          <w:rFonts w:ascii="Arial" w:cs="Arial" w:eastAsia="Arial" w:hAnsi="Arial"/>
          <w:sz w:val="18"/>
          <w:szCs w:val="18"/>
          <w:color w:val="auto"/>
        </w:rPr>
      </w:pPr>
    </w:p>
    <w:p>
      <w:pPr>
        <w:ind w:left="1620" w:right="40" w:hanging="438"/>
        <w:spacing w:after="0" w:line="342"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 that our pneumococcal conjugate vaccine candidates could receive regulatory approval based on a demonstration of non-inferiority to the standard of care using well-defined surrogate immune endpoints rather than requiring clinical field efficacy studies;</w:t>
      </w:r>
    </w:p>
    <w:p>
      <w:pPr>
        <w:spacing w:after="0" w:line="123" w:lineRule="exact"/>
        <w:rPr>
          <w:rFonts w:ascii="Arial" w:cs="Arial" w:eastAsia="Arial" w:hAnsi="Arial"/>
          <w:sz w:val="16"/>
          <w:szCs w:val="16"/>
          <w:color w:val="auto"/>
        </w:rPr>
      </w:pPr>
    </w:p>
    <w:p>
      <w:pPr>
        <w:ind w:left="1620" w:right="140" w:hanging="438"/>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initiation, progress and potential results of our preclinical studies, clinical trials and our research and development programs;</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vaccine candidates into, and successfully complete, preclinical studies and clinical trials;</w:t>
      </w:r>
    </w:p>
    <w:p>
      <w:pPr>
        <w:spacing w:after="0" w:line="225" w:lineRule="exact"/>
        <w:rPr>
          <w:rFonts w:ascii="Arial" w:cs="Arial" w:eastAsia="Arial" w:hAnsi="Arial"/>
          <w:sz w:val="18"/>
          <w:szCs w:val="18"/>
          <w:color w:val="auto"/>
        </w:rPr>
      </w:pPr>
    </w:p>
    <w:p>
      <w:pPr>
        <w:ind w:left="1620" w:hanging="438"/>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vaccine candidates, if approved;</w:t>
      </w:r>
    </w:p>
    <w:p>
      <w:pPr>
        <w:spacing w:after="0" w:line="225" w:lineRule="exact"/>
        <w:rPr>
          <w:rFonts w:ascii="Arial" w:cs="Arial" w:eastAsia="Arial" w:hAnsi="Arial"/>
          <w:sz w:val="18"/>
          <w:szCs w:val="18"/>
          <w:color w:val="auto"/>
        </w:rPr>
      </w:pPr>
    </w:p>
    <w:p>
      <w:pPr>
        <w:ind w:left="1620" w:hanging="438"/>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future revenue, expenses, capital requirements and our needs for additional financing;</w:t>
      </w:r>
    </w:p>
    <w:p>
      <w:pPr>
        <w:spacing w:after="0" w:line="225" w:lineRule="exact"/>
        <w:rPr>
          <w:rFonts w:ascii="Arial" w:cs="Arial" w:eastAsia="Arial" w:hAnsi="Arial"/>
          <w:sz w:val="18"/>
          <w:szCs w:val="18"/>
          <w:color w:val="auto"/>
        </w:rPr>
      </w:pPr>
    </w:p>
    <w:p>
      <w:pPr>
        <w:ind w:left="1620" w:hanging="438"/>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225" w:lineRule="exact"/>
        <w:rPr>
          <w:rFonts w:ascii="Arial" w:cs="Arial" w:eastAsia="Arial" w:hAnsi="Arial"/>
          <w:sz w:val="18"/>
          <w:szCs w:val="18"/>
          <w:color w:val="auto"/>
        </w:rPr>
      </w:pPr>
    </w:p>
    <w:p>
      <w:pPr>
        <w:ind w:left="1620" w:hanging="438"/>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claims of infringement;</w:t>
      </w:r>
    </w:p>
    <w:p>
      <w:pPr>
        <w:spacing w:after="0" w:line="225" w:lineRule="exact"/>
        <w:rPr>
          <w:rFonts w:ascii="Arial" w:cs="Arial" w:eastAsia="Arial" w:hAnsi="Arial"/>
          <w:sz w:val="18"/>
          <w:szCs w:val="18"/>
          <w:color w:val="auto"/>
        </w:rPr>
      </w:pPr>
    </w:p>
    <w:p>
      <w:pPr>
        <w:ind w:left="1620" w:hanging="438"/>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third-party manufacturers’ manufacturing capabilities and the scalable nature of our manufacturing process;</w:t>
      </w:r>
    </w:p>
    <w:p>
      <w:pPr>
        <w:spacing w:after="0" w:line="225" w:lineRule="exact"/>
        <w:rPr>
          <w:rFonts w:ascii="Arial" w:cs="Arial" w:eastAsia="Arial" w:hAnsi="Arial"/>
          <w:sz w:val="18"/>
          <w:szCs w:val="18"/>
          <w:color w:val="auto"/>
        </w:rPr>
      </w:pPr>
    </w:p>
    <w:p>
      <w:pPr>
        <w:ind w:left="1620" w:hanging="438"/>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of extensive government regulation;</w:t>
      </w:r>
    </w:p>
    <w:p>
      <w:pPr>
        <w:spacing w:after="0" w:line="225" w:lineRule="exact"/>
        <w:rPr>
          <w:rFonts w:ascii="Arial" w:cs="Arial" w:eastAsia="Arial" w:hAnsi="Arial"/>
          <w:sz w:val="18"/>
          <w:szCs w:val="18"/>
          <w:color w:val="auto"/>
        </w:rPr>
      </w:pPr>
    </w:p>
    <w:p>
      <w:pPr>
        <w:ind w:left="1620" w:hanging="438"/>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coverage and reimbursement of our vaccine candidates, if approved;</w:t>
      </w:r>
    </w:p>
    <w:p>
      <w:pPr>
        <w:spacing w:after="0" w:line="225" w:lineRule="exact"/>
        <w:rPr>
          <w:rFonts w:ascii="Arial" w:cs="Arial" w:eastAsia="Arial" w:hAnsi="Arial"/>
          <w:sz w:val="18"/>
          <w:szCs w:val="18"/>
          <w:color w:val="auto"/>
        </w:rPr>
      </w:pPr>
    </w:p>
    <w:p>
      <w:pPr>
        <w:ind w:left="1620" w:right="380" w:hanging="438"/>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ability of our third-party contract manufacturers to operate and continue operations in light of the COVID-19 pandemic;</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225" w:lineRule="exact"/>
        <w:rPr>
          <w:rFonts w:ascii="Arial" w:cs="Arial" w:eastAsia="Arial" w:hAnsi="Arial"/>
          <w:sz w:val="18"/>
          <w:szCs w:val="18"/>
          <w:color w:val="auto"/>
        </w:rPr>
      </w:pPr>
    </w:p>
    <w:p>
      <w:pPr>
        <w:ind w:left="1620" w:hanging="438"/>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w:t>
      </w:r>
    </w:p>
    <w:p>
      <w:pPr>
        <w:spacing w:after="0" w:line="225" w:lineRule="exact"/>
        <w:rPr>
          <w:rFonts w:ascii="Arial" w:cs="Arial" w:eastAsia="Arial" w:hAnsi="Arial"/>
          <w:sz w:val="18"/>
          <w:szCs w:val="18"/>
          <w:color w:val="auto"/>
        </w:rPr>
      </w:pPr>
    </w:p>
    <w:p>
      <w:pPr>
        <w:ind w:left="1620" w:hanging="438"/>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 and</w:t>
      </w:r>
    </w:p>
    <w:p>
      <w:pPr>
        <w:spacing w:after="0" w:line="225" w:lineRule="exact"/>
        <w:rPr>
          <w:rFonts w:ascii="Arial" w:cs="Arial" w:eastAsia="Arial" w:hAnsi="Arial"/>
          <w:sz w:val="18"/>
          <w:szCs w:val="18"/>
          <w:color w:val="auto"/>
        </w:rPr>
      </w:pPr>
    </w:p>
    <w:p>
      <w:pPr>
        <w:ind w:left="1620" w:hanging="438"/>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the time during which we will be an emerging growth company under the Jumpstart Our Business Startups Act.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ind w:firstLine="1175"/>
        <w:spacing w:after="0" w:line="290" w:lineRule="auto"/>
        <w:rPr>
          <w:sz w:val="20"/>
          <w:szCs w:val="20"/>
          <w:color w:val="auto"/>
        </w:rPr>
      </w:pPr>
      <w:r>
        <w:rPr>
          <w:rFonts w:ascii="Arial" w:cs="Arial" w:eastAsia="Arial" w:hAnsi="Arial"/>
          <w:sz w:val="16"/>
          <w:szCs w:val="16"/>
          <w:color w:val="auto"/>
        </w:rPr>
        <w:t>Actual events or results may differ from those expressed in forward-looking statements. 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65" w:lineRule="exact"/>
        <w:rPr>
          <w:sz w:val="20"/>
          <w:szCs w:val="20"/>
          <w:color w:val="auto"/>
        </w:rPr>
      </w:pPr>
    </w:p>
    <w:p>
      <w:pPr>
        <w:ind w:right="80" w:firstLine="1175"/>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8" w:lineRule="exact"/>
        <w:rPr>
          <w:sz w:val="20"/>
          <w:szCs w:val="20"/>
          <w:color w:val="auto"/>
        </w:rPr>
      </w:pPr>
    </w:p>
    <w:p>
      <w:pPr>
        <w:ind w:right="80" w:firstLine="1175"/>
        <w:spacing w:after="0" w:line="255"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 Affecting Our Business</w:t>
      </w:r>
    </w:p>
    <w:p>
      <w:pPr>
        <w:spacing w:after="0" w:line="22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Our business is subject to numerous risks and uncertainties, including those discussed more fully in the section titled “Risk Factors”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These risks include, but are not limited to, the following:</w:t>
      </w:r>
    </w:p>
    <w:p>
      <w:pPr>
        <w:spacing w:after="0" w:line="211" w:lineRule="exact"/>
        <w:rPr>
          <w:sz w:val="20"/>
          <w:szCs w:val="20"/>
          <w:color w:val="auto"/>
        </w:rPr>
      </w:pPr>
    </w:p>
    <w:p>
      <w:pPr>
        <w:ind w:left="1620" w:right="20" w:hanging="438"/>
        <w:spacing w:after="0" w:line="342" w:lineRule="auto"/>
        <w:tabs>
          <w:tab w:leader="none" w:pos="1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in the early stages of vaccine development and have a very limited operating history and no products approved for commercial sale, which may make it difficult for you to evaluate the success of our business to date and to assess our future viability.</w:t>
      </w:r>
    </w:p>
    <w:p>
      <w:pPr>
        <w:spacing w:after="0" w:line="123" w:lineRule="exact"/>
        <w:rPr>
          <w:rFonts w:ascii="Arial" w:cs="Arial" w:eastAsia="Arial" w:hAnsi="Arial"/>
          <w:sz w:val="16"/>
          <w:szCs w:val="16"/>
          <w:color w:val="auto"/>
        </w:rPr>
      </w:pPr>
    </w:p>
    <w:p>
      <w:pPr>
        <w:ind w:left="1620" w:right="380" w:hanging="438"/>
        <w:spacing w:after="0" w:line="263"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net losses since inception and anticipate that we will continue to incur substantial net losses for the foreseeable future. We currently have no source of product revenue and may never achieve profitability. Our stock is a highly speculative investment.</w:t>
      </w:r>
    </w:p>
    <w:p>
      <w:pPr>
        <w:spacing w:after="0" w:line="183" w:lineRule="exact"/>
        <w:rPr>
          <w:rFonts w:ascii="Arial" w:cs="Arial" w:eastAsia="Arial" w:hAnsi="Arial"/>
          <w:sz w:val="18"/>
          <w:szCs w:val="18"/>
          <w:color w:val="auto"/>
        </w:rPr>
      </w:pPr>
    </w:p>
    <w:p>
      <w:pPr>
        <w:ind w:left="1620" w:right="120" w:hanging="438"/>
        <w:spacing w:after="0" w:line="263"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substantial additional funding to finance our operations, which may not be available to us on acceptable terms, or at all. If we are unable to raise additional capital when needed, we could be forced to delay, reduce or terminate certain of our development programs or other operations.</w:t>
      </w:r>
    </w:p>
    <w:p>
      <w:pPr>
        <w:spacing w:after="0" w:line="183" w:lineRule="exact"/>
        <w:rPr>
          <w:rFonts w:ascii="Arial" w:cs="Arial" w:eastAsia="Arial" w:hAnsi="Arial"/>
          <w:sz w:val="18"/>
          <w:szCs w:val="18"/>
          <w:color w:val="auto"/>
        </w:rPr>
      </w:pPr>
    </w:p>
    <w:p>
      <w:pPr>
        <w:ind w:left="1620" w:right="200" w:hanging="438"/>
        <w:spacing w:after="0" w:line="263"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approach to the discovery and development of our vaccine candidates is based on novel technologies that are unproven, which may expose us to unforeseen risks, require us to modify processes, and make it difficult to predict the time and cost of vaccine candidate development and the timing to apply for and obtain regulatory approvals.</w:t>
      </w:r>
    </w:p>
    <w:p>
      <w:pPr>
        <w:spacing w:after="0" w:line="183" w:lineRule="exact"/>
        <w:rPr>
          <w:rFonts w:ascii="Arial" w:cs="Arial" w:eastAsia="Arial" w:hAnsi="Arial"/>
          <w:sz w:val="18"/>
          <w:szCs w:val="18"/>
          <w:color w:val="auto"/>
        </w:rPr>
      </w:pPr>
    </w:p>
    <w:p>
      <w:pPr>
        <w:ind w:left="1620" w:right="120" w:hanging="438"/>
        <w:spacing w:after="0" w:line="263"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vaccine candidates have never been tested in human subjects and are in early, preclinical stages of development and may fail in development or suffer delays that materially and adversely affect their commercial viability. If we are unable to complete development of or commercialize our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 w:name="page5"/>
    <w:bookmarkEnd w:id="4"/>
    <w:p>
      <w:pPr>
        <w:ind w:left="500"/>
        <w:spacing w:after="0"/>
        <w:rPr>
          <w:sz w:val="20"/>
          <w:szCs w:val="20"/>
          <w:color w:val="auto"/>
        </w:rPr>
      </w:pPr>
      <w:r>
        <w:rPr>
          <w:rFonts w:ascii="Arial" w:cs="Arial" w:eastAsia="Arial" w:hAnsi="Arial"/>
          <w:sz w:val="18"/>
          <w:szCs w:val="18"/>
          <w:color w:val="auto"/>
        </w:rPr>
        <w:t>vaccine candidates or experience significant delays in doing so, our business would be materially harmed.</w:t>
      </w:r>
    </w:p>
    <w:p>
      <w:pPr>
        <w:spacing w:after="0" w:line="252" w:lineRule="exact"/>
        <w:rPr>
          <w:sz w:val="20"/>
          <w:szCs w:val="20"/>
          <w:color w:val="auto"/>
        </w:rPr>
      </w:pPr>
    </w:p>
    <w:p>
      <w:pPr>
        <w:ind w:left="500" w:right="480" w:hanging="438"/>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U.S. Food and Drug Administration, or FDA, may disagree with our regulatory plan, and we may fail to obtain regulatory approval of our vaccine candidates.</w:t>
      </w:r>
    </w:p>
    <w:p>
      <w:pPr>
        <w:spacing w:after="0" w:line="170" w:lineRule="exact"/>
        <w:rPr>
          <w:rFonts w:ascii="Arial" w:cs="Arial" w:eastAsia="Arial" w:hAnsi="Arial"/>
          <w:sz w:val="18"/>
          <w:szCs w:val="18"/>
          <w:color w:val="auto"/>
        </w:rPr>
      </w:pPr>
    </w:p>
    <w:p>
      <w:pPr>
        <w:ind w:left="500" w:right="140" w:hanging="438"/>
        <w:spacing w:after="0" w:line="251" w:lineRule="auto"/>
        <w:tabs>
          <w:tab w:leader="none" w:pos="500" w:val="left"/>
        </w:tabs>
        <w:numPr>
          <w:ilvl w:val="0"/>
          <w:numId w:val="5"/>
        </w:numPr>
        <w:rPr>
          <w:rFonts w:ascii="Arial" w:cs="Arial" w:eastAsia="Arial" w:hAnsi="Arial"/>
          <w:sz w:val="21"/>
          <w:szCs w:val="21"/>
          <w:color w:val="auto"/>
        </w:rPr>
      </w:pPr>
      <w:r>
        <w:rPr>
          <w:rFonts w:ascii="Arial" w:cs="Arial" w:eastAsia="Arial" w:hAnsi="Arial"/>
          <w:sz w:val="17"/>
          <w:szCs w:val="17"/>
          <w:color w:val="auto"/>
        </w:rPr>
        <w:t>Our business is highly dependent on the success of VAX-24, which is in the early stages of development. If we are unable to obtain approval for VAX-24 and effectively commercialize VAX-24, our business would be significantly harmed.</w:t>
      </w:r>
    </w:p>
    <w:p>
      <w:pPr>
        <w:spacing w:after="0" w:line="191" w:lineRule="exact"/>
        <w:rPr>
          <w:rFonts w:ascii="Arial" w:cs="Arial" w:eastAsia="Arial" w:hAnsi="Arial"/>
          <w:sz w:val="21"/>
          <w:szCs w:val="21"/>
          <w:color w:val="auto"/>
        </w:rPr>
      </w:pPr>
    </w:p>
    <w:p>
      <w:pPr>
        <w:ind w:left="500" w:right="120" w:hanging="438"/>
        <w:spacing w:after="0" w:line="263"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primary competitors have significantly greater resources and experience than we do, which may make it difficult for us to successfully develop our vaccine candidates, or may result in others discovering, developing or commercializing products before or more successfully than us.</w:t>
      </w:r>
    </w:p>
    <w:p>
      <w:pPr>
        <w:spacing w:after="0" w:line="183" w:lineRule="exact"/>
        <w:rPr>
          <w:rFonts w:ascii="Arial" w:cs="Arial" w:eastAsia="Arial" w:hAnsi="Arial"/>
          <w:sz w:val="18"/>
          <w:szCs w:val="18"/>
          <w:color w:val="auto"/>
        </w:rPr>
      </w:pPr>
    </w:p>
    <w:p>
      <w:pPr>
        <w:ind w:left="500" w:right="160" w:hanging="438"/>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successful in our efforts to use our cell-free protein synthesis platform to expand our pipeline of vaccine candidates and develop marketable products.</w:t>
      </w:r>
    </w:p>
    <w:p>
      <w:pPr>
        <w:spacing w:after="0" w:line="170" w:lineRule="exact"/>
        <w:rPr>
          <w:rFonts w:ascii="Arial" w:cs="Arial" w:eastAsia="Arial" w:hAnsi="Arial"/>
          <w:sz w:val="18"/>
          <w:szCs w:val="18"/>
          <w:color w:val="auto"/>
        </w:rPr>
      </w:pPr>
    </w:p>
    <w:p>
      <w:pPr>
        <w:ind w:left="500" w:right="180" w:hanging="438"/>
        <w:spacing w:after="0" w:line="273"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currently rely on third-party manufacturing and supply partners, including Lonza Ltd., or Lonza, and Sutro Biopharma, Inc., or Sutro Biopharma, to supply raw materials and components for, and manufacture of, our preclinical and clinical supplies as well as our vaccine candidates. Our inability to procure necessary raw materials or to have sufficient quantities of preclinical and clinical supplies or the inability to have our vaccine candidates manufactured, including delays or interruptions at our third-party manufacturers, or our failure to comply with applicable regulatory requirements or to supply sufficient quantities at acceptable quality levels or prices, or at all, would materially and adversely affect our business.</w:t>
      </w:r>
    </w:p>
    <w:p>
      <w:pPr>
        <w:spacing w:after="0" w:line="177" w:lineRule="exact"/>
        <w:rPr>
          <w:rFonts w:ascii="Arial" w:cs="Arial" w:eastAsia="Arial" w:hAnsi="Arial"/>
          <w:sz w:val="17"/>
          <w:szCs w:val="17"/>
          <w:color w:val="auto"/>
        </w:rPr>
      </w:pPr>
    </w:p>
    <w:p>
      <w:pPr>
        <w:ind w:left="500" w:hanging="438"/>
        <w:spacing w:after="0" w:line="25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could be adversely affected by the effects of health epidemics, including the ongoing effects of the COVID-19 pandemic, in regions where we or third parties on which we rely have significant manufacturing facilities, concentrations of potential clinical trial sites or other business operations. The COVID-19 pandemic could materially affect our operations, including at our headquarters in the San Francisco Bay Area, as well as the business or operations of our contract manufacturers or other third parties with whom we conduct business.</w:t>
      </w:r>
    </w:p>
    <w:p>
      <w:pPr>
        <w:spacing w:after="0" w:line="187" w:lineRule="exact"/>
        <w:rPr>
          <w:rFonts w:ascii="Arial" w:cs="Arial" w:eastAsia="Arial" w:hAnsi="Arial"/>
          <w:sz w:val="18"/>
          <w:szCs w:val="18"/>
          <w:color w:val="auto"/>
        </w:rPr>
      </w:pPr>
    </w:p>
    <w:p>
      <w:pPr>
        <w:ind w:left="500" w:right="480" w:hanging="438"/>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regulatory approval process is lengthy and time-consuming, and we may experience significant delays in the clinical development and regulatory approval of our vaccine candidates.</w:t>
      </w:r>
    </w:p>
    <w:p>
      <w:pPr>
        <w:spacing w:after="0" w:line="170" w:lineRule="exact"/>
        <w:rPr>
          <w:rFonts w:ascii="Arial" w:cs="Arial" w:eastAsia="Arial" w:hAnsi="Arial"/>
          <w:sz w:val="18"/>
          <w:szCs w:val="18"/>
          <w:color w:val="auto"/>
        </w:rPr>
      </w:pPr>
    </w:p>
    <w:p>
      <w:pPr>
        <w:ind w:left="500" w:right="320" w:hanging="438"/>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557" w:right="3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1175"/>
        <w:spacing w:after="0" w:line="311" w:lineRule="auto"/>
        <w:rPr>
          <w:sz w:val="20"/>
          <w:szCs w:val="20"/>
          <w:color w:val="auto"/>
        </w:rPr>
      </w:pPr>
      <w:r>
        <w:rPr>
          <w:rFonts w:ascii="Arial" w:cs="Arial" w:eastAsia="Arial" w:hAnsi="Arial"/>
          <w:sz w:val="16"/>
          <w:szCs w:val="16"/>
          <w:color w:val="auto"/>
        </w:rPr>
        <w:t>We are a next-generation vaccine company seeking to improve global health by developing superior and novel vaccines designed to prevent or treat some of the most common and deadly infectious diseases worldwide. Our cell-free protein synthesis platform enables us to design and produce protein carriers and antigens, the critical building blocks of vaccines, in ways that we believe conventional vaccine technologies currently cannot.</w:t>
      </w:r>
    </w:p>
    <w:p>
      <w:pPr>
        <w:spacing w:after="0" w:line="149" w:lineRule="exact"/>
        <w:rPr>
          <w:sz w:val="20"/>
          <w:szCs w:val="20"/>
          <w:color w:val="auto"/>
        </w:rPr>
      </w:pPr>
    </w:p>
    <w:p>
      <w:pPr>
        <w:ind w:right="80" w:firstLine="1175"/>
        <w:spacing w:after="0" w:line="293" w:lineRule="auto"/>
        <w:rPr>
          <w:sz w:val="20"/>
          <w:szCs w:val="20"/>
          <w:color w:val="auto"/>
        </w:rPr>
      </w:pPr>
      <w:r>
        <w:rPr>
          <w:rFonts w:ascii="Arial" w:cs="Arial" w:eastAsia="Arial" w:hAnsi="Arial"/>
          <w:sz w:val="16"/>
          <w:szCs w:val="16"/>
          <w:color w:val="auto"/>
        </w:rPr>
        <w:t>Vaccines are one of the most successful and cost-effective global health interventions and prevent millions of deaths worldwide each year. Routine pediatric vaccinations are estimated to prevent 20 million cases of disease each year, saving over $180 billion in direct and societal costs in the United States alone. Adult vaccination rates are lower than pediatric vaccination rates, but new technologies are driving adult vaccine development, which in turn is fueling the growth of the overall vaccine market. Given the critical role vaccines play in preventing disease from childhood to adulthood, the global vaccine market is large, durable and growing. Nonetheless, there are areas of unmet medical need, including vaccines that can provide broader protection than currently marketed vaccines and novel vaccines that target pathogens for which there are no currently approved vaccines.</w:t>
      </w:r>
    </w:p>
    <w:p>
      <w:pPr>
        <w:spacing w:after="0" w:line="164" w:lineRule="exact"/>
        <w:rPr>
          <w:sz w:val="20"/>
          <w:szCs w:val="20"/>
          <w:color w:val="auto"/>
        </w:rPr>
      </w:pPr>
    </w:p>
    <w:p>
      <w:pPr>
        <w:ind w:firstLine="1175"/>
        <w:spacing w:after="0" w:line="259" w:lineRule="auto"/>
        <w:rPr>
          <w:sz w:val="20"/>
          <w:szCs w:val="20"/>
          <w:color w:val="auto"/>
        </w:rPr>
      </w:pPr>
      <w:r>
        <w:rPr>
          <w:rFonts w:ascii="Arial" w:cs="Arial" w:eastAsia="Arial" w:hAnsi="Arial"/>
          <w:sz w:val="18"/>
          <w:szCs w:val="18"/>
          <w:color w:val="auto"/>
        </w:rPr>
        <w:t>We carefully select our target disease areas and vaccine candidates to address areas of significant unmet medical need based on the following criteria: well-defined commercial landscape and efficient market adoption, low biological risk and established clinical pathways. We are leveraging our scalable cell-free protein synthesis platform to develop potentially superior and novel conjugate and protein vaccine candidates for adult and pediatric indications using these criteria.</w:t>
      </w:r>
    </w:p>
    <w:p>
      <w:pPr>
        <w:spacing w:after="0" w:line="18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Our pipeline includes:</w:t>
      </w:r>
    </w:p>
    <w:p>
      <w:pPr>
        <w:spacing w:after="0" w:line="225" w:lineRule="exact"/>
        <w:rPr>
          <w:sz w:val="20"/>
          <w:szCs w:val="20"/>
          <w:color w:val="auto"/>
        </w:rPr>
      </w:pPr>
    </w:p>
    <w:p>
      <w:pPr>
        <w:ind w:left="2100" w:right="120" w:hanging="432"/>
        <w:spacing w:after="0" w:line="277" w:lineRule="auto"/>
        <w:tabs>
          <w:tab w:leader="none" w:pos="2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Pneumococcal conjugate vaccine, or PCV, candidates that we believe are the most broad-spectrum PCV candidates currently in development, targeting the $7 billion global pneumococcal vaccine market.</w:t>
      </w:r>
    </w:p>
    <w:p>
      <w:pPr>
        <w:spacing w:after="0" w:line="170" w:lineRule="exact"/>
        <w:rPr>
          <w:sz w:val="20"/>
          <w:szCs w:val="20"/>
          <w:color w:val="auto"/>
        </w:rPr>
      </w:pPr>
    </w:p>
    <w:p>
      <w:pPr>
        <w:ind w:left="2960" w:right="220" w:hanging="428"/>
        <w:spacing w:after="0" w:line="272" w:lineRule="auto"/>
        <w:tabs>
          <w:tab w:leader="none" w:pos="2960" w:val="left"/>
        </w:tabs>
        <w:numPr>
          <w:ilvl w:val="1"/>
          <w:numId w:val="7"/>
        </w:numPr>
        <w:rPr>
          <w:rFonts w:ascii="Courier New" w:cs="Courier New" w:eastAsia="Courier New" w:hAnsi="Courier New"/>
          <w:sz w:val="17"/>
          <w:szCs w:val="17"/>
          <w:color w:val="auto"/>
        </w:rPr>
      </w:pPr>
      <w:r>
        <w:rPr>
          <w:rFonts w:ascii="Arial" w:cs="Arial" w:eastAsia="Arial" w:hAnsi="Arial"/>
          <w:sz w:val="17"/>
          <w:szCs w:val="17"/>
          <w:color w:val="auto"/>
        </w:rPr>
        <w:t>Our lead vaccine candidate, VAX-24, is a 24-valent investigational PCV. We anticipate submitting our initial investigational new drug, or IND, application to the U.S. Food and Drug Administration, or FDA, for VAX-24 between January and June 2022 and initiating our Phase 1/2 clinical proof-of-concept study in adults thereafter. We expect to announce topline data from this study between late 2022 and early 2023.</w:t>
      </w:r>
    </w:p>
    <w:p>
      <w:pPr>
        <w:spacing w:after="0" w:line="176" w:lineRule="exact"/>
        <w:rPr>
          <w:rFonts w:ascii="Courier New" w:cs="Courier New" w:eastAsia="Courier New" w:hAnsi="Courier New"/>
          <w:sz w:val="17"/>
          <w:szCs w:val="17"/>
          <w:color w:val="auto"/>
        </w:rPr>
      </w:pPr>
    </w:p>
    <w:p>
      <w:pPr>
        <w:ind w:left="2960" w:right="200" w:hanging="428"/>
        <w:spacing w:after="0" w:line="254" w:lineRule="auto"/>
        <w:tabs>
          <w:tab w:leader="none" w:pos="296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Our second PCV candidate, VAX-XP, leverages our scalable and modular platform and builds on the technical proof of concept established by VAX-24 and is designed to expand the breadth of coverage to at least 30 strains without compromising immunogenicity due to carrier suppression.</w:t>
      </w:r>
    </w:p>
    <w:p>
      <w:pPr>
        <w:spacing w:after="0" w:line="189" w:lineRule="exact"/>
        <w:rPr>
          <w:rFonts w:ascii="Courier New" w:cs="Courier New" w:eastAsia="Courier New" w:hAnsi="Courier New"/>
          <w:sz w:val="18"/>
          <w:szCs w:val="18"/>
          <w:color w:val="auto"/>
        </w:rPr>
      </w:pPr>
    </w:p>
    <w:p>
      <w:pPr>
        <w:ind w:left="2100" w:right="100" w:hanging="432"/>
        <w:spacing w:after="0" w:line="255" w:lineRule="auto"/>
        <w:tabs>
          <w:tab w:leader="none" w:pos="2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VAX-A1, a novel conjugate vaccine candidate designed to treat Group A Strep, a preeminent human pathogen causing 700 million cases of disease annually, including pharyngitis, or strep throat, and certain severe invasive infections such as sepsis, necrotizing fasciitis and toxic shock syndrome. There is currently no vaccine against Group A Strep. We believe we have demonstrated preclinical proof of concept for VAX-A1, the data for which were published in December 2020. We nominated the final vaccine candidate for VAX-A1 in the first quarter of 2021 and anticipate initiating IND-enabling activities in the second half of 2021.</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 w:name="page7"/>
    <w:bookmarkEnd w:id="6"/>
    <w:p>
      <w:pPr>
        <w:ind w:left="2100" w:right="280" w:hanging="432"/>
        <w:spacing w:after="0" w:line="296" w:lineRule="auto"/>
        <w:tabs>
          <w:tab w:leader="none" w:pos="2100" w:val="left"/>
        </w:tabs>
        <w:numPr>
          <w:ilvl w:val="0"/>
          <w:numId w:val="8"/>
        </w:numPr>
        <w:rPr>
          <w:rFonts w:ascii="Arial" w:cs="Arial" w:eastAsia="Arial" w:hAnsi="Arial"/>
          <w:sz w:val="16"/>
          <w:szCs w:val="16"/>
          <w:color w:val="auto"/>
        </w:rPr>
      </w:pPr>
      <w:r>
        <w:rPr>
          <w:rFonts w:ascii="Arial" w:cs="Arial" w:eastAsia="Arial" w:hAnsi="Arial"/>
          <w:sz w:val="16"/>
          <w:szCs w:val="16"/>
          <w:color w:val="auto"/>
        </w:rPr>
        <w:t>VAX-PG, a novel protein vaccine candidate targeting the keystone pathogen responsible for periodontitis, a chronic oral inflammatory disease affecting an estimated 65 million adults in the United States. We believe we have demonstrated preclinical proof of concept, the data for which was published in February 2019. Our initial goal is to develop a therapeutic vaccine to slow or stop disease progression; however, the results from clinical trials may inform the potential adoption of prophylactic immunization. We anticipate nominating the final vaccine candidate for VAX-PG in the second half of 2021.</w:t>
      </w:r>
    </w:p>
    <w:p>
      <w:pPr>
        <w:spacing w:after="0" w:line="161" w:lineRule="exact"/>
        <w:rPr>
          <w:sz w:val="20"/>
          <w:szCs w:val="20"/>
          <w:color w:val="auto"/>
        </w:rPr>
      </w:pPr>
    </w:p>
    <w:p>
      <w:pPr>
        <w:ind w:right="260" w:firstLine="1175"/>
        <w:spacing w:after="0" w:line="277" w:lineRule="auto"/>
        <w:rPr>
          <w:sz w:val="20"/>
          <w:szCs w:val="20"/>
          <w:color w:val="auto"/>
        </w:rPr>
      </w:pPr>
      <w:r>
        <w:rPr>
          <w:rFonts w:ascii="Arial" w:cs="Arial" w:eastAsia="Arial" w:hAnsi="Arial"/>
          <w:sz w:val="18"/>
          <w:szCs w:val="18"/>
          <w:color w:val="auto"/>
        </w:rPr>
        <w:t>We have other discovery-stage programs that leverage our cell-free protein synthesis platform, which, if proven successful in preclinical studies, could also be advanced into IND-enabling activities and clinical studies.</w:t>
      </w:r>
    </w:p>
    <w:p>
      <w:pPr>
        <w:spacing w:after="0" w:line="170" w:lineRule="exact"/>
        <w:rPr>
          <w:sz w:val="20"/>
          <w:szCs w:val="20"/>
          <w:color w:val="auto"/>
        </w:rPr>
      </w:pPr>
    </w:p>
    <w:p>
      <w:pPr>
        <w:ind w:firstLine="1175"/>
        <w:spacing w:after="0" w:line="286" w:lineRule="auto"/>
        <w:rPr>
          <w:sz w:val="20"/>
          <w:szCs w:val="20"/>
          <w:color w:val="auto"/>
        </w:rPr>
      </w:pPr>
      <w:r>
        <w:rPr>
          <w:rFonts w:ascii="Arial" w:cs="Arial" w:eastAsia="Arial" w:hAnsi="Arial"/>
          <w:sz w:val="16"/>
          <w:szCs w:val="16"/>
          <w:color w:val="auto"/>
        </w:rPr>
        <w:t>Our cell-free protein synthesis platform, which is comprised of the XpressCF platform exclusively licensed from Sutro Biopharma, and our proprietary know-how, offers several advantages over conventional cell-based protein expression methods, which we believe enable us to generate superior, novel, more broad-spectrum and/or more immunogenic vaccines. In the context of conjugate vaccines, we believe we can add more antigenic strains without compromising the overall immune response. In particular, our ability to specify the attachment point of antigens, including polysaccharides, on protein carriers represents a significant improvement over the random conjugation that occurs with conventional technologies. This site-specific conjugation is designed to ensure that B-cell and/or T-cell epitopes are optimally exposed, maximizing the immune response, whereas random conjugation blocks these critical immunogenic epitopes, which dampens the immune response and may lead to a phenomenon known as carrier suppression. We believe this precise control of conjugation chemistry enables us to design broader-spectrum conjugate vaccine candidates using carrier-sparing conjugates that use less protein carrier without sacrificing immunogenicity. We are also able to design novel conjugate vaccine candidates using standard amounts of protein carrier to generate heightened immunogenicity. Beyond conjugate vaccines, we believe we can also design novel protein vaccine candidates based on well-appreciated but highly complex antigens that currently cannot be made with conventional technologies to address diseases for which there are no available vaccines. In addition, our platform enables us to rapidly screen vaccine candidates and produce conjugates, thereby dramatically accelerating the development cycle of designing, producing and testing vaccine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229" w:lineRule="exact"/>
        <w:rPr>
          <w:sz w:val="20"/>
          <w:szCs w:val="20"/>
          <w:color w:val="auto"/>
        </w:rPr>
      </w:pPr>
    </w:p>
    <w:p>
      <w:pPr>
        <w:ind w:right="180" w:firstLine="1175"/>
        <w:spacing w:after="0" w:line="277" w:lineRule="auto"/>
        <w:rPr>
          <w:sz w:val="20"/>
          <w:szCs w:val="20"/>
          <w:color w:val="auto"/>
        </w:rPr>
      </w:pPr>
      <w:r>
        <w:rPr>
          <w:rFonts w:ascii="Arial" w:cs="Arial" w:eastAsia="Arial" w:hAnsi="Arial"/>
          <w:sz w:val="18"/>
          <w:szCs w:val="18"/>
          <w:color w:val="auto"/>
        </w:rPr>
        <w:t>To address areas of significant unmet medical need, we carefully select the disease areas we target and are developing vaccine candidates based on the following criteria:</w:t>
      </w:r>
    </w:p>
    <w:p>
      <w:pPr>
        <w:spacing w:after="0" w:line="170" w:lineRule="exact"/>
        <w:rPr>
          <w:sz w:val="20"/>
          <w:szCs w:val="20"/>
          <w:color w:val="auto"/>
        </w:rPr>
      </w:pPr>
    </w:p>
    <w:p>
      <w:pPr>
        <w:ind w:left="1620" w:right="60" w:hanging="438"/>
        <w:spacing w:after="0" w:line="272" w:lineRule="auto"/>
        <w:tabs>
          <w:tab w:leader="none" w:pos="16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Well-defined commercial landscape and efficient market adoption: </w:t>
      </w:r>
      <w:r>
        <w:rPr>
          <w:rFonts w:ascii="Arial" w:cs="Arial" w:eastAsia="Arial" w:hAnsi="Arial"/>
          <w:sz w:val="17"/>
          <w:szCs w:val="17"/>
          <w:color w:val="auto"/>
        </w:rPr>
        <w:t>We select vaccine targets that are characterized by an established</w:t>
      </w:r>
      <w:r>
        <w:rPr>
          <w:rFonts w:ascii="Arial" w:cs="Arial" w:eastAsia="Arial" w:hAnsi="Arial"/>
          <w:sz w:val="17"/>
          <w:szCs w:val="17"/>
          <w:i w:val="1"/>
          <w:iCs w:val="1"/>
          <w:color w:val="auto"/>
        </w:rPr>
        <w:t xml:space="preserve"> </w:t>
      </w:r>
      <w:r>
        <w:rPr>
          <w:rFonts w:ascii="Arial" w:cs="Arial" w:eastAsia="Arial" w:hAnsi="Arial"/>
          <w:sz w:val="17"/>
          <w:szCs w:val="17"/>
          <w:color w:val="auto"/>
        </w:rPr>
        <w:t>patient population and significant unmet medical need. Our lead vaccine candidate, VAX-24, is a PCV aimed at significantly improving the current standard of care by expanding coverage to address the strains that cause the majority of disease today without sacrificing immunogenicity. We believe that by providing the broadest strain coverage for PCVs, as well as providing novel vaccines for diseases for which there are no currently approved vaccines, we can leverage the U.S. Centers for Disease Control, or CDC, its Advisory Committee on Immunization Practices, or ACIP, and similar international advisory body recommendations to drive rapid and significant market adoption.</w:t>
      </w:r>
    </w:p>
    <w:p>
      <w:pPr>
        <w:spacing w:after="0" w:line="177" w:lineRule="exact"/>
        <w:rPr>
          <w:rFonts w:ascii="Arial" w:cs="Arial" w:eastAsia="Arial" w:hAnsi="Arial"/>
          <w:sz w:val="17"/>
          <w:szCs w:val="17"/>
          <w:color w:val="auto"/>
        </w:rPr>
      </w:pPr>
    </w:p>
    <w:p>
      <w:pPr>
        <w:ind w:left="1620" w:right="20" w:hanging="438"/>
        <w:spacing w:after="0" w:line="25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Low biological risk: </w:t>
      </w:r>
      <w:r>
        <w:rPr>
          <w:rFonts w:ascii="Arial" w:cs="Arial" w:eastAsia="Arial" w:hAnsi="Arial"/>
          <w:sz w:val="18"/>
          <w:szCs w:val="18"/>
          <w:color w:val="auto"/>
        </w:rPr>
        <w:t>We choose vaccine targets with well-understood mechanisms of action and strong precedents for positive</w:t>
      </w:r>
      <w:r>
        <w:rPr>
          <w:rFonts w:ascii="Arial" w:cs="Arial" w:eastAsia="Arial" w:hAnsi="Arial"/>
          <w:sz w:val="18"/>
          <w:szCs w:val="18"/>
          <w:i w:val="1"/>
          <w:iCs w:val="1"/>
          <w:color w:val="auto"/>
        </w:rPr>
        <w:t xml:space="preserve"> </w:t>
      </w:r>
      <w:r>
        <w:rPr>
          <w:rFonts w:ascii="Arial" w:cs="Arial" w:eastAsia="Arial" w:hAnsi="Arial"/>
          <w:sz w:val="18"/>
          <w:szCs w:val="18"/>
          <w:color w:val="auto"/>
        </w:rPr>
        <w:t>preclinical study results that we believe will translate to positive clinical trial results. For example, conjugate vaccines have demonstrated effectiveness in both preclinical and clinical trials against a range of bacteria, including pneumococcus, meningococcus and Haemophilus influenza B (Hib). There is consistent evidence that antibodies directed against these bacteria are protective against their respective diseases.</w:t>
      </w:r>
    </w:p>
    <w:p>
      <w:pPr>
        <w:spacing w:after="0" w:line="187" w:lineRule="exact"/>
        <w:rPr>
          <w:rFonts w:ascii="Arial" w:cs="Arial" w:eastAsia="Arial" w:hAnsi="Arial"/>
          <w:sz w:val="18"/>
          <w:szCs w:val="18"/>
          <w:color w:val="auto"/>
        </w:rPr>
      </w:pPr>
    </w:p>
    <w:p>
      <w:pPr>
        <w:ind w:left="1620" w:hanging="438"/>
        <w:spacing w:after="0" w:line="311" w:lineRule="auto"/>
        <w:tabs>
          <w:tab w:leader="none" w:pos="16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Established clinical pathways: </w:t>
      </w:r>
      <w:r>
        <w:rPr>
          <w:rFonts w:ascii="Arial" w:cs="Arial" w:eastAsia="Arial" w:hAnsi="Arial"/>
          <w:sz w:val="16"/>
          <w:szCs w:val="16"/>
          <w:color w:val="auto"/>
        </w:rPr>
        <w:t>We pursue vaccine targets that we believe have clear and established clinical development pathways</w:t>
      </w:r>
      <w:r>
        <w:rPr>
          <w:rFonts w:ascii="Arial" w:cs="Arial" w:eastAsia="Arial" w:hAnsi="Arial"/>
          <w:sz w:val="16"/>
          <w:szCs w:val="16"/>
          <w:i w:val="1"/>
          <w:iCs w:val="1"/>
          <w:color w:val="auto"/>
        </w:rPr>
        <w:t xml:space="preserve"> </w:t>
      </w:r>
      <w:r>
        <w:rPr>
          <w:rFonts w:ascii="Arial" w:cs="Arial" w:eastAsia="Arial" w:hAnsi="Arial"/>
          <w:sz w:val="16"/>
          <w:szCs w:val="16"/>
          <w:color w:val="auto"/>
        </w:rPr>
        <w:t>in order to accelerate the potential time to market. For example, we believe that our PCVs could receive regulatory approval based on successful completion of clinical studies utilizing well-defined surrogate immune endpoints, consistent with how other PCVs have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ind w:left="1620" w:right="140"/>
        <w:spacing w:after="0" w:line="271" w:lineRule="auto"/>
        <w:rPr>
          <w:sz w:val="20"/>
          <w:szCs w:val="20"/>
          <w:color w:val="auto"/>
        </w:rPr>
      </w:pPr>
      <w:r>
        <w:rPr>
          <w:rFonts w:ascii="Arial" w:cs="Arial" w:eastAsia="Arial" w:hAnsi="Arial"/>
          <w:sz w:val="17"/>
          <w:szCs w:val="17"/>
          <w:color w:val="auto"/>
        </w:rPr>
        <w:t>obtained regulatory approval in the past, rather than requiring clinical field efficacy studies. However, while there have been approvals granted for both pneumococcal conjugate vaccines and meningococcal conjugate vaccines based on surrogate immune endpoints rather than field efficacy studies, we will not be able to confirm this approach’s applicability for our PCVs until we complete our Phase 2 clinical development program. For our novel vaccine candidates, where we believe clinical field efficacy studies will be necessary, we select disease areas with high attack rates, such as Group A Strep, which may allow for more manageable study sizes. For novel protein-based therapeutic vaccine candidates, such as our periodontitis vaccine candidate, we select disease areas where we believe clinical efficacy may be evaluated based on disease progression rather than prevention, which could allow for smaller and faster trials relative to preventative vaccines.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29" w:lineRule="exact"/>
        <w:rPr>
          <w:sz w:val="20"/>
          <w:szCs w:val="20"/>
          <w:color w:val="auto"/>
        </w:rPr>
      </w:pPr>
    </w:p>
    <w:p>
      <w:pPr>
        <w:ind w:right="80" w:firstLine="1175"/>
        <w:spacing w:after="0" w:line="277" w:lineRule="auto"/>
        <w:rPr>
          <w:sz w:val="20"/>
          <w:szCs w:val="20"/>
          <w:color w:val="auto"/>
        </w:rPr>
      </w:pPr>
      <w:r>
        <w:rPr>
          <w:rFonts w:ascii="Arial" w:cs="Arial" w:eastAsia="Arial" w:hAnsi="Arial"/>
          <w:sz w:val="18"/>
          <w:szCs w:val="18"/>
          <w:color w:val="auto"/>
        </w:rPr>
        <w:t>We are leveraging our scalable cell-free protein synthesis platform to develop potentially superior and novel conjugate and protein vaccine candidates for adult and pediatric indications using the above criteria by taking advantage of the following:</w:t>
      </w:r>
    </w:p>
    <w:p>
      <w:pPr>
        <w:spacing w:after="0" w:line="170" w:lineRule="exact"/>
        <w:rPr>
          <w:sz w:val="20"/>
          <w:szCs w:val="20"/>
          <w:color w:val="auto"/>
        </w:rPr>
      </w:pPr>
    </w:p>
    <w:p>
      <w:pPr>
        <w:ind w:left="1620" w:hanging="438"/>
        <w:spacing w:after="0" w:line="296"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Site-Specific Conjugation. </w:t>
      </w:r>
      <w:r>
        <w:rPr>
          <w:rFonts w:ascii="Arial" w:cs="Arial" w:eastAsia="Arial" w:hAnsi="Arial"/>
          <w:sz w:val="16"/>
          <w:szCs w:val="16"/>
          <w:color w:val="auto"/>
        </w:rPr>
        <w:t>We are able to specify the attachment point of antigens, including polysaccharides, on protein carriers to</w:t>
      </w:r>
      <w:r>
        <w:rPr>
          <w:rFonts w:ascii="Arial" w:cs="Arial" w:eastAsia="Arial" w:hAnsi="Arial"/>
          <w:sz w:val="16"/>
          <w:szCs w:val="16"/>
          <w:i w:val="1"/>
          <w:iCs w:val="1"/>
          <w:color w:val="auto"/>
        </w:rPr>
        <w:t xml:space="preserve"> </w:t>
      </w:r>
      <w:r>
        <w:rPr>
          <w:rFonts w:ascii="Arial" w:cs="Arial" w:eastAsia="Arial" w:hAnsi="Arial"/>
          <w:sz w:val="16"/>
          <w:szCs w:val="16"/>
          <w:color w:val="auto"/>
        </w:rPr>
        <w:t>ensure optimal exposure of B-cell and/or T-cell epitopes, thereby creating protein carriers designed to have enhanced potency. We believe this precise control of conjugation chemistry enables us to create broader-spectrum conjugate vaccine candidates using carrier-sparing conjugates that use less protein carrier without sacrificing immunogenicity. We are also able to design novel conjugate vaccine candidates using standard amounts of protein carrier to generate heightened immunogenicity.</w:t>
      </w:r>
    </w:p>
    <w:p>
      <w:pPr>
        <w:spacing w:after="0" w:line="161" w:lineRule="exact"/>
        <w:rPr>
          <w:rFonts w:ascii="Arial" w:cs="Arial" w:eastAsia="Arial" w:hAnsi="Arial"/>
          <w:sz w:val="16"/>
          <w:szCs w:val="16"/>
          <w:color w:val="auto"/>
        </w:rPr>
      </w:pPr>
    </w:p>
    <w:p>
      <w:pPr>
        <w:ind w:left="1620" w:right="20" w:hanging="438"/>
        <w:spacing w:after="0" w:line="25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Production of Novel Protein Vaccines</w:t>
      </w:r>
      <w:r>
        <w:rPr>
          <w:rFonts w:ascii="Arial" w:cs="Arial" w:eastAsia="Arial" w:hAnsi="Arial"/>
          <w:sz w:val="18"/>
          <w:szCs w:val="18"/>
          <w:color w:val="auto"/>
        </w:rPr>
        <w:t>. We can design novel protein vaccine candidates based on well-appreciated but highly complex</w:t>
      </w:r>
      <w:r>
        <w:rPr>
          <w:rFonts w:ascii="Arial" w:cs="Arial" w:eastAsia="Arial" w:hAnsi="Arial"/>
          <w:sz w:val="18"/>
          <w:szCs w:val="18"/>
          <w:i w:val="1"/>
          <w:iCs w:val="1"/>
          <w:color w:val="auto"/>
        </w:rPr>
        <w:t xml:space="preserve"> </w:t>
      </w:r>
      <w:r>
        <w:rPr>
          <w:rFonts w:ascii="Arial" w:cs="Arial" w:eastAsia="Arial" w:hAnsi="Arial"/>
          <w:sz w:val="18"/>
          <w:szCs w:val="18"/>
          <w:color w:val="auto"/>
        </w:rPr>
        <w:t>antigens that currently cannot be made with conventional technologies to address diseases for which there are no available vaccines, and we believe we may be able to leverage our platform to rapidly respond to new or emerging pathogens. We can design and produce these “tough-to-make” antigens that conform to the target pathogens, thereby increasing the likelihood that the vaccine will elicit a protective immune response.</w:t>
      </w:r>
    </w:p>
    <w:p>
      <w:pPr>
        <w:spacing w:after="0" w:line="187" w:lineRule="exact"/>
        <w:rPr>
          <w:rFonts w:ascii="Arial" w:cs="Arial" w:eastAsia="Arial" w:hAnsi="Arial"/>
          <w:sz w:val="18"/>
          <w:szCs w:val="18"/>
          <w:color w:val="auto"/>
        </w:rPr>
      </w:pPr>
    </w:p>
    <w:p>
      <w:pPr>
        <w:ind w:left="1620" w:right="40" w:hanging="438"/>
        <w:spacing w:after="0" w:line="25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Speed, Flexibility and Scalability of the Discovery Engine. </w:t>
      </w:r>
      <w:r>
        <w:rPr>
          <w:rFonts w:ascii="Arial" w:cs="Arial" w:eastAsia="Arial" w:hAnsi="Arial"/>
          <w:sz w:val="18"/>
          <w:szCs w:val="18"/>
          <w:color w:val="auto"/>
        </w:rPr>
        <w:t>We are able to rapidly screen vaccine candidates and produce conjugates,</w:t>
      </w:r>
      <w:r>
        <w:rPr>
          <w:rFonts w:ascii="Arial" w:cs="Arial" w:eastAsia="Arial" w:hAnsi="Arial"/>
          <w:sz w:val="18"/>
          <w:szCs w:val="18"/>
          <w:i w:val="1"/>
          <w:iCs w:val="1"/>
          <w:color w:val="auto"/>
        </w:rPr>
        <w:t xml:space="preserve"> </w:t>
      </w:r>
      <w:r>
        <w:rPr>
          <w:rFonts w:ascii="Arial" w:cs="Arial" w:eastAsia="Arial" w:hAnsi="Arial"/>
          <w:sz w:val="18"/>
          <w:szCs w:val="18"/>
          <w:color w:val="auto"/>
        </w:rPr>
        <w:t>thereby accelerating the process of making and testing vaccine candidates. Because cell viability is not required for cell-free protein synthesis, we can utilize a broader range of reaction conditions as we seek to optimize proteins. This flexibility enables us to develop novel vaccine candidates unachievable with current technologies. Furthermore, we believe our platform can scale linearly from discovery to commercial scale.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20" w:firstLine="1175"/>
        <w:spacing w:after="0" w:line="277" w:lineRule="auto"/>
        <w:rPr>
          <w:sz w:val="20"/>
          <w:szCs w:val="20"/>
          <w:color w:val="auto"/>
        </w:rPr>
      </w:pPr>
      <w:r>
        <w:rPr>
          <w:rFonts w:ascii="Arial" w:cs="Arial" w:eastAsia="Arial" w:hAnsi="Arial"/>
          <w:sz w:val="18"/>
          <w:szCs w:val="18"/>
          <w:color w:val="auto"/>
        </w:rPr>
        <w:t>Our goal is to become a leader in the vaccines industry by using our cell-free protein synthesis platform to develop superior, novel vaccines to prevent and treat serious infectious diseases. Key elements of our strategy include:</w:t>
      </w:r>
    </w:p>
    <w:p>
      <w:pPr>
        <w:spacing w:after="0" w:line="166" w:lineRule="exact"/>
        <w:rPr>
          <w:sz w:val="20"/>
          <w:szCs w:val="20"/>
          <w:color w:val="auto"/>
        </w:rPr>
      </w:pPr>
    </w:p>
    <w:p>
      <w:pPr>
        <w:ind w:left="1620" w:right="40" w:hanging="438"/>
        <w:spacing w:after="0" w:line="271" w:lineRule="auto"/>
        <w:tabs>
          <w:tab w:leader="none" w:pos="162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Advance VAX-24 through IND-enabling activities, clinical development and regulatory approval. </w:t>
      </w:r>
      <w:r>
        <w:rPr>
          <w:rFonts w:ascii="Arial" w:cs="Arial" w:eastAsia="Arial" w:hAnsi="Arial"/>
          <w:sz w:val="17"/>
          <w:szCs w:val="17"/>
          <w:color w:val="auto"/>
        </w:rPr>
        <w:t>Our lead vaccine candidate,</w:t>
      </w:r>
      <w:r>
        <w:rPr>
          <w:rFonts w:ascii="Arial" w:cs="Arial" w:eastAsia="Arial" w:hAnsi="Arial"/>
          <w:sz w:val="17"/>
          <w:szCs w:val="17"/>
          <w:b w:val="1"/>
          <w:bCs w:val="1"/>
          <w:color w:val="auto"/>
        </w:rPr>
        <w:t xml:space="preserve"> </w:t>
      </w:r>
      <w:r>
        <w:rPr>
          <w:rFonts w:ascii="Arial" w:cs="Arial" w:eastAsia="Arial" w:hAnsi="Arial"/>
          <w:sz w:val="17"/>
          <w:szCs w:val="17"/>
          <w:color w:val="auto"/>
        </w:rPr>
        <w:t>VAX-24, targets the pneumococcal vaccine market. We expect to advance VAX-24 along a well-understood clinical development pathway in an effort to obtain regulatory approval in adults and infants based on successful completion of clinical studies using previously established surrogate immune endpoints, potentially without the need to conduct a clinical field efficacy study, consistent with how other conjugate vaccines have obtained approval. We anticipate submitting our initial IND application to the FDA to evaluate VAX-24 between January and June 2022 and initiating our Phase 1/2 clinical proof-of-concept study in adults thereafter. We expect to announce topline data from this study between late 2022 and early 2023. We expect to initiate our pediatric development program in toddlers upon receipt of the Phase 1 safety data in adults and, after completing such a toddler study, we would expect to commence clinical development in the infant population.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ind w:left="500" w:right="20" w:hanging="424"/>
        <w:spacing w:after="0" w:line="273" w:lineRule="auto"/>
        <w:tabs>
          <w:tab w:leader="none" w:pos="500" w:val="left"/>
        </w:tabs>
        <w:numPr>
          <w:ilvl w:val="1"/>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Establish scalable production of VAX-24 and VAX-XP. </w:t>
      </w:r>
      <w:r>
        <w:rPr>
          <w:rFonts w:ascii="Arial" w:cs="Arial" w:eastAsia="Arial" w:hAnsi="Arial"/>
          <w:sz w:val="17"/>
          <w:szCs w:val="17"/>
          <w:color w:val="auto"/>
        </w:rPr>
        <w:t>We believe high-quality and scalable manufacturing is critical to our long-term success. We have designed and developed a proprietary, scalable and portable manufacturing process that we believe can scale to supply clinical and commercial volumes of VAX-24 needed to serve both adult and pediatric populations. We have made significant progress towards completing the production of Phase 1/2 clinical trial material for VAX-24 and are preparing for Phase 3 optimization and commercial scale-up activities. We have access to substantial manufacturing resources through our contract manufacturer, Lonza, that we believe can facilitate an independent path to market. Moreover, our next-generation VAX-XP program will use the components and core manufacturing processes established for VAX-24.</w:t>
      </w:r>
    </w:p>
    <w:p>
      <w:pPr>
        <w:spacing w:after="0" w:line="171" w:lineRule="exact"/>
        <w:rPr>
          <w:rFonts w:ascii="Arial" w:cs="Arial" w:eastAsia="Arial" w:hAnsi="Arial"/>
          <w:sz w:val="17"/>
          <w:szCs w:val="17"/>
          <w:color w:val="auto"/>
        </w:rPr>
      </w:pPr>
    </w:p>
    <w:p>
      <w:pPr>
        <w:ind w:left="500" w:right="100" w:hanging="438"/>
        <w:spacing w:after="0" w:line="269"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Create a long-lasting PCV franchise by offering the broadest-spectrum PCV available. </w:t>
      </w:r>
      <w:r>
        <w:rPr>
          <w:rFonts w:ascii="Arial" w:cs="Arial" w:eastAsia="Arial" w:hAnsi="Arial"/>
          <w:sz w:val="17"/>
          <w:szCs w:val="17"/>
          <w:color w:val="auto"/>
        </w:rPr>
        <w:t>The two leading pneumococcal vaccine</w:t>
      </w:r>
      <w:r>
        <w:rPr>
          <w:rFonts w:ascii="Arial" w:cs="Arial" w:eastAsia="Arial" w:hAnsi="Arial"/>
          <w:sz w:val="17"/>
          <w:szCs w:val="17"/>
          <w:b w:val="1"/>
          <w:bCs w:val="1"/>
          <w:color w:val="auto"/>
        </w:rPr>
        <w:t xml:space="preserve"> </w:t>
      </w:r>
      <w:r>
        <w:rPr>
          <w:rFonts w:ascii="Arial" w:cs="Arial" w:eastAsia="Arial" w:hAnsi="Arial"/>
          <w:sz w:val="17"/>
          <w:szCs w:val="17"/>
          <w:color w:val="auto"/>
        </w:rPr>
        <w:t>franchises, Pneumovax and Prevnar, have generated over $100 billion in combined sales, have been on the market for over 40 years and 20 years, respectively, and can attribute their success to being the broadest-spectrum vaccines on the market. If approved, we believe VAX-24 may obtain an ACIP preferred recommendation and potentially replace both incumbents for pneumococcal disease prevention in both adult and pediatric populations because of its broader coverage. We designed VAX-24 to address the 13 pneumococcal strains covered by Prevnar 13 plus the incremental 11 strains that drive most pneumococcal disease today with the durable, boostable immune response of a conjugate vaccine. Further, we have designed VAX-XP to address these 24 strains plus additional epidemiologically significant emerging strains expected to cause increasing pneumococcal disease and antibiotic resistance in the future. With these broad-spectrum vaccine candidates, we believe we are well-positioned to obtain an ACIP preferred recommendation and potentially replace the current standard of care, which involves the administration of both Prevnar 13 and Pneumovax, for pneumococcal disease prevention in both adult and pediatric populations, thereby creating a long-lasting PCV franchise.</w:t>
      </w:r>
    </w:p>
    <w:p>
      <w:pPr>
        <w:spacing w:after="0" w:line="178" w:lineRule="exact"/>
        <w:rPr>
          <w:rFonts w:ascii="Arial" w:cs="Arial" w:eastAsia="Arial" w:hAnsi="Arial"/>
          <w:sz w:val="17"/>
          <w:szCs w:val="17"/>
          <w:color w:val="auto"/>
        </w:rPr>
      </w:pPr>
    </w:p>
    <w:p>
      <w:pPr>
        <w:ind w:left="500" w:hanging="438"/>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Advance our novel vaccine candidates and leverage our platform to expand our pipeline.</w:t>
      </w:r>
    </w:p>
    <w:p>
      <w:pPr>
        <w:spacing w:after="0" w:line="256" w:lineRule="exact"/>
        <w:rPr>
          <w:sz w:val="20"/>
          <w:szCs w:val="20"/>
          <w:color w:val="auto"/>
        </w:rPr>
      </w:pPr>
    </w:p>
    <w:p>
      <w:pPr>
        <w:ind w:left="1360" w:right="40" w:hanging="434"/>
        <w:spacing w:after="0" w:line="267" w:lineRule="auto"/>
        <w:tabs>
          <w:tab w:leader="none" w:pos="1360" w:val="left"/>
        </w:tabs>
        <w:numPr>
          <w:ilvl w:val="0"/>
          <w:numId w:val="13"/>
        </w:numPr>
        <w:rPr>
          <w:rFonts w:ascii="Courier New" w:cs="Courier New" w:eastAsia="Courier New" w:hAnsi="Courier New"/>
          <w:sz w:val="17"/>
          <w:szCs w:val="17"/>
          <w:color w:val="auto"/>
        </w:rPr>
      </w:pPr>
      <w:r>
        <w:rPr>
          <w:rFonts w:ascii="Arial" w:cs="Arial" w:eastAsia="Arial" w:hAnsi="Arial"/>
          <w:sz w:val="17"/>
          <w:szCs w:val="17"/>
          <w:i w:val="1"/>
          <w:iCs w:val="1"/>
          <w:color w:val="auto"/>
        </w:rPr>
        <w:t>Advance VAX-A1 into IND-enabling activities, clinical development and regulatory approval</w:t>
      </w:r>
      <w:r>
        <w:rPr>
          <w:rFonts w:ascii="Arial" w:cs="Arial" w:eastAsia="Arial" w:hAnsi="Arial"/>
          <w:sz w:val="17"/>
          <w:szCs w:val="17"/>
          <w:color w:val="auto"/>
        </w:rPr>
        <w:t>. VAX-A1 is designed to</w:t>
      </w:r>
      <w:r>
        <w:rPr>
          <w:rFonts w:ascii="Arial" w:cs="Arial" w:eastAsia="Arial" w:hAnsi="Arial"/>
          <w:sz w:val="17"/>
          <w:szCs w:val="17"/>
          <w:i w:val="1"/>
          <w:iCs w:val="1"/>
          <w:color w:val="auto"/>
        </w:rPr>
        <w:t xml:space="preserve"> </w:t>
      </w:r>
      <w:r>
        <w:rPr>
          <w:rFonts w:ascii="Arial" w:cs="Arial" w:eastAsia="Arial" w:hAnsi="Arial"/>
          <w:sz w:val="17"/>
          <w:szCs w:val="17"/>
          <w:color w:val="auto"/>
        </w:rPr>
        <w:t>treat Group A Strep, a disease for which no commercially available vaccine exists. Group A Strep is one of the leading causes of bacterial infections worldwide, with 700 million cases of disease annually, including strep throat and certain severe invasive infections such as sepsis, necrotizing fasciitis and toxic shock syndrome. Strep throat is particularly common in school-age children and a significant source of antibiotic prescriptions globally. The Group A Strep pathogen is also a leading cause of mortality in emerging countries by eliciting immune-mediated diseases such as rheumatic fever and rheumatic heart disease. VAX-A1 is a conjugate vaccine candidate designed to confer broad protective immune responses against all subtypes of Group A Strep and be boostable to offer long-lasting protection from infection. We believe our data published in December 2020 demonstrated preclinical proof of concept for VAX-A1. We nominated the final vaccine candidate for VAX-A1 in the first quarter of 2021 and anticipate initiating IND-enabling activities in the second half of 2021.</w:t>
      </w:r>
    </w:p>
    <w:p>
      <w:pPr>
        <w:spacing w:after="0" w:line="183" w:lineRule="exact"/>
        <w:rPr>
          <w:sz w:val="20"/>
          <w:szCs w:val="20"/>
          <w:color w:val="auto"/>
        </w:rPr>
      </w:pPr>
    </w:p>
    <w:p>
      <w:pPr>
        <w:ind w:left="1380" w:hanging="440"/>
        <w:spacing w:after="0" w:line="289" w:lineRule="auto"/>
        <w:tabs>
          <w:tab w:leader="none" w:pos="1380" w:val="left"/>
        </w:tabs>
        <w:numPr>
          <w:ilvl w:val="0"/>
          <w:numId w:val="14"/>
        </w:numPr>
        <w:rPr>
          <w:rFonts w:ascii="Courier New" w:cs="Courier New" w:eastAsia="Courier New" w:hAnsi="Courier New"/>
          <w:sz w:val="16"/>
          <w:szCs w:val="16"/>
          <w:color w:val="auto"/>
        </w:rPr>
      </w:pPr>
      <w:r>
        <w:rPr>
          <w:rFonts w:ascii="Arial" w:cs="Arial" w:eastAsia="Arial" w:hAnsi="Arial"/>
          <w:sz w:val="16"/>
          <w:szCs w:val="16"/>
          <w:i w:val="1"/>
          <w:iCs w:val="1"/>
          <w:color w:val="auto"/>
        </w:rPr>
        <w:t xml:space="preserve">Advance VAX-PG to final vaccine candidate nomination and IND-enabling activities, clinical development and regulatory approval. </w:t>
      </w:r>
      <w:r>
        <w:rPr>
          <w:rFonts w:ascii="Arial" w:cs="Arial" w:eastAsia="Arial" w:hAnsi="Arial"/>
          <w:sz w:val="16"/>
          <w:szCs w:val="16"/>
          <w:color w:val="auto"/>
        </w:rPr>
        <w:t>VAX-PG is our novel protein vaccine candidate which targets the keystone pathogen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periodontitis, a chronic oral inflammatory disease affecting an estimated 65 million adults in the United States. Our initial goal is to develop a therapeutic vaccine to slow or stop disease progression; however, the results from clinical trials may inform the potential adoption of prophylactic immunization. We have established preclinical proof of concept for VAX-PG, and we anticipate nominating the final vaccine candidate in the second half of 2021.</w:t>
      </w:r>
    </w:p>
    <w:p>
      <w:pPr>
        <w:spacing w:after="0" w:line="165" w:lineRule="exact"/>
        <w:rPr>
          <w:rFonts w:ascii="Courier New" w:cs="Courier New" w:eastAsia="Courier New" w:hAnsi="Courier New"/>
          <w:sz w:val="16"/>
          <w:szCs w:val="16"/>
          <w:color w:val="auto"/>
        </w:rPr>
      </w:pPr>
    </w:p>
    <w:p>
      <w:pPr>
        <w:ind w:left="1380" w:right="340" w:hanging="440"/>
        <w:spacing w:after="0" w:line="275" w:lineRule="auto"/>
        <w:tabs>
          <w:tab w:leader="none" w:pos="1380" w:val="left"/>
        </w:tabs>
        <w:numPr>
          <w:ilvl w:val="0"/>
          <w:numId w:val="14"/>
        </w:numPr>
        <w:rPr>
          <w:rFonts w:ascii="Courier New" w:cs="Courier New" w:eastAsia="Courier New" w:hAnsi="Courier New"/>
          <w:sz w:val="17"/>
          <w:szCs w:val="17"/>
          <w:color w:val="auto"/>
        </w:rPr>
      </w:pPr>
      <w:r>
        <w:rPr>
          <w:rFonts w:ascii="Arial" w:cs="Arial" w:eastAsia="Arial" w:hAnsi="Arial"/>
          <w:sz w:val="17"/>
          <w:szCs w:val="17"/>
          <w:i w:val="1"/>
          <w:iCs w:val="1"/>
          <w:color w:val="auto"/>
        </w:rPr>
        <w:t xml:space="preserve">Leverage our platform for other discovery stage programs. </w:t>
      </w:r>
      <w:r>
        <w:rPr>
          <w:rFonts w:ascii="Arial" w:cs="Arial" w:eastAsia="Arial" w:hAnsi="Arial"/>
          <w:sz w:val="17"/>
          <w:szCs w:val="17"/>
          <w:color w:val="auto"/>
        </w:rPr>
        <w:t>We are also able to leverage our platform as a discovery</w:t>
      </w:r>
      <w:r>
        <w:rPr>
          <w:rFonts w:ascii="Arial" w:cs="Arial" w:eastAsia="Arial" w:hAnsi="Arial"/>
          <w:sz w:val="17"/>
          <w:szCs w:val="17"/>
          <w:i w:val="1"/>
          <w:iCs w:val="1"/>
          <w:color w:val="auto"/>
        </w:rPr>
        <w:t xml:space="preserve"> </w:t>
      </w:r>
      <w:r>
        <w:rPr>
          <w:rFonts w:ascii="Arial" w:cs="Arial" w:eastAsia="Arial" w:hAnsi="Arial"/>
          <w:sz w:val="17"/>
          <w:szCs w:val="17"/>
          <w:color w:val="auto"/>
        </w:rPr>
        <w:t>engine given our ability to uniquely create building blocks to construct potential novel conjugate and protein vaccine candidates, and we have other discovery-stage programs which leverage this platform.</w:t>
      </w:r>
    </w:p>
    <w:p>
      <w:pPr>
        <w:spacing w:after="0" w:line="17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9" w:name="page10"/>
    <w:bookmarkEnd w:id="9"/>
    <w:p>
      <w:pPr>
        <w:ind w:left="1620" w:right="60" w:hanging="438"/>
        <w:spacing w:after="0" w:line="255"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Continue to build a robust intellectual property portfolio. </w:t>
      </w:r>
      <w:r>
        <w:rPr>
          <w:rFonts w:ascii="Arial" w:cs="Arial" w:eastAsia="Arial" w:hAnsi="Arial"/>
          <w:sz w:val="18"/>
          <w:szCs w:val="18"/>
          <w:color w:val="auto"/>
        </w:rPr>
        <w:t>We have developed and are continuing to develop a comprehensive</w:t>
      </w:r>
      <w:r>
        <w:rPr>
          <w:rFonts w:ascii="Arial" w:cs="Arial" w:eastAsia="Arial" w:hAnsi="Arial"/>
          <w:sz w:val="18"/>
          <w:szCs w:val="18"/>
          <w:b w:val="1"/>
          <w:bCs w:val="1"/>
          <w:color w:val="auto"/>
        </w:rPr>
        <w:t xml:space="preserve"> </w:t>
      </w:r>
      <w:r>
        <w:rPr>
          <w:rFonts w:ascii="Arial" w:cs="Arial" w:eastAsia="Arial" w:hAnsi="Arial"/>
          <w:sz w:val="18"/>
          <w:szCs w:val="18"/>
          <w:color w:val="auto"/>
        </w:rPr>
        <w:t>intellectual property portfolio related to vaccine applications, including manufacturing, formulation and process applications as well as protection for our specific vaccine candidates. We have rights to a robust portfolio of patents and patent applications related to the XpressCF platform through our exclusive license from Sutro Biopharma. We currently have an issued U.S. patent and multiple pending patent applications in the United States and internationally that cover vaccine formulations, protein-antigen conjugates, methods of making conjugate vaccines with various protein-antigen conjugates and other processes, enhancements of immunogenicity and methods of use.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right="80" w:firstLine="1175"/>
        <w:spacing w:after="0" w:line="342" w:lineRule="auto"/>
        <w:rPr>
          <w:sz w:val="20"/>
          <w:szCs w:val="20"/>
          <w:color w:val="auto"/>
        </w:rPr>
      </w:pPr>
      <w:r>
        <w:rPr>
          <w:rFonts w:ascii="Arial" w:cs="Arial" w:eastAsia="Arial" w:hAnsi="Arial"/>
          <w:sz w:val="16"/>
          <w:szCs w:val="16"/>
          <w:color w:val="auto"/>
        </w:rPr>
        <w:t>We have utilized our cell-free protein synthesis platform to generate a pipeline of vaccine candidates that we believe, if approved, may offer important advantages over existing vaccines or for which there are no vaccines available today. The following table summarizes our current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104775</wp:posOffset>
            </wp:positionV>
            <wp:extent cx="5151755" cy="2288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5175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For the polysaccharide/alum comparator, we used 23 polysaccharides in Pneumovax 23 and 8 additional polysaccharides with alum for comparison.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Vaccine Market</w:t>
      </w:r>
    </w:p>
    <w:p>
      <w:pPr>
        <w:spacing w:after="0" w:line="229" w:lineRule="exact"/>
        <w:rPr>
          <w:sz w:val="20"/>
          <w:szCs w:val="20"/>
          <w:color w:val="auto"/>
        </w:rPr>
      </w:pPr>
    </w:p>
    <w:p>
      <w:pPr>
        <w:ind w:firstLine="1175"/>
        <w:spacing w:after="0" w:line="257" w:lineRule="auto"/>
        <w:rPr>
          <w:sz w:val="20"/>
          <w:szCs w:val="20"/>
          <w:color w:val="auto"/>
        </w:rPr>
      </w:pPr>
      <w:r>
        <w:rPr>
          <w:rFonts w:ascii="Arial" w:cs="Arial" w:eastAsia="Arial" w:hAnsi="Arial"/>
          <w:sz w:val="18"/>
          <w:szCs w:val="18"/>
          <w:color w:val="auto"/>
        </w:rPr>
        <w:t>The global vaccine market was approximately $36 billion in 2018 and is expected to grow at an 8% CAGR to approximately $58 billion by 2025. The World Health Organization, or WHO, has reported that vaccine revenues have grown at nearly twice the rate of therapeutic products over the last two decades. Conjugate vaccines, including PCVs, represent the largest segment (approximately 39% in 2018) of the global vaccine market. Prevnar 13, currently the broadest-spectrum PCV, is the highest selling vaccine product in the world, accounting for approximately 16% of global vaccine sales in 2018.</w:t>
      </w:r>
    </w:p>
    <w:p>
      <w:pPr>
        <w:spacing w:after="0" w:line="188" w:lineRule="exact"/>
        <w:rPr>
          <w:sz w:val="20"/>
          <w:szCs w:val="20"/>
          <w:color w:val="auto"/>
        </w:rPr>
      </w:pPr>
    </w:p>
    <w:p>
      <w:pPr>
        <w:ind w:right="80" w:firstLine="1175"/>
        <w:spacing w:after="0" w:line="275" w:lineRule="auto"/>
        <w:rPr>
          <w:sz w:val="20"/>
          <w:szCs w:val="20"/>
          <w:color w:val="auto"/>
        </w:rPr>
      </w:pPr>
      <w:r>
        <w:rPr>
          <w:rFonts w:ascii="Arial" w:cs="Arial" w:eastAsia="Arial" w:hAnsi="Arial"/>
          <w:sz w:val="17"/>
          <w:szCs w:val="17"/>
          <w:color w:val="auto"/>
        </w:rPr>
        <w:t>The pediatric vaccine market is large and well-established in the United States and European Union and growing in emerging countries. The annual new birth cohort, which in the United States and Europe approached nine million in 2017, drives ongoing sales year after year. In the United States, once a new vaccine is approved by the FDA, the ACIP considers whether to recommend the use of the vaccine. New pediatric vaccines that receive a preferred recommendation from ACIP are nearly universally adopted by pediatricians and parents and are required by many schools, contributing to a national immunization rate for the diseases targeted by such vaccines of approximately 90%.</w:t>
      </w:r>
    </w:p>
    <w:p>
      <w:pPr>
        <w:spacing w:after="0" w:line="176" w:lineRule="exact"/>
        <w:rPr>
          <w:sz w:val="20"/>
          <w:szCs w:val="20"/>
          <w:color w:val="auto"/>
        </w:rPr>
      </w:pPr>
    </w:p>
    <w:p>
      <w:pPr>
        <w:ind w:firstLine="1175"/>
        <w:spacing w:after="0" w:line="277" w:lineRule="auto"/>
        <w:rPr>
          <w:sz w:val="20"/>
          <w:szCs w:val="20"/>
          <w:color w:val="auto"/>
        </w:rPr>
      </w:pPr>
      <w:r>
        <w:rPr>
          <w:rFonts w:ascii="Arial" w:cs="Arial" w:eastAsia="Arial" w:hAnsi="Arial"/>
          <w:sz w:val="18"/>
          <w:szCs w:val="18"/>
          <w:color w:val="auto"/>
        </w:rPr>
        <w:t>In addition, the adult vaccine market is currently undergoing rapid growth. Vaccination rates among adults have historically been lower and vary by disease, though strong initiatives are underway to increase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 w:name="page11"/>
    <w:bookmarkEnd w:id="10"/>
    <w:p>
      <w:pPr>
        <w:ind w:right="80"/>
        <w:spacing w:after="0" w:line="296" w:lineRule="auto"/>
        <w:rPr>
          <w:sz w:val="20"/>
          <w:szCs w:val="20"/>
          <w:color w:val="auto"/>
        </w:rPr>
      </w:pPr>
      <w:r>
        <w:rPr>
          <w:rFonts w:ascii="Arial" w:cs="Arial" w:eastAsia="Arial" w:hAnsi="Arial"/>
          <w:sz w:val="16"/>
          <w:szCs w:val="16"/>
          <w:color w:val="auto"/>
        </w:rPr>
        <w:t>awareness and utilization. Studies estimate that 40,000 to 80,000 adults in the United States die annually of vaccine-preventable diseases, and hundreds of thousands more are hospitalized. In recent years, manufacturers have started developing more vaccines for the adult market, with Pfizer’s Prevnar 13 and GlaxoSmithKline’s Shingrix each representing most successful examples. Prevnar 13 generated annual sales of $1.2 billion in the adult indication in the United States, and Shingrix, a vaccine for shingles (herpes zoster) debuted with over $1 billion in sales in 2018 as it replaced Merck’s incumbent vaccine, Zostavax, after receiving an ACIP preferred recommendation, and generated over $2.5 billion in sales in 2020.</w:t>
      </w:r>
    </w:p>
    <w:p>
      <w:pPr>
        <w:spacing w:after="0" w:line="161" w:lineRule="exact"/>
        <w:rPr>
          <w:sz w:val="20"/>
          <w:szCs w:val="20"/>
          <w:color w:val="auto"/>
        </w:rPr>
      </w:pPr>
    </w:p>
    <w:p>
      <w:pPr>
        <w:ind w:right="520" w:firstLine="1175"/>
        <w:spacing w:after="0" w:line="279" w:lineRule="auto"/>
        <w:rPr>
          <w:sz w:val="20"/>
          <w:szCs w:val="20"/>
          <w:color w:val="auto"/>
        </w:rPr>
      </w:pPr>
      <w:r>
        <w:rPr>
          <w:rFonts w:ascii="Arial" w:cs="Arial" w:eastAsia="Arial" w:hAnsi="Arial"/>
          <w:sz w:val="17"/>
          <w:szCs w:val="17"/>
          <w:color w:val="auto"/>
        </w:rPr>
        <w:t>The complex development and production processes of vaccines create a high barrier to entry and long product lifecycles. Four multinational companies—GlaxoSmithKline, Merck, Pfizer and Sanofi—currently comprise approximately 75% of the global vaccine market. GlaxoSmithKline, Merck and Sanofi have broad vaccine portfolios, while Pfizer offers a narrower range of vaccines. Refer to Figure 1 below for an overview of the top vaccines companies globally based on 2020 sales, with their pneumococcal vaccines highlighted.</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168910</wp:posOffset>
            </wp:positionV>
            <wp:extent cx="5220335" cy="19888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2033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Pneumococcal Disease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Pneumococcal Disease Background</w:t>
      </w:r>
    </w:p>
    <w:p>
      <w:pPr>
        <w:spacing w:after="0" w:line="225" w:lineRule="exact"/>
        <w:rPr>
          <w:sz w:val="20"/>
          <w:szCs w:val="20"/>
          <w:color w:val="auto"/>
        </w:rPr>
      </w:pPr>
    </w:p>
    <w:p>
      <w:pPr>
        <w:ind w:firstLine="1175"/>
        <w:spacing w:after="0" w:line="287" w:lineRule="auto"/>
        <w:rPr>
          <w:sz w:val="20"/>
          <w:szCs w:val="20"/>
          <w:color w:val="auto"/>
        </w:rPr>
      </w:pPr>
      <w:r>
        <w:rPr>
          <w:rFonts w:ascii="Arial" w:cs="Arial" w:eastAsia="Arial" w:hAnsi="Arial"/>
          <w:sz w:val="16"/>
          <w:szCs w:val="16"/>
          <w:color w:val="auto"/>
        </w:rPr>
        <w:t xml:space="preserve">Pneumococcal disease is caused by </w:t>
      </w:r>
      <w:r>
        <w:rPr>
          <w:rFonts w:ascii="Arial" w:cs="Arial" w:eastAsia="Arial" w:hAnsi="Arial"/>
          <w:sz w:val="16"/>
          <w:szCs w:val="16"/>
          <w:i w:val="1"/>
          <w:iCs w:val="1"/>
          <w:color w:val="auto"/>
        </w:rPr>
        <w:t>Streptococcus pneumoniae</w:t>
      </w:r>
      <w:r>
        <w:rPr>
          <w:rFonts w:ascii="Arial" w:cs="Arial" w:eastAsia="Arial" w:hAnsi="Arial"/>
          <w:sz w:val="16"/>
          <w:szCs w:val="16"/>
          <w:color w:val="auto"/>
        </w:rPr>
        <w:t xml:space="preserve"> (</w:t>
      </w:r>
      <w:r>
        <w:rPr>
          <w:rFonts w:ascii="Arial" w:cs="Arial" w:eastAsia="Arial" w:hAnsi="Arial"/>
          <w:sz w:val="16"/>
          <w:szCs w:val="16"/>
          <w:i w:val="1"/>
          <w:iCs w:val="1"/>
          <w:color w:val="auto"/>
        </w:rPr>
        <w:t>S. pneumoniae</w:t>
      </w:r>
      <w:r>
        <w:rPr>
          <w:rFonts w:ascii="Arial" w:cs="Arial" w:eastAsia="Arial" w:hAnsi="Arial"/>
          <w:sz w:val="16"/>
          <w:szCs w:val="16"/>
          <w:color w:val="auto"/>
        </w:rPr>
        <w:t xml:space="preserve"> or pneumococcus) bacteria and can result in a variety of illnesses. There are more than 90 circulating strains of pneumococcus, of which approximately one-third are pathogenic. Pneumococcal disease can be characterized as invasive or non-invasive. Invasive pneumococcal disease includes bacteremic pneumonia, bacteremia, sepsis, meningitis and osteomyelitis. Non-invasive pneumococcal disease includes non-bacteremic pneumonia, acute otitis media, commonly known as middle ear infections, bronchitis and sinusitis. Pneumococcal infection is most serious for infants, young children, older adults and those with immune deficiencies or certain chronic health conditions. Despite nearly universal vaccination in infants and widespread vaccination in older adults with Prevnar 13, there are approximately 900,000 people who get pneumococcal pneumonia in the United States each year, including as many as 400,000 requiring hospitalization and approximately 28,000 deaths. Bacteremia is less common, with 5,000 annual cases but has a 20% fatality rate overall and a 60% fatality rate among older adults. There are over 2,000 annual cases of meningitis, with an 8% fatality rate in children and 22% fatality rate in adults. There are approximately 3.6 million cases of acute otitis media annually in U.S. children attributable to pneumococcal infection. Antibiotics are used to treat pneumococcal disease, but some strains of the bacteria have developed resistance to treatments. The morbidity and mortality due to pneumococcal disease are highly significant, particularly for young children and older adults, which underscores the need for a more broad-spectrum vaccine.</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Evolution of Pneumococcal Vaccines</w:t>
      </w:r>
    </w:p>
    <w:p>
      <w:pPr>
        <w:spacing w:after="0" w:line="225" w:lineRule="exact"/>
        <w:rPr>
          <w:sz w:val="20"/>
          <w:szCs w:val="20"/>
          <w:color w:val="auto"/>
        </w:rPr>
      </w:pPr>
    </w:p>
    <w:p>
      <w:pPr>
        <w:ind w:right="60" w:firstLine="1175"/>
        <w:spacing w:after="0" w:line="275" w:lineRule="auto"/>
        <w:rPr>
          <w:sz w:val="20"/>
          <w:szCs w:val="20"/>
          <w:color w:val="auto"/>
        </w:rPr>
      </w:pPr>
      <w:r>
        <w:rPr>
          <w:rFonts w:ascii="Arial" w:cs="Arial" w:eastAsia="Arial" w:hAnsi="Arial"/>
          <w:sz w:val="17"/>
          <w:szCs w:val="17"/>
          <w:color w:val="auto"/>
        </w:rPr>
        <w:t>There are currently two types of vaccines targeting pneumococcal disease—polysaccharide-only vaccines and polysaccharide-conjugate vaccines. Polysaccharide vaccines contain polysaccharide antigens, which induce antibodies (B-cell responses) that bind to a bacteria’s outer coating of polysaccharides and clear the bacteria. PCVs improve on polysaccharide vaccines by attaching, or conjugating, the polysaccharide antigen to a non-disease specific protein carrier. PCVs induce both an improved B-cell response and a T-cell response, resulting in a stronger and more durable immune response and longer-lasting protection, as compared to polysaccharide vaccines, which only induce a B-cell response.</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Pneumococcal Polysaccharide-Only Vaccines (Pneumovax)</w:t>
      </w:r>
    </w:p>
    <w:p>
      <w:pPr>
        <w:spacing w:after="0" w:line="225" w:lineRule="exact"/>
        <w:rPr>
          <w:sz w:val="20"/>
          <w:szCs w:val="20"/>
          <w:color w:val="auto"/>
        </w:rPr>
      </w:pPr>
    </w:p>
    <w:p>
      <w:pPr>
        <w:ind w:right="280" w:firstLine="1175"/>
        <w:spacing w:after="0" w:line="301" w:lineRule="auto"/>
        <w:rPr>
          <w:sz w:val="20"/>
          <w:szCs w:val="20"/>
          <w:color w:val="auto"/>
        </w:rPr>
      </w:pPr>
      <w:r>
        <w:rPr>
          <w:rFonts w:ascii="Arial" w:cs="Arial" w:eastAsia="Arial" w:hAnsi="Arial"/>
          <w:sz w:val="16"/>
          <w:szCs w:val="16"/>
          <w:color w:val="auto"/>
        </w:rPr>
        <w:t>Pneumovax, manufactured and marketed by Merck &amp; Co., Inc., is the only pneumococcal polysaccharide vaccine widely available. Pneumovax is indicated for the prevention of pneumococcal disease in adults and was first approved in the United States in 1977, at which time it contained 14 different strains of pneumococcal bacteria. In 1983, it was replaced by the current version containing 23 different strains. Pneumovax 23 is routinely administered to adults to provide protection against bacteremia and generates sales of over $900 million per year.</w:t>
      </w:r>
    </w:p>
    <w:p>
      <w:pPr>
        <w:spacing w:after="0" w:line="157" w:lineRule="exact"/>
        <w:rPr>
          <w:sz w:val="20"/>
          <w:szCs w:val="20"/>
          <w:color w:val="auto"/>
        </w:rPr>
      </w:pPr>
    </w:p>
    <w:p>
      <w:pPr>
        <w:ind w:firstLine="1175"/>
        <w:spacing w:after="0" w:line="255" w:lineRule="auto"/>
        <w:rPr>
          <w:sz w:val="20"/>
          <w:szCs w:val="20"/>
          <w:color w:val="auto"/>
        </w:rPr>
      </w:pPr>
      <w:r>
        <w:rPr>
          <w:rFonts w:ascii="Arial" w:cs="Arial" w:eastAsia="Arial" w:hAnsi="Arial"/>
          <w:sz w:val="18"/>
          <w:szCs w:val="18"/>
          <w:color w:val="auto"/>
        </w:rPr>
        <w:t>Polysaccharide vaccines induce a B-cell response only and do not induce a T-cell dependent immune response. In the absence of immunological memory responses, the resulting antibody responses are transient and cannot be boosted. Without the ability to provide long-lasting durable immunity, polysaccharide vaccines are not effective in children below two years of age. In addition, the antibody responses primarily consist of immunoglobulin M, or IgM, antibodies that, due to their size, are restricted to blood and are unable to penetrate into lung tissue to protect against pneumonia. Therefore, polysaccharide vaccines such as Pneumovax are only thought to protect against blood-borne infections, such as bacteremia. Figure 2 below illustrates polysaccharide-induced T-cell independent antibody responses.</w:t>
      </w:r>
    </w:p>
    <w:p>
      <w:pPr>
        <w:spacing w:after="0" w:line="192"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168910</wp:posOffset>
            </wp:positionV>
            <wp:extent cx="4311650" cy="1911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165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60" w:firstLine="1175"/>
        <w:spacing w:after="0" w:line="296" w:lineRule="auto"/>
        <w:rPr>
          <w:sz w:val="20"/>
          <w:szCs w:val="20"/>
          <w:color w:val="auto"/>
        </w:rPr>
      </w:pPr>
      <w:r>
        <w:rPr>
          <w:rFonts w:ascii="Arial" w:cs="Arial" w:eastAsia="Arial" w:hAnsi="Arial"/>
          <w:sz w:val="16"/>
          <w:szCs w:val="16"/>
          <w:color w:val="auto"/>
        </w:rPr>
        <w:t>Polysaccharide vaccines also interfere with optimal use of PCVs, as they create a hyporesponsive immune effect. In particular, absent T-cell inducement, polysaccharide vaccines actually clear the memory B-cells that are formed following primary immunization with a PCV, thereby eliminating the ability to boost with subsequent vaccination. This is a significant drawback of the current standard of care in older adults, which consists of the administration of a limited spectrum PCV followed by the administration of a polysaccharide vaccine. Despite these shortcomings, Pneumovax 23 continues to be widely used primarily to provide protection against circulating strains not contained in the currently available PCV.</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ind w:left="1180"/>
        <w:spacing w:after="0"/>
        <w:rPr>
          <w:sz w:val="20"/>
          <w:szCs w:val="20"/>
          <w:color w:val="auto"/>
        </w:rPr>
      </w:pPr>
      <w:r>
        <w:rPr>
          <w:rFonts w:ascii="Arial" w:cs="Arial" w:eastAsia="Arial" w:hAnsi="Arial"/>
          <w:sz w:val="18"/>
          <w:szCs w:val="18"/>
          <w:i w:val="1"/>
          <w:iCs w:val="1"/>
          <w:color w:val="auto"/>
        </w:rPr>
        <w:t>Pneumococcal Conjugate Vaccine (Prevnar)</w:t>
      </w:r>
    </w:p>
    <w:p>
      <w:pPr>
        <w:spacing w:after="0" w:line="225" w:lineRule="exact"/>
        <w:rPr>
          <w:sz w:val="20"/>
          <w:szCs w:val="20"/>
          <w:color w:val="auto"/>
        </w:rPr>
      </w:pPr>
    </w:p>
    <w:p>
      <w:pPr>
        <w:ind w:right="80" w:firstLine="1175"/>
        <w:spacing w:after="0" w:line="271" w:lineRule="auto"/>
        <w:rPr>
          <w:sz w:val="20"/>
          <w:szCs w:val="20"/>
          <w:color w:val="auto"/>
        </w:rPr>
      </w:pPr>
      <w:r>
        <w:rPr>
          <w:rFonts w:ascii="Arial" w:cs="Arial" w:eastAsia="Arial" w:hAnsi="Arial"/>
          <w:sz w:val="17"/>
          <w:szCs w:val="17"/>
          <w:color w:val="auto"/>
        </w:rPr>
        <w:t>PCVs overcome the limitations of polysaccharide vaccines by conjugating the polysaccharide to a more immunogenic protein carrier containing T-cell epitopes. These T-cell epitopes provide CD4</w:t>
      </w:r>
      <w:r>
        <w:rPr>
          <w:rFonts w:ascii="Arial" w:cs="Arial" w:eastAsia="Arial" w:hAnsi="Arial"/>
          <w:sz w:val="14"/>
          <w:szCs w:val="14"/>
          <w:color w:val="auto"/>
        </w:rPr>
        <w:t>+</w:t>
      </w:r>
      <w:r>
        <w:rPr>
          <w:rFonts w:ascii="Arial" w:cs="Arial" w:eastAsia="Arial" w:hAnsi="Arial"/>
          <w:sz w:val="17"/>
          <w:szCs w:val="17"/>
          <w:color w:val="auto"/>
        </w:rPr>
        <w:t xml:space="preserve"> help, which is critical to the conversion of a traditional B-cell dependent immune response to a more robust combined B-cell and T-cell dependent immune response. The T-cell response causes immediate class switching of the B-cells from more rudimentary IgM antibodies prevalent with polysaccharide vaccines to more refined IgG antibodies. IgG antibodies are refined enough to penetrate into lung tissues to prevent pneumonia. Furthermore, as polysaccharide strands attach to multiple copies of the protein carrier, they create an inter-strand cross-linked matrix structure, which the immune system easily recognizes as foreign. The T-cell dependent immune response also generates memory B-cells that can be re-stimulated, creating a prime-boost immune response and enabling a more robust and durable immune response, enabling the use of PCVs in young children. Figure 3 below illustrates this immune response:</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168910</wp:posOffset>
            </wp:positionV>
            <wp:extent cx="4980305" cy="1997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8030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1175"/>
        <w:spacing w:after="0" w:line="271" w:lineRule="auto"/>
        <w:rPr>
          <w:sz w:val="20"/>
          <w:szCs w:val="20"/>
          <w:color w:val="auto"/>
        </w:rPr>
      </w:pPr>
      <w:r>
        <w:rPr>
          <w:rFonts w:ascii="Arial" w:cs="Arial" w:eastAsia="Arial" w:hAnsi="Arial"/>
          <w:sz w:val="17"/>
          <w:szCs w:val="17"/>
          <w:color w:val="auto"/>
        </w:rPr>
        <w:t xml:space="preserve">The first PCV, Prevnar, was a 7-valent vaccine that was launched in the United States in 2000. It included purified capsular polysaccharides of seven serotypes of </w:t>
      </w:r>
      <w:r>
        <w:rPr>
          <w:rFonts w:ascii="Arial" w:cs="Arial" w:eastAsia="Arial" w:hAnsi="Arial"/>
          <w:sz w:val="17"/>
          <w:szCs w:val="17"/>
          <w:i w:val="1"/>
          <w:iCs w:val="1"/>
          <w:color w:val="auto"/>
        </w:rPr>
        <w:t>S. pneumoniae</w:t>
      </w:r>
      <w:r>
        <w:rPr>
          <w:rFonts w:ascii="Arial" w:cs="Arial" w:eastAsia="Arial" w:hAnsi="Arial"/>
          <w:sz w:val="17"/>
          <w:szCs w:val="17"/>
          <w:color w:val="auto"/>
        </w:rPr>
        <w:t xml:space="preserve"> (4, 6B, 9V, 14, 18C, 19F and 23F), each of which was individually conjugated to a T-cell-epitope-containing, nontoxic variant of diphtheria toxin known as CRM</w:t>
      </w:r>
      <w:r>
        <w:rPr>
          <w:rFonts w:ascii="Arial" w:cs="Arial" w:eastAsia="Arial" w:hAnsi="Arial"/>
          <w:sz w:val="14"/>
          <w:szCs w:val="14"/>
          <w:color w:val="auto"/>
        </w:rPr>
        <w:t>197</w:t>
      </w:r>
      <w:r>
        <w:rPr>
          <w:rFonts w:ascii="Arial" w:cs="Arial" w:eastAsia="Arial" w:hAnsi="Arial"/>
          <w:sz w:val="17"/>
          <w:szCs w:val="17"/>
          <w:color w:val="auto"/>
        </w:rPr>
        <w:t xml:space="preserve"> to produce seven monovalent conjugates. To obtain approval, a large field efficacy study was conducted that demonstrated the vaccine’s efficacy in infants. Efficacy correlated with serological immune endpoints, as measured by IgG titers (a measurement of concentration) and a seroconversion threshold (or reference antibody concentration) of protection was defined. Prevnar is credited with tremendous medical and commercial success, having dramatically reduced circulating disease in children. However, after a number of years of widespread use, IPD incidence caused by strains not contained in the vaccine started to opportunistically rise, a phenomenon called serotype replacement, which led to the need for a broader-spectrum version of the vaccine.</w:t>
      </w:r>
    </w:p>
    <w:p>
      <w:pPr>
        <w:spacing w:after="0" w:line="178" w:lineRule="exact"/>
        <w:rPr>
          <w:sz w:val="20"/>
          <w:szCs w:val="20"/>
          <w:color w:val="auto"/>
        </w:rPr>
      </w:pPr>
    </w:p>
    <w:p>
      <w:pPr>
        <w:ind w:right="20" w:firstLine="1175"/>
        <w:spacing w:after="0" w:line="311" w:lineRule="auto"/>
        <w:rPr>
          <w:sz w:val="20"/>
          <w:szCs w:val="20"/>
          <w:color w:val="auto"/>
        </w:rPr>
      </w:pPr>
      <w:r>
        <w:rPr>
          <w:rFonts w:ascii="Arial" w:cs="Arial" w:eastAsia="Arial" w:hAnsi="Arial"/>
          <w:sz w:val="16"/>
          <w:szCs w:val="16"/>
          <w:color w:val="auto"/>
        </w:rPr>
        <w:t>In the race to develop a broader-spectrum PCV than Prevnar, two vaccines were successfully developed: Synflorix, a 10-valent PCV from GlaxoSmithKline, and Prevnar 13, a 13-valent PCV from Wyeth (subsequently acquired by Pfizer). Based on its broader coverage of then-emerging strains, Prevnar 13 was adopted as the standard of care in the United States and Europe. Synflorix continues to be used primarily in emerging countries.</w:t>
      </w:r>
    </w:p>
    <w:p>
      <w:pPr>
        <w:spacing w:after="0" w:line="149" w:lineRule="exact"/>
        <w:rPr>
          <w:sz w:val="20"/>
          <w:szCs w:val="20"/>
          <w:color w:val="auto"/>
        </w:rPr>
      </w:pPr>
    </w:p>
    <w:p>
      <w:pPr>
        <w:ind w:right="80" w:firstLine="1175"/>
        <w:spacing w:after="0" w:line="293" w:lineRule="auto"/>
        <w:rPr>
          <w:sz w:val="20"/>
          <w:szCs w:val="20"/>
          <w:color w:val="auto"/>
        </w:rPr>
      </w:pPr>
      <w:r>
        <w:rPr>
          <w:rFonts w:ascii="Arial" w:cs="Arial" w:eastAsia="Arial" w:hAnsi="Arial"/>
          <w:sz w:val="16"/>
          <w:szCs w:val="16"/>
          <w:color w:val="auto"/>
        </w:rPr>
        <w:t xml:space="preserve">Prevnar 13 contains the seven serotypes originally included in Prevnar plus six more serotypes of </w:t>
      </w:r>
      <w:r>
        <w:rPr>
          <w:rFonts w:ascii="Arial" w:cs="Arial" w:eastAsia="Arial" w:hAnsi="Arial"/>
          <w:sz w:val="16"/>
          <w:szCs w:val="16"/>
          <w:i w:val="1"/>
          <w:iCs w:val="1"/>
          <w:color w:val="auto"/>
        </w:rPr>
        <w:t>S. pneumoniae</w:t>
      </w:r>
      <w:r>
        <w:rPr>
          <w:rFonts w:ascii="Arial" w:cs="Arial" w:eastAsia="Arial" w:hAnsi="Arial"/>
          <w:sz w:val="16"/>
          <w:szCs w:val="16"/>
          <w:color w:val="auto"/>
        </w:rPr>
        <w:t xml:space="preserve"> (1, 3, 5, 6A, 7F and 19A) and was developed and launched in the United States in 2010. Each polysaccharide is conjugated to CRM</w:t>
      </w:r>
      <w:r>
        <w:rPr>
          <w:rFonts w:ascii="Arial" w:cs="Arial" w:eastAsia="Arial" w:hAnsi="Arial"/>
          <w:sz w:val="13"/>
          <w:szCs w:val="13"/>
          <w:color w:val="auto"/>
        </w:rPr>
        <w:t>197</w:t>
      </w:r>
      <w:r>
        <w:rPr>
          <w:rFonts w:ascii="Arial" w:cs="Arial" w:eastAsia="Arial" w:hAnsi="Arial"/>
          <w:sz w:val="16"/>
          <w:szCs w:val="16"/>
          <w:color w:val="auto"/>
        </w:rPr>
        <w:t xml:space="preserve"> to produce 13 monovalent conjugates, which are mixed into a final vaccine formulation and then adsorbed to alum. In 2010, Prevnar 13 obtained FDA approval for the prevention of IPD in infants based on non-inferior IgG antibody responses relative to Prevnar, using the surrogate immune endpoints established by the prior Prevnar field efficacy study. While Prevnar 13 failed to achieve non-inferiority on two of the common seven strains relative to Prevnar, it was granted approval across all 13 strains. Upon receipt of the ACIP preferred recommendation, Prevnar 13 replaced Prevnar in the infant market as the standard of care. This also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right="200"/>
        <w:spacing w:after="0" w:line="277" w:lineRule="auto"/>
        <w:rPr>
          <w:sz w:val="20"/>
          <w:szCs w:val="20"/>
          <w:color w:val="auto"/>
        </w:rPr>
      </w:pPr>
      <w:r>
        <w:rPr>
          <w:rFonts w:ascii="Arial" w:cs="Arial" w:eastAsia="Arial" w:hAnsi="Arial"/>
          <w:sz w:val="18"/>
          <w:szCs w:val="18"/>
          <w:color w:val="auto"/>
        </w:rPr>
        <w:t>created a “catch-up” population for those children previously vaccinated with Prevnar to provide protection against the incremental serotypes covered by Prevnar 13.</w:t>
      </w:r>
    </w:p>
    <w:p>
      <w:pPr>
        <w:spacing w:after="0" w:line="170" w:lineRule="exact"/>
        <w:rPr>
          <w:sz w:val="20"/>
          <w:szCs w:val="20"/>
          <w:color w:val="auto"/>
        </w:rPr>
      </w:pPr>
    </w:p>
    <w:p>
      <w:pPr>
        <w:ind w:firstLine="1175"/>
        <w:spacing w:after="0" w:line="291" w:lineRule="auto"/>
        <w:rPr>
          <w:sz w:val="20"/>
          <w:szCs w:val="20"/>
          <w:color w:val="auto"/>
        </w:rPr>
      </w:pPr>
      <w:r>
        <w:rPr>
          <w:rFonts w:ascii="Arial" w:cs="Arial" w:eastAsia="Arial" w:hAnsi="Arial"/>
          <w:sz w:val="16"/>
          <w:szCs w:val="16"/>
          <w:color w:val="auto"/>
        </w:rPr>
        <w:t>Prevnar 13 has also received accelerated approval for the prevention of IPD and pneumonia in adults in the United States based on non-inferior OPA responses as compared to Pneumovax 23. To fulfill a post-marketing commitment, a large-scale field efficacy study of adults in the Netherlands was completed in 2013, which showed protection against community-acquired pneumonia and concordance between OPA and protection from community-acquired pneumonia. Thus, OPA was established as a validated surrogate immune endpoint in adults to support future regulatory approvals. Prevnar 13 subsequently received an ACIP preferred recommendation for adults 65 years and older, and the standard of care was amended to first vaccinate with Prevnar 13, and then after a waiting period, Pneumovax 23. This dual vaccine regimen provides some protection against the circulating strains over and above Prevnar 13 but we believe creates coverage gaps and patient compliance and convenience challenges.</w:t>
      </w:r>
    </w:p>
    <w:p>
      <w:pPr>
        <w:spacing w:after="0" w:line="166" w:lineRule="exact"/>
        <w:rPr>
          <w:sz w:val="20"/>
          <w:szCs w:val="20"/>
          <w:color w:val="auto"/>
        </w:rPr>
      </w:pPr>
    </w:p>
    <w:p>
      <w:pPr>
        <w:ind w:right="60" w:firstLine="1175"/>
        <w:spacing w:after="0" w:line="257" w:lineRule="auto"/>
        <w:rPr>
          <w:sz w:val="20"/>
          <w:szCs w:val="20"/>
          <w:color w:val="auto"/>
        </w:rPr>
      </w:pPr>
      <w:r>
        <w:rPr>
          <w:rFonts w:ascii="Arial" w:cs="Arial" w:eastAsia="Arial" w:hAnsi="Arial"/>
          <w:sz w:val="18"/>
          <w:szCs w:val="18"/>
          <w:color w:val="auto"/>
        </w:rPr>
        <w:t>Prevnar 13 quickly became the highest selling product in the global vaccine market. However, at the time of ACIP’s recommendation in 2014, it was determined that the recommendation would be revisited in four years to evaluate the impact of Prevnar 13 on pneumococcal disease burden in older adults. In June 2019, the ACIP downgraded its recommendation of Prevnar 13 for older adults, given the lack of disease caused by the incorporated strains, and instead began directing physicians and patients to decide whether to vaccinate on a case-by-case basis while still recommending universal vaccination with Pneumovax 23 due to its broader coverage.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Drawbacks for Current PCVs</w:t>
      </w:r>
    </w:p>
    <w:p>
      <w:pPr>
        <w:spacing w:after="0" w:line="225" w:lineRule="exact"/>
        <w:rPr>
          <w:sz w:val="20"/>
          <w:szCs w:val="20"/>
          <w:color w:val="auto"/>
        </w:rPr>
      </w:pPr>
    </w:p>
    <w:p>
      <w:pPr>
        <w:ind w:right="140" w:firstLine="1175"/>
        <w:spacing w:after="0" w:line="291" w:lineRule="auto"/>
        <w:rPr>
          <w:sz w:val="20"/>
          <w:szCs w:val="20"/>
          <w:color w:val="auto"/>
        </w:rPr>
      </w:pPr>
      <w:r>
        <w:rPr>
          <w:rFonts w:ascii="Arial" w:cs="Arial" w:eastAsia="Arial" w:hAnsi="Arial"/>
          <w:sz w:val="16"/>
          <w:szCs w:val="16"/>
          <w:color w:val="auto"/>
        </w:rPr>
        <w:t>Routine immunization with PCVs has been effective in dramatically lowering the incidence of invasive pneumococcal disease, or IPD, in both adults and children in the United States and other industrialized nations. However, due to a phenomenon called serotype replacement, strains that are not covered by existing vaccines are increasing in prevalence. In 2017, over 71% of IPD incidence in both children and adults was caused by strains beyond the 13 strains covered by Prevnar 13. Efforts to improve upon current standard of care vaccines center around expanding the valency of PCVs to address the strains driving residual pneumococcal disease. However, limitations due to conventional conjugation chemistry and carrier suppression have complicated those efforts, and there remains a growing need for broader-spectrum PCVs, as evidenced by the fact that despite Prevnar 13’s superior immunogenicity profile, Pneumovax 23 remains universally recommended in adults, given its broader-spectrum coverage.</w:t>
      </w:r>
    </w:p>
    <w:p>
      <w:pPr>
        <w:spacing w:after="0" w:line="166" w:lineRule="exact"/>
        <w:rPr>
          <w:sz w:val="20"/>
          <w:szCs w:val="20"/>
          <w:color w:val="auto"/>
        </w:rPr>
      </w:pPr>
    </w:p>
    <w:p>
      <w:pPr>
        <w:ind w:right="240" w:firstLine="1175"/>
        <w:spacing w:after="0" w:line="277" w:lineRule="auto"/>
        <w:rPr>
          <w:sz w:val="20"/>
          <w:szCs w:val="20"/>
          <w:color w:val="auto"/>
        </w:rPr>
      </w:pPr>
      <w:r>
        <w:rPr>
          <w:rFonts w:ascii="Arial" w:cs="Arial" w:eastAsia="Arial" w:hAnsi="Arial"/>
          <w:sz w:val="18"/>
          <w:szCs w:val="18"/>
          <w:color w:val="auto"/>
        </w:rPr>
        <w:t>While vaccination with current PCVs has been effective in dramatically lowering the incidence of IPD in both adults and children in the United States and other industrialized nations, current PCVs suffer from the following drawbacks.</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Serotype Replacement</w:t>
      </w:r>
    </w:p>
    <w:p>
      <w:pPr>
        <w:spacing w:after="0" w:line="225" w:lineRule="exact"/>
        <w:rPr>
          <w:sz w:val="20"/>
          <w:szCs w:val="20"/>
          <w:color w:val="auto"/>
        </w:rPr>
      </w:pPr>
    </w:p>
    <w:p>
      <w:pPr>
        <w:ind w:right="380" w:firstLine="1175"/>
        <w:spacing w:after="0" w:line="296" w:lineRule="auto"/>
        <w:rPr>
          <w:sz w:val="20"/>
          <w:szCs w:val="20"/>
          <w:color w:val="auto"/>
        </w:rPr>
      </w:pPr>
      <w:r>
        <w:rPr>
          <w:rFonts w:ascii="Arial" w:cs="Arial" w:eastAsia="Arial" w:hAnsi="Arial"/>
          <w:sz w:val="16"/>
          <w:szCs w:val="16"/>
          <w:color w:val="auto"/>
        </w:rPr>
        <w:t>Current PCVs do not address circulating strains causing the majority of pneumococcal disease. Since its introduction, there has been a decrease in the incidence of disease attributable to the serotypes covered by Prevnar 13 but an increase in incidence attributable to the incremental 11 strains that now cause most residual disease. Such change is driven by the void created when serotypes are taken out of circulation after widespread vaccination, which is a phenomenon known as serotype replacement. As a result of such change, broader-spectrum PCVs are required to maintain protection against historically pathogenic strains while expanding coverage to address current circulating and emerging strains.</w:t>
      </w:r>
    </w:p>
    <w:p>
      <w:pPr>
        <w:spacing w:after="0" w:line="161" w:lineRule="exact"/>
        <w:rPr>
          <w:sz w:val="20"/>
          <w:szCs w:val="20"/>
          <w:color w:val="auto"/>
        </w:rPr>
      </w:pPr>
    </w:p>
    <w:p>
      <w:pPr>
        <w:ind w:right="140" w:firstLine="1175"/>
        <w:spacing w:after="0" w:line="279" w:lineRule="auto"/>
        <w:rPr>
          <w:sz w:val="20"/>
          <w:szCs w:val="20"/>
          <w:color w:val="auto"/>
        </w:rPr>
      </w:pPr>
      <w:r>
        <w:rPr>
          <w:rFonts w:ascii="Arial" w:cs="Arial" w:eastAsia="Arial" w:hAnsi="Arial"/>
          <w:sz w:val="17"/>
          <w:szCs w:val="17"/>
          <w:color w:val="auto"/>
        </w:rPr>
        <w:t>To date, the most comprehensive pneumococcal disease surveillance has been conducted by the CDC in the United States and by the National Institute of Health and Care Excellence, in the United Kingdom. As shown in Figure 4, IPD cases in adults in the United States initially declined after the introduction of Prevnar 13 but have since plateaued. In 2017, non-covered serotypes were responsible for over 71% of IPD incidence in both children and adults. The rate of serotype replacement has been more pronounced in the United Kingdom. Figure 5 shows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 w:name="page15"/>
    <w:bookmarkEnd w:id="14"/>
    <w:p>
      <w:pPr>
        <w:ind w:right="260"/>
        <w:spacing w:after="0" w:line="277" w:lineRule="auto"/>
        <w:rPr>
          <w:sz w:val="20"/>
          <w:szCs w:val="20"/>
          <w:color w:val="auto"/>
        </w:rPr>
      </w:pPr>
      <w:r>
        <w:rPr>
          <w:rFonts w:ascii="Arial" w:cs="Arial" w:eastAsia="Arial" w:hAnsi="Arial"/>
          <w:sz w:val="18"/>
          <w:szCs w:val="18"/>
          <w:color w:val="auto"/>
        </w:rPr>
        <w:t>approximate IPD incidence rates in the United Kingdom caused by the incremental 11 strains over and above those in Prevnar 13, which have increased over the past three years.</w:t>
      </w:r>
    </w:p>
    <w:p>
      <w:pPr>
        <w:spacing w:after="0" w:line="197" w:lineRule="exact"/>
        <w:rPr>
          <w:sz w:val="20"/>
          <w:szCs w:val="20"/>
          <w:color w:val="auto"/>
        </w:rPr>
      </w:pPr>
    </w:p>
    <w:tbl>
      <w:tblPr>
        <w:tblLayout w:type="fixed"/>
        <w:tblInd w:w="2180" w:type="dxa"/>
        <w:tblCellMar>
          <w:top w:w="0" w:type="dxa"/>
          <w:left w:w="0" w:type="dxa"/>
          <w:bottom w:w="0" w:type="dxa"/>
          <w:right w:w="0" w:type="dxa"/>
        </w:tblCellMar>
      </w:tblPr>
      <w:tr>
        <w:trPr>
          <w:trHeight w:val="230"/>
        </w:trPr>
        <w:tc>
          <w:tcPr>
            <w:tcW w:w="3460" w:type="dxa"/>
            <w:vAlign w:val="bottom"/>
          </w:tcPr>
          <w:p>
            <w:pPr>
              <w:ind w:left="40"/>
              <w:spacing w:after="0"/>
              <w:rPr>
                <w:sz w:val="20"/>
                <w:szCs w:val="20"/>
                <w:color w:val="auto"/>
              </w:rPr>
            </w:pPr>
            <w:r>
              <w:rPr>
                <w:rFonts w:ascii="Arial" w:cs="Arial" w:eastAsia="Arial" w:hAnsi="Arial"/>
                <w:sz w:val="18"/>
                <w:szCs w:val="18"/>
                <w:i w:val="1"/>
                <w:iCs w:val="1"/>
                <w:color w:val="auto"/>
              </w:rPr>
              <w:t>Figure 4.</w:t>
            </w:r>
          </w:p>
        </w:tc>
        <w:tc>
          <w:tcPr>
            <w:tcW w:w="3500" w:type="dxa"/>
            <w:vAlign w:val="bottom"/>
          </w:tcPr>
          <w:p>
            <w:pPr>
              <w:ind w:left="1000"/>
              <w:spacing w:after="0"/>
              <w:rPr>
                <w:sz w:val="20"/>
                <w:szCs w:val="20"/>
                <w:color w:val="auto"/>
              </w:rPr>
            </w:pPr>
            <w:r>
              <w:rPr>
                <w:rFonts w:ascii="Arial" w:cs="Arial" w:eastAsia="Arial" w:hAnsi="Arial"/>
                <w:sz w:val="18"/>
                <w:szCs w:val="18"/>
                <w:i w:val="1"/>
                <w:iCs w:val="1"/>
                <w:color w:val="auto"/>
              </w:rPr>
              <w:t>Figure 5.</w:t>
            </w:r>
          </w:p>
        </w:tc>
      </w:tr>
      <w:tr>
        <w:trPr>
          <w:trHeight w:val="590"/>
        </w:trPr>
        <w:tc>
          <w:tcPr>
            <w:tcW w:w="3460" w:type="dxa"/>
            <w:vAlign w:val="bottom"/>
          </w:tcPr>
          <w:p>
            <w:pPr>
              <w:spacing w:after="0"/>
              <w:rPr>
                <w:sz w:val="20"/>
                <w:szCs w:val="20"/>
                <w:color w:val="auto"/>
              </w:rPr>
            </w:pPr>
            <w:r>
              <w:rPr>
                <w:rFonts w:ascii="Arial" w:cs="Arial" w:eastAsia="Arial" w:hAnsi="Arial"/>
                <w:sz w:val="18"/>
                <w:szCs w:val="18"/>
                <w:b w:val="1"/>
                <w:bCs w:val="1"/>
                <w:color w:val="auto"/>
              </w:rPr>
              <w:t>US IPD Incidence in Adults &gt; 65</w:t>
            </w:r>
            <w:r>
              <w:rPr>
                <w:rFonts w:ascii="Arial" w:cs="Arial" w:eastAsia="Arial" w:hAnsi="Arial"/>
                <w:sz w:val="26"/>
                <w:szCs w:val="26"/>
                <w:b w:val="1"/>
                <w:bCs w:val="1"/>
                <w:color w:val="auto"/>
                <w:vertAlign w:val="superscript"/>
              </w:rPr>
              <w:t>1</w:t>
            </w:r>
          </w:p>
        </w:tc>
        <w:tc>
          <w:tcPr>
            <w:tcW w:w="3500" w:type="dxa"/>
            <w:vAlign w:val="bottom"/>
          </w:tcPr>
          <w:p>
            <w:pPr>
              <w:ind w:left="900"/>
              <w:spacing w:after="0"/>
              <w:rPr>
                <w:sz w:val="20"/>
                <w:szCs w:val="20"/>
                <w:color w:val="auto"/>
              </w:rPr>
            </w:pPr>
            <w:r>
              <w:rPr>
                <w:rFonts w:ascii="Arial" w:cs="Arial" w:eastAsia="Arial" w:hAnsi="Arial"/>
                <w:sz w:val="18"/>
                <w:szCs w:val="18"/>
                <w:b w:val="1"/>
                <w:bCs w:val="1"/>
                <w:color w:val="auto"/>
                <w:w w:val="91"/>
              </w:rPr>
              <w:t>UK IPD Incidence in Adults &gt; 65</w:t>
            </w:r>
            <w:r>
              <w:rPr>
                <w:rFonts w:ascii="Arial" w:cs="Arial" w:eastAsia="Arial" w:hAnsi="Arial"/>
                <w:sz w:val="26"/>
                <w:szCs w:val="26"/>
                <w:b w:val="1"/>
                <w:bCs w:val="1"/>
                <w:color w:val="auto"/>
                <w:w w:val="91"/>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-511175</wp:posOffset>
            </wp:positionV>
            <wp:extent cx="5314950" cy="2494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1495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4160" w:type="dxa"/>
            <w:vAlign w:val="bottom"/>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US CDC Active Bacterial Core Surveillance Annual</w:t>
            </w:r>
          </w:p>
        </w:tc>
        <w:tc>
          <w:tcPr>
            <w:tcW w:w="4120" w:type="dxa"/>
            <w:vAlign w:val="bottom"/>
          </w:tcPr>
          <w:p>
            <w:pPr>
              <w:ind w:left="260"/>
              <w:spacing w:after="0"/>
              <w:rPr>
                <w:sz w:val="20"/>
                <w:szCs w:val="20"/>
                <w:color w:val="auto"/>
              </w:rPr>
            </w:pPr>
            <w:r>
              <w:rPr>
                <w:rFonts w:ascii="Arial" w:cs="Arial" w:eastAsia="Arial" w:hAnsi="Arial"/>
                <w:sz w:val="15"/>
                <w:szCs w:val="15"/>
                <w:color w:val="auto"/>
                <w:w w:val="95"/>
              </w:rPr>
              <w:t xml:space="preserve">2 </w:t>
            </w:r>
            <w:r>
              <w:rPr>
                <w:rFonts w:ascii="Arial" w:cs="Arial" w:eastAsia="Arial" w:hAnsi="Arial"/>
                <w:sz w:val="17"/>
                <w:szCs w:val="17"/>
                <w:color w:val="auto"/>
                <w:w w:val="95"/>
              </w:rPr>
              <w:t>Ladhani et al,</w:t>
            </w:r>
            <w:r>
              <w:rPr>
                <w:rFonts w:ascii="Arial" w:cs="Arial" w:eastAsia="Arial" w:hAnsi="Arial"/>
                <w:sz w:val="15"/>
                <w:szCs w:val="15"/>
                <w:color w:val="auto"/>
                <w:w w:val="95"/>
              </w:rPr>
              <w:t xml:space="preserve"> </w:t>
            </w:r>
            <w:r>
              <w:rPr>
                <w:rFonts w:ascii="Arial" w:cs="Arial" w:eastAsia="Arial" w:hAnsi="Arial"/>
                <w:sz w:val="17"/>
                <w:szCs w:val="17"/>
                <w:i w:val="1"/>
                <w:iCs w:val="1"/>
                <w:color w:val="auto"/>
                <w:w w:val="95"/>
              </w:rPr>
              <w:t>Lancet Infectious Disease,</w:t>
            </w:r>
            <w:r>
              <w:rPr>
                <w:rFonts w:ascii="Arial" w:cs="Arial" w:eastAsia="Arial" w:hAnsi="Arial"/>
                <w:sz w:val="15"/>
                <w:szCs w:val="15"/>
                <w:color w:val="auto"/>
                <w:w w:val="95"/>
              </w:rPr>
              <w:t xml:space="preserve"> </w:t>
            </w:r>
            <w:r>
              <w:rPr>
                <w:rFonts w:ascii="Arial" w:cs="Arial" w:eastAsia="Arial" w:hAnsi="Arial"/>
                <w:sz w:val="17"/>
                <w:szCs w:val="17"/>
                <w:color w:val="auto"/>
                <w:w w:val="95"/>
              </w:rPr>
              <w:t>2018 Apr.;</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Reports</w:t>
            </w:r>
          </w:p>
        </w:tc>
        <w:tc>
          <w:tcPr>
            <w:tcW w:w="4120" w:type="dxa"/>
            <w:vAlign w:val="bottom"/>
          </w:tcPr>
          <w:p>
            <w:pPr>
              <w:ind w:left="260"/>
              <w:spacing w:after="0"/>
              <w:rPr>
                <w:sz w:val="20"/>
                <w:szCs w:val="20"/>
                <w:color w:val="auto"/>
              </w:rPr>
            </w:pPr>
            <w:r>
              <w:rPr>
                <w:rFonts w:ascii="Arial" w:cs="Arial" w:eastAsia="Arial" w:hAnsi="Arial"/>
                <w:sz w:val="18"/>
                <w:szCs w:val="18"/>
                <w:color w:val="auto"/>
              </w:rPr>
              <w:t>18(4) inclusive of unpublished raw data</w:t>
            </w:r>
          </w:p>
        </w:tc>
      </w:tr>
    </w:tbl>
    <w:p>
      <w:pPr>
        <w:spacing w:after="0" w:line="202" w:lineRule="exact"/>
        <w:rPr>
          <w:sz w:val="20"/>
          <w:szCs w:val="20"/>
          <w:color w:val="auto"/>
        </w:rPr>
      </w:pPr>
    </w:p>
    <w:p>
      <w:pPr>
        <w:ind w:firstLine="1175"/>
        <w:spacing w:after="0" w:line="342" w:lineRule="auto"/>
        <w:rPr>
          <w:sz w:val="20"/>
          <w:szCs w:val="20"/>
          <w:color w:val="auto"/>
        </w:rPr>
      </w:pPr>
      <w:r>
        <w:rPr>
          <w:rFonts w:ascii="Arial" w:cs="Arial" w:eastAsia="Arial" w:hAnsi="Arial"/>
          <w:sz w:val="16"/>
          <w:szCs w:val="16"/>
          <w:color w:val="auto"/>
        </w:rPr>
        <w:t>While these 11 strains are covered by Pneumovax 23, that vaccine only protects against blood-borne infections and not pneumonia, leaving patients vulnerable to infection. We believe the need for both strong efficacy and broad coverage creates an opportunity for new, improved vaccines.</w:t>
      </w:r>
    </w:p>
    <w:p>
      <w:pPr>
        <w:spacing w:after="0" w:line="124"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Carrier Suppression</w:t>
      </w:r>
    </w:p>
    <w:p>
      <w:pPr>
        <w:spacing w:after="0" w:line="225" w:lineRule="exact"/>
        <w:rPr>
          <w:sz w:val="20"/>
          <w:szCs w:val="20"/>
          <w:color w:val="auto"/>
        </w:rPr>
      </w:pPr>
    </w:p>
    <w:p>
      <w:pPr>
        <w:ind w:firstLine="1175"/>
        <w:spacing w:after="0" w:line="254" w:lineRule="auto"/>
        <w:rPr>
          <w:sz w:val="20"/>
          <w:szCs w:val="20"/>
          <w:color w:val="auto"/>
        </w:rPr>
      </w:pPr>
      <w:r>
        <w:rPr>
          <w:rFonts w:ascii="Arial" w:cs="Arial" w:eastAsia="Arial" w:hAnsi="Arial"/>
          <w:sz w:val="18"/>
          <w:szCs w:val="18"/>
          <w:color w:val="auto"/>
        </w:rPr>
        <w:t>Technical constraints inherent to conventional conjugation chemistry limit the coverage of current PCVs due to a phenomenon known as carrier suppression. In particular, traditional conjugation methods cannot control where conjugation of the polysaccharide occurs on the protein carrier. The protein carrier used in Prevnar and Prevnar 13 is CRM</w:t>
      </w:r>
      <w:r>
        <w:rPr>
          <w:rFonts w:ascii="Arial" w:cs="Arial" w:eastAsia="Arial" w:hAnsi="Arial"/>
          <w:sz w:val="15"/>
          <w:szCs w:val="15"/>
          <w:color w:val="auto"/>
        </w:rPr>
        <w:t>197</w:t>
      </w:r>
      <w:r>
        <w:rPr>
          <w:rFonts w:ascii="Arial" w:cs="Arial" w:eastAsia="Arial" w:hAnsi="Arial"/>
          <w:sz w:val="18"/>
          <w:szCs w:val="18"/>
          <w:color w:val="auto"/>
        </w:rPr>
        <w:t>, a diphtheria toxin with a single point mutation rendering it non-toxic. The CRM</w:t>
      </w:r>
      <w:r>
        <w:rPr>
          <w:rFonts w:ascii="Arial" w:cs="Arial" w:eastAsia="Arial" w:hAnsi="Arial"/>
          <w:sz w:val="15"/>
          <w:szCs w:val="15"/>
          <w:color w:val="auto"/>
        </w:rPr>
        <w:t>197</w:t>
      </w:r>
      <w:r>
        <w:rPr>
          <w:rFonts w:ascii="Arial" w:cs="Arial" w:eastAsia="Arial" w:hAnsi="Arial"/>
          <w:sz w:val="18"/>
          <w:szCs w:val="18"/>
          <w:color w:val="auto"/>
        </w:rPr>
        <w:t xml:space="preserve"> protein contains 39 lysines, approximately 20% of which border relevant T-cell epitopes. Conventional conjugation chemistry randomly attaches the polysaccharide to any of the numerous lysines located on the protein carrier. When a polysaccharide is covalently bound to a protein carrier at a lysine residue that is co-resident with a T-cell epitope, it blocks the presentation of the T-cell epitope to the immune system, thus preventing the induction of a T-cell response. The masking of these critical epitopes prevents the conversion to a T-cell dependent immune response and negates the benefit of the protein carrier.</w:t>
      </w:r>
    </w:p>
    <w:p>
      <w:pPr>
        <w:spacing w:after="0" w:line="192" w:lineRule="exact"/>
        <w:rPr>
          <w:sz w:val="20"/>
          <w:szCs w:val="20"/>
          <w:color w:val="auto"/>
        </w:rPr>
      </w:pPr>
    </w:p>
    <w:p>
      <w:pPr>
        <w:ind w:right="460" w:firstLine="1175"/>
        <w:spacing w:after="0" w:line="263" w:lineRule="auto"/>
        <w:rPr>
          <w:sz w:val="20"/>
          <w:szCs w:val="20"/>
          <w:color w:val="auto"/>
        </w:rPr>
      </w:pPr>
      <w:r>
        <w:rPr>
          <w:rFonts w:ascii="Arial" w:cs="Arial" w:eastAsia="Arial" w:hAnsi="Arial"/>
          <w:sz w:val="18"/>
          <w:szCs w:val="18"/>
          <w:color w:val="auto"/>
        </w:rPr>
        <w:t>Meanwhile, the B-cell epitopes of both the protein carrier and the antigen are presented to the immune system, causing B-cells to the respective immunogens to compete with one another for the T-cell help engendered by unblocked T-cell epitopes. This competition for T-cell help diminishes the immune response to the polysaccharide antigen of interest, resulting in carrier suppression.</w:t>
      </w:r>
    </w:p>
    <w:p>
      <w:pPr>
        <w:spacing w:after="0" w:line="184" w:lineRule="exact"/>
        <w:rPr>
          <w:sz w:val="20"/>
          <w:szCs w:val="20"/>
          <w:color w:val="auto"/>
        </w:rPr>
      </w:pPr>
    </w:p>
    <w:p>
      <w:pPr>
        <w:ind w:right="140" w:firstLine="1175"/>
        <w:spacing w:after="0" w:line="254" w:lineRule="auto"/>
        <w:rPr>
          <w:sz w:val="20"/>
          <w:szCs w:val="20"/>
          <w:color w:val="auto"/>
        </w:rPr>
      </w:pPr>
      <w:r>
        <w:rPr>
          <w:rFonts w:ascii="Arial" w:cs="Arial" w:eastAsia="Arial" w:hAnsi="Arial"/>
          <w:sz w:val="18"/>
          <w:szCs w:val="18"/>
          <w:color w:val="auto"/>
        </w:rPr>
        <w:t>The result of carrier suppression is a decrease in the targeted immune response to the disease-specific polysaccharides, which intensifies with higher cumulative amounts of protein carrier. This phenomenon impedes the ability to expand coverage of current PCVs and has been shown consistently when broader-spectrum versions of conventional PCVs have been compared to lesser-valent versions. When Prevnar 13 was compared to Prevnar (Pfizer’s first generation 7-valent PCV) in a well-controlled Phase 3 study in infants, the IgG antibody responses directed against the polysaccharides of interest for all seven of the common strains in each vaccine were lower for Prevnar 13. In 2020, Pfizer presented results of a well-controlled Phase 3 study in adults, aged 60 and over, where they compared a 20-valent PCV development candidate to Prevnar 13. In that study, the OPA responses directed against the polysaccharides of interest for all thirteen of the common strains in each vaccine were lower for the 20-valent development candidate.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5" w:name="page16"/>
    <w:bookmarkEnd w:id="15"/>
    <w:p>
      <w:pPr>
        <w:ind w:left="1180"/>
        <w:spacing w:after="0"/>
        <w:rPr>
          <w:sz w:val="20"/>
          <w:szCs w:val="20"/>
          <w:color w:val="auto"/>
        </w:rPr>
      </w:pPr>
      <w:r>
        <w:rPr>
          <w:rFonts w:ascii="Arial" w:cs="Arial" w:eastAsia="Arial" w:hAnsi="Arial"/>
          <w:sz w:val="18"/>
          <w:szCs w:val="18"/>
          <w:i w:val="1"/>
          <w:iCs w:val="1"/>
          <w:color w:val="auto"/>
        </w:rPr>
        <w:t>Figure 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2689225</wp:posOffset>
            </wp:positionV>
            <wp:extent cx="16459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83185</wp:posOffset>
            </wp:positionV>
            <wp:extent cx="5194935" cy="2366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9493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5"/>
          <w:szCs w:val="15"/>
          <w:color w:val="auto"/>
        </w:rPr>
      </w:pPr>
      <w:r>
        <w:rPr>
          <w:rFonts w:ascii="Arial" w:cs="Arial" w:eastAsia="Arial" w:hAnsi="Arial"/>
          <w:sz w:val="18"/>
          <w:szCs w:val="18"/>
          <w:color w:val="auto"/>
        </w:rPr>
        <w:t>Yeh et al, Pediatrics. 126:e493 (2010)</w:t>
      </w:r>
      <w:r>
        <w:rPr>
          <w:rFonts w:ascii="Arial" w:cs="Arial" w:eastAsia="Arial" w:hAnsi="Arial"/>
          <w:sz w:val="18"/>
          <w:szCs w:val="18"/>
          <w:i w:val="1"/>
          <w:iCs w:val="1"/>
          <w:color w:val="auto"/>
        </w:rPr>
        <w:t>.</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Conventional Chemistry</w:t>
      </w:r>
    </w:p>
    <w:p>
      <w:pPr>
        <w:spacing w:after="0" w:line="225" w:lineRule="exact"/>
        <w:rPr>
          <w:sz w:val="20"/>
          <w:szCs w:val="20"/>
          <w:color w:val="auto"/>
        </w:rPr>
      </w:pPr>
    </w:p>
    <w:p>
      <w:pPr>
        <w:ind w:firstLine="1175"/>
        <w:spacing w:after="0" w:line="291" w:lineRule="auto"/>
        <w:rPr>
          <w:sz w:val="20"/>
          <w:szCs w:val="20"/>
          <w:color w:val="auto"/>
        </w:rPr>
      </w:pPr>
      <w:r>
        <w:rPr>
          <w:rFonts w:ascii="Arial" w:cs="Arial" w:eastAsia="Arial" w:hAnsi="Arial"/>
          <w:sz w:val="16"/>
          <w:szCs w:val="16"/>
          <w:color w:val="auto"/>
        </w:rPr>
        <w:t>The problem of carrier suppression is compounded by conventional conjugation chemistry used to make current PCVs, including Prevnar 13, which requires a higher amount of CRM</w:t>
      </w:r>
      <w:r>
        <w:rPr>
          <w:rFonts w:ascii="Arial" w:cs="Arial" w:eastAsia="Arial" w:hAnsi="Arial"/>
          <w:sz w:val="13"/>
          <w:szCs w:val="13"/>
          <w:color w:val="auto"/>
        </w:rPr>
        <w:t>197</w:t>
      </w:r>
      <w:r>
        <w:rPr>
          <w:rFonts w:ascii="Arial" w:cs="Arial" w:eastAsia="Arial" w:hAnsi="Arial"/>
          <w:sz w:val="16"/>
          <w:szCs w:val="16"/>
          <w:color w:val="auto"/>
        </w:rPr>
        <w:t xml:space="preserve"> protein carrier than polysaccharide antigen to complete the conjugation reaction, as well as long reaction times and harsh conditions that can damage the critical epitopes on the polysaccharide antigens. This results in a higher ratio of protein carrier to polysaccharide antigen in their monovalent conjugates (approximately 1.1 on average), as well as a much higher amount of cumulative protein carrier in the final formulation compared to the amount of any given polysaccharide antigen. For example, in the marketed Prevnar 13 formulation, there are 34 micrograms of the protein carrier, CRM</w:t>
      </w:r>
      <w:r>
        <w:rPr>
          <w:rFonts w:ascii="Arial" w:cs="Arial" w:eastAsia="Arial" w:hAnsi="Arial"/>
          <w:sz w:val="13"/>
          <w:szCs w:val="13"/>
          <w:color w:val="auto"/>
        </w:rPr>
        <w:t>197</w:t>
      </w:r>
      <w:r>
        <w:rPr>
          <w:rFonts w:ascii="Arial" w:cs="Arial" w:eastAsia="Arial" w:hAnsi="Arial"/>
          <w:sz w:val="16"/>
          <w:szCs w:val="16"/>
          <w:color w:val="auto"/>
        </w:rPr>
        <w:t>, relative to 2.2 micrograms of each polysaccharide (except serotype 6B at 4.4 micrograms). With substantially more protein carrier in the vaccine than polysaccharide antigen, the carrier suppression effect discussed above is exacerbated.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29" w:lineRule="exact"/>
        <w:rPr>
          <w:sz w:val="20"/>
          <w:szCs w:val="20"/>
          <w:color w:val="auto"/>
        </w:rPr>
      </w:pPr>
    </w:p>
    <w:p>
      <w:pPr>
        <w:ind w:right="200" w:firstLine="1175"/>
        <w:spacing w:after="0" w:line="342" w:lineRule="auto"/>
        <w:rPr>
          <w:sz w:val="20"/>
          <w:szCs w:val="20"/>
          <w:color w:val="auto"/>
        </w:rPr>
      </w:pPr>
      <w:r>
        <w:rPr>
          <w:rFonts w:ascii="Arial" w:cs="Arial" w:eastAsia="Arial" w:hAnsi="Arial"/>
          <w:sz w:val="16"/>
          <w:szCs w:val="16"/>
          <w:color w:val="auto"/>
        </w:rPr>
        <w:t>We are leveraging our cell-free protein synthesis platform to develop potentially superior conjugate vaccines for adult and pediatric indications. Our solution to the drawbacks with conventional conjugate vaccine techniques represents the first of three main applications of our platform.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Application One: Creating Superior Conjugate Vaccines</w:t>
      </w:r>
    </w:p>
    <w:p>
      <w:pPr>
        <w:spacing w:after="0" w:line="225" w:lineRule="exact"/>
        <w:rPr>
          <w:sz w:val="20"/>
          <w:szCs w:val="20"/>
          <w:color w:val="auto"/>
        </w:rPr>
      </w:pPr>
    </w:p>
    <w:p>
      <w:pPr>
        <w:ind w:right="120" w:firstLine="1175"/>
        <w:spacing w:after="0" w:line="257" w:lineRule="auto"/>
        <w:rPr>
          <w:sz w:val="20"/>
          <w:szCs w:val="20"/>
          <w:color w:val="auto"/>
        </w:rPr>
      </w:pPr>
      <w:r>
        <w:rPr>
          <w:rFonts w:ascii="Arial" w:cs="Arial" w:eastAsia="Arial" w:hAnsi="Arial"/>
          <w:sz w:val="18"/>
          <w:szCs w:val="18"/>
          <w:color w:val="auto"/>
        </w:rPr>
        <w:t>Using our cell-free protein synthesis platform, we are developing superior, novel PCVs designed to have broader-spectrum coverage in an effort to address current and future residual disease in ways that conventional technologies cannot. We are able to design our investigational PCVs using site-specific conjugation in an effort to ensure optimal exposure of targeted immunogenic T-cell epitopes on protein carriers. This enables us to create broader-spectrum conjugate vaccine candidates using carrier-sparing conjugates designed to avoid carrier suppression while maintaining protective immunogenicity.</w:t>
      </w:r>
    </w:p>
    <w:p>
      <w:pPr>
        <w:spacing w:after="0" w:line="188" w:lineRule="exact"/>
        <w:rPr>
          <w:sz w:val="20"/>
          <w:szCs w:val="20"/>
          <w:color w:val="auto"/>
        </w:rPr>
      </w:pPr>
    </w:p>
    <w:p>
      <w:pPr>
        <w:ind w:right="80" w:firstLine="1175"/>
        <w:spacing w:after="0" w:line="259" w:lineRule="auto"/>
        <w:rPr>
          <w:sz w:val="20"/>
          <w:szCs w:val="20"/>
          <w:color w:val="auto"/>
        </w:rPr>
      </w:pPr>
      <w:r>
        <w:rPr>
          <w:rFonts w:ascii="Arial" w:cs="Arial" w:eastAsia="Arial" w:hAnsi="Arial"/>
          <w:sz w:val="18"/>
          <w:szCs w:val="18"/>
          <w:color w:val="auto"/>
        </w:rPr>
        <w:t xml:space="preserve">Synthesizing proteins outside of a living host cell provides us greater freedom to design and produce specific proteins of interest under optimized conditions. We separate the precise cellular machinery required for transcription, translation and energy production—the critical components for protein production—into an </w:t>
      </w:r>
      <w:r>
        <w:rPr>
          <w:rFonts w:ascii="Arial" w:cs="Arial" w:eastAsia="Arial" w:hAnsi="Arial"/>
          <w:sz w:val="18"/>
          <w:szCs w:val="18"/>
          <w:i w:val="1"/>
          <w:iCs w:val="1"/>
          <w:color w:val="auto"/>
        </w:rPr>
        <w:t>Escherichia coli</w:t>
      </w:r>
      <w:r>
        <w:rPr>
          <w:rFonts w:ascii="Arial" w:cs="Arial" w:eastAsia="Arial" w:hAnsi="Arial"/>
          <w:sz w:val="18"/>
          <w:szCs w:val="18"/>
          <w:color w:val="auto"/>
        </w:rPr>
        <w:t xml:space="preserve"> (</w:t>
      </w:r>
      <w:r>
        <w:rPr>
          <w:rFonts w:ascii="Arial" w:cs="Arial" w:eastAsia="Arial" w:hAnsi="Arial"/>
          <w:sz w:val="18"/>
          <w:szCs w:val="18"/>
          <w:i w:val="1"/>
          <w:iCs w:val="1"/>
          <w:color w:val="auto"/>
        </w:rPr>
        <w:t>E. coli)</w:t>
      </w:r>
      <w:r>
        <w:rPr>
          <w:rFonts w:ascii="Arial" w:cs="Arial" w:eastAsia="Arial" w:hAnsi="Arial"/>
          <w:sz w:val="18"/>
          <w:szCs w:val="18"/>
          <w:color w:val="auto"/>
        </w:rPr>
        <w:t>-derived extract. We can then optimally express a single protein carrier by adding the plasmid-DNA encoding that protein into the extract mixture.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Site-Specific Conjugation</w:t>
      </w:r>
    </w:p>
    <w:p>
      <w:pPr>
        <w:spacing w:after="0" w:line="225" w:lineRule="exact"/>
        <w:rPr>
          <w:sz w:val="20"/>
          <w:szCs w:val="20"/>
          <w:color w:val="auto"/>
        </w:rPr>
      </w:pPr>
    </w:p>
    <w:p>
      <w:pPr>
        <w:ind w:firstLine="1175"/>
        <w:spacing w:after="0" w:line="254" w:lineRule="auto"/>
        <w:rPr>
          <w:sz w:val="20"/>
          <w:szCs w:val="20"/>
          <w:color w:val="auto"/>
        </w:rPr>
      </w:pPr>
      <w:r>
        <w:rPr>
          <w:rFonts w:ascii="Arial" w:cs="Arial" w:eastAsia="Arial" w:hAnsi="Arial"/>
          <w:sz w:val="18"/>
          <w:szCs w:val="18"/>
          <w:color w:val="auto"/>
        </w:rPr>
        <w:t>Within a protein carrier, we can substitute non-native amino acids, or nnAAs, for native amino acids at specific sites. These inserted nnAAs serve as conjugation anchors that permit the attachment of antigens, including polysaccharides, at a specific site on a protein carrier to ensure optimal exposure of B-cell and/or T-cell epitopes to induce the desired immune response. This precise site-specific linkage is not possible using conventional conjugation chemistry with conventional carrier proteins and affords an advantage to our conjugate vaccine candidates. Figure 7 below depicts our method of inserting nnAAs into a protein carrier, where the DNA sequence has been modified to permit nnAA incorporation into the protein at pre-selected sites using a nnAA-RNA permitting transcription and translation of the protein in the ribosome to yield the protein carrier with nnAAs site-specifically incorporated, facilitating site-specific conjugation.</w:t>
      </w:r>
    </w:p>
    <w:p>
      <w:pPr>
        <w:spacing w:after="0" w:line="195"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Figure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151765</wp:posOffset>
            </wp:positionV>
            <wp:extent cx="3000375" cy="1783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0037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1175"/>
        <w:spacing w:after="0" w:line="272" w:lineRule="auto"/>
        <w:rPr>
          <w:sz w:val="20"/>
          <w:szCs w:val="20"/>
          <w:color w:val="auto"/>
        </w:rPr>
      </w:pPr>
      <w:r>
        <w:rPr>
          <w:rFonts w:ascii="Arial" w:cs="Arial" w:eastAsia="Arial" w:hAnsi="Arial"/>
          <w:sz w:val="17"/>
          <w:szCs w:val="17"/>
          <w:color w:val="auto"/>
        </w:rPr>
        <w:t>Most conjugate vaccines available today use a non-disease-specific protein carrier, CRM</w:t>
      </w:r>
      <w:r>
        <w:rPr>
          <w:rFonts w:ascii="Arial" w:cs="Arial" w:eastAsia="Arial" w:hAnsi="Arial"/>
          <w:sz w:val="14"/>
          <w:szCs w:val="14"/>
          <w:color w:val="auto"/>
        </w:rPr>
        <w:t>197</w:t>
      </w:r>
      <w:r>
        <w:rPr>
          <w:rFonts w:ascii="Arial" w:cs="Arial" w:eastAsia="Arial" w:hAnsi="Arial"/>
          <w:sz w:val="17"/>
          <w:szCs w:val="17"/>
          <w:color w:val="auto"/>
        </w:rPr>
        <w:t>, in order to leverage T-cell epitopes to induce a T-cell dependent immune response. This traditional method produces a heterogeneous mixture of conjugates with blocked and unblocked T-cell epitopes in a large immunogenic cross-linked matrix structure. In contrast, the precision and flexibility of cell-free protein expression, together with our ability to insert nnAAs, allow us to construct our proprietary enhanced protein carrier, or eCRM, with pre-determined conjugation sites. Our method produces homogenous conjugates that provide for the consistent exposure of T-cell epitopes and likewise form a large, immunogenic cross-linked matrix structure. By precisely conjugating polysaccharides to eCRM in a way that provides for optimal exposure of T-cell epitopes to the immune system, we can heighten immunogenicity attainable with conjugate vaccines.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right="360" w:firstLine="1175"/>
        <w:spacing w:after="0" w:line="263" w:lineRule="auto"/>
        <w:rPr>
          <w:sz w:val="20"/>
          <w:szCs w:val="20"/>
          <w:color w:val="auto"/>
        </w:rPr>
      </w:pPr>
      <w:r>
        <w:rPr>
          <w:rFonts w:ascii="Arial" w:cs="Arial" w:eastAsia="Arial" w:hAnsi="Arial"/>
          <w:sz w:val="18"/>
          <w:szCs w:val="18"/>
          <w:color w:val="auto"/>
        </w:rPr>
        <w:t>The figures below illustrate the site-specific conjugation process. Figure 8 shows site-specific conjugation of the polysaccharide to the protein carrier, avoiding the T-cell epitopes. Figure 9 shows the inter-strand cross-linked matrix, which is the structure of each monovalent conjugate included in the final vaccine.</w:t>
      </w:r>
    </w:p>
    <w:p>
      <w:pPr>
        <w:sectPr>
          <w:pgSz w:w="11900" w:h="16838" w:orient="portrait"/>
          <w:cols w:equalWidth="0" w:num="1">
            <w:col w:w="11220"/>
          </w:cols>
          <w:pgMar w:left="320" w:top="557" w:right="359" w:bottom="1440" w:gutter="0" w:footer="0" w:header="0"/>
        </w:sectPr>
      </w:pPr>
    </w:p>
    <w:p>
      <w:pPr>
        <w:spacing w:after="0" w:line="265" w:lineRule="exact"/>
        <w:rPr>
          <w:sz w:val="20"/>
          <w:szCs w:val="20"/>
          <w:color w:val="auto"/>
        </w:rPr>
      </w:pPr>
    </w:p>
    <w:p>
      <w:pPr>
        <w:ind w:left="2180"/>
        <w:spacing w:after="0"/>
        <w:rPr>
          <w:sz w:val="20"/>
          <w:szCs w:val="20"/>
          <w:color w:val="auto"/>
        </w:rPr>
      </w:pPr>
      <w:r>
        <w:rPr>
          <w:rFonts w:ascii="Arial" w:cs="Arial" w:eastAsia="Arial" w:hAnsi="Arial"/>
          <w:sz w:val="17"/>
          <w:szCs w:val="17"/>
          <w:i w:val="1"/>
          <w:iCs w:val="1"/>
          <w:color w:val="auto"/>
        </w:rPr>
        <w:t>Figure 8.</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Figure 9.</w:t>
      </w:r>
    </w:p>
    <w:p>
      <w:pPr>
        <w:spacing w:after="0" w:line="211" w:lineRule="exact"/>
        <w:rPr>
          <w:sz w:val="20"/>
          <w:szCs w:val="20"/>
          <w:color w:val="auto"/>
        </w:rPr>
      </w:pPr>
    </w:p>
    <w:p>
      <w:pPr>
        <w:sectPr>
          <w:pgSz w:w="11900" w:h="16838" w:orient="portrait"/>
          <w:cols w:equalWidth="0" w:num="2">
            <w:col w:w="5680" w:space="720"/>
            <w:col w:w="4820"/>
          </w:cols>
          <w:pgMar w:left="320" w:top="557" w:right="359" w:bottom="1440" w:gutter="0" w:footer="0" w:header="0"/>
          <w:type w:val="continuous"/>
        </w:sectPr>
      </w:pPr>
    </w:p>
    <w:p>
      <w:pPr>
        <w:spacing w:after="0" w:line="73" w:lineRule="exact"/>
        <w:rPr>
          <w:sz w:val="20"/>
          <w:szCs w:val="20"/>
          <w:color w:val="auto"/>
        </w:rPr>
      </w:pPr>
    </w:p>
    <w:p>
      <w:pPr>
        <w:jc w:val="center"/>
        <w:ind w:left="1180"/>
        <w:spacing w:after="0"/>
        <w:rPr>
          <w:sz w:val="20"/>
          <w:szCs w:val="20"/>
          <w:color w:val="auto"/>
        </w:rPr>
      </w:pPr>
      <w:r>
        <w:rPr>
          <w:rFonts w:ascii="Arial" w:cs="Arial" w:eastAsia="Arial" w:hAnsi="Arial"/>
          <w:sz w:val="16"/>
          <w:szCs w:val="16"/>
          <w:b w:val="1"/>
          <w:bCs w:val="1"/>
          <w:color w:val="auto"/>
        </w:rPr>
        <w:t>Precise, Consistent &amp; Optimal</w:t>
      </w:r>
    </w:p>
    <w:p>
      <w:pPr>
        <w:spacing w:after="0" w:line="50" w:lineRule="exact"/>
        <w:rPr>
          <w:sz w:val="20"/>
          <w:szCs w:val="20"/>
          <w:color w:val="auto"/>
        </w:rPr>
      </w:pPr>
    </w:p>
    <w:p>
      <w:pPr>
        <w:jc w:val="center"/>
        <w:ind w:left="1180"/>
        <w:spacing w:after="0"/>
        <w:rPr>
          <w:sz w:val="20"/>
          <w:szCs w:val="20"/>
          <w:color w:val="auto"/>
        </w:rPr>
      </w:pPr>
      <w:r>
        <w:rPr>
          <w:rFonts w:ascii="Arial" w:cs="Arial" w:eastAsia="Arial" w:hAnsi="Arial"/>
          <w:sz w:val="18"/>
          <w:szCs w:val="18"/>
          <w:b w:val="1"/>
          <w:bCs w:val="1"/>
          <w:color w:val="auto"/>
        </w:rPr>
        <w:t>Conjugation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91440</wp:posOffset>
            </wp:positionV>
            <wp:extent cx="2185670" cy="1028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85670" cy="1028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Final Product: Conjugates in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Customary Matrix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106045</wp:posOffset>
            </wp:positionV>
            <wp:extent cx="1825625" cy="1568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5625" cy="156845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5860" w:space="720"/>
            <w:col w:w="4640"/>
          </w:cols>
          <w:pgMar w:left="320" w:top="5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60" w:firstLine="1175"/>
        <w:spacing w:after="0" w:line="296" w:lineRule="auto"/>
        <w:rPr>
          <w:sz w:val="20"/>
          <w:szCs w:val="20"/>
          <w:color w:val="auto"/>
        </w:rPr>
      </w:pPr>
      <w:r>
        <w:rPr>
          <w:rFonts w:ascii="Arial" w:cs="Arial" w:eastAsia="Arial" w:hAnsi="Arial"/>
          <w:sz w:val="16"/>
          <w:szCs w:val="16"/>
          <w:color w:val="auto"/>
        </w:rPr>
        <w:t>We believe consistent exposure of T-cell epitopes should translate to higher potency of the protein carrier on a weight-to-weight basis. To harness this potential potency advantage, we have elected to construct conjugates with a lower ratio of protein carrier to polysaccharide than Prevnar 13. We have observed in animal models that despite having approximately half as much protein on average in each monovalent conjugate, VAX-24 had comparable immunogenicity relative to Prevnar 13 on a strain-by-strain basis. As a result, we believe we can incorporate more monovalent conjugates to create an even more broad-spectrum vaccine with less protein carrier per conjugate in order to minimize carrier suppression.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Better Chemistry</w:t>
      </w:r>
    </w:p>
    <w:p>
      <w:pPr>
        <w:spacing w:after="0" w:line="225" w:lineRule="exact"/>
        <w:rPr>
          <w:sz w:val="20"/>
          <w:szCs w:val="20"/>
          <w:color w:val="auto"/>
        </w:rPr>
      </w:pPr>
    </w:p>
    <w:p>
      <w:pPr>
        <w:ind w:right="800" w:firstLine="1175"/>
        <w:spacing w:after="0" w:line="259" w:lineRule="auto"/>
        <w:rPr>
          <w:sz w:val="20"/>
          <w:szCs w:val="20"/>
          <w:color w:val="auto"/>
        </w:rPr>
      </w:pPr>
      <w:r>
        <w:rPr>
          <w:rFonts w:ascii="Arial" w:cs="Arial" w:eastAsia="Arial" w:hAnsi="Arial"/>
          <w:sz w:val="18"/>
          <w:szCs w:val="18"/>
          <w:color w:val="auto"/>
        </w:rPr>
        <w:t>We also employ a rapid and less harsh chemistry method called copper-free click chemistry to site-specifically conjugate the polysaccharides to eCRM. We believe this distinctive technique is a better controlled, more efficient and faster method of conjugation relative to conventional chemistry used to make traditional PCVs. The click chemistry conjugation reaction is designed to cause less damage to the critical immunogenic epitopes on the protein carrier or the target antigen.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PCV Franchise</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We are developing broad-spectrum investigational PCVs designed to minimize carrier suppression.</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VAX-24</w:t>
      </w:r>
    </w:p>
    <w:p>
      <w:pPr>
        <w:spacing w:after="0" w:line="225" w:lineRule="exact"/>
        <w:rPr>
          <w:sz w:val="20"/>
          <w:szCs w:val="20"/>
          <w:color w:val="auto"/>
        </w:rPr>
      </w:pPr>
    </w:p>
    <w:p>
      <w:pPr>
        <w:ind w:right="60" w:firstLine="1175"/>
        <w:spacing w:after="0" w:line="255" w:lineRule="auto"/>
        <w:rPr>
          <w:sz w:val="20"/>
          <w:szCs w:val="20"/>
          <w:color w:val="auto"/>
        </w:rPr>
      </w:pPr>
      <w:r>
        <w:rPr>
          <w:rFonts w:ascii="Arial" w:cs="Arial" w:eastAsia="Arial" w:hAnsi="Arial"/>
          <w:sz w:val="18"/>
          <w:szCs w:val="18"/>
          <w:color w:val="auto"/>
        </w:rPr>
        <w:t>Our lead vaccine candidate, VAX-24, is designed to improve upon the standard of care by covering the additional strains that are responsible for the majority of residual pneumococcal disease currently in circulation. We achieved preclinical proof of concept for VAX-24 in 2017 by demonstrating that VAX-24 has the potential to protect against the pneumococcal strains collectively covered by Prevnar 13 and Pneumovax 23 and showed the durable, boostable immune response of a conjugate vaccine. The incremental 11 strains covered by VAX-24 and not covered by Prevnar 13 are responsible for the majority of circulating invasive pneumococcal disease in both the United States and European Union and are associated with high case-fatality rates, antibiotic resistance and/or meningitis.</w:t>
      </w:r>
    </w:p>
    <w:p>
      <w:pPr>
        <w:spacing w:after="0" w:line="192" w:lineRule="exact"/>
        <w:rPr>
          <w:sz w:val="20"/>
          <w:szCs w:val="20"/>
          <w:color w:val="auto"/>
        </w:rPr>
      </w:pPr>
    </w:p>
    <w:p>
      <w:pPr>
        <w:jc w:val="both"/>
        <w:ind w:firstLine="1175"/>
        <w:spacing w:after="0" w:line="263" w:lineRule="auto"/>
        <w:rPr>
          <w:sz w:val="20"/>
          <w:szCs w:val="20"/>
          <w:color w:val="auto"/>
        </w:rPr>
      </w:pPr>
      <w:r>
        <w:rPr>
          <w:rFonts w:ascii="Arial" w:cs="Arial" w:eastAsia="Arial" w:hAnsi="Arial"/>
          <w:sz w:val="18"/>
          <w:szCs w:val="18"/>
          <w:color w:val="auto"/>
        </w:rPr>
        <w:t xml:space="preserve">VAX-24 includes 24 purified capsular polysaccharides of </w:t>
      </w:r>
      <w:r>
        <w:rPr>
          <w:rFonts w:ascii="Arial" w:cs="Arial" w:eastAsia="Arial" w:hAnsi="Arial"/>
          <w:sz w:val="18"/>
          <w:szCs w:val="18"/>
          <w:i w:val="1"/>
          <w:iCs w:val="1"/>
          <w:color w:val="auto"/>
        </w:rPr>
        <w:t>S. pneumoniae</w:t>
      </w:r>
      <w:r>
        <w:rPr>
          <w:rFonts w:ascii="Arial" w:cs="Arial" w:eastAsia="Arial" w:hAnsi="Arial"/>
          <w:sz w:val="18"/>
          <w:szCs w:val="18"/>
          <w:color w:val="auto"/>
        </w:rPr>
        <w:t xml:space="preserve"> (1, 2, 3, 4, 5, 6A, 6B, 7F, 8, 9N, 9V, 10A, 11A, 12F, 14, 15B, 17F, 18C, 19A, 19F, 20, 22F, 23F and 33F), each of which is conjugated to eCRM to produce 24 monovalent conjugates. These conjugates are mixed into a final vaccine formulation and then adsorbed to alum.</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type w:val="continuous"/>
        </w:sectPr>
      </w:pPr>
    </w:p>
    <w:bookmarkStart w:id="18" w:name="page19"/>
    <w:bookmarkEnd w:id="18"/>
    <w:p>
      <w:pPr>
        <w:ind w:right="300" w:firstLine="1175"/>
        <w:spacing w:after="0" w:line="275" w:lineRule="auto"/>
        <w:rPr>
          <w:sz w:val="20"/>
          <w:szCs w:val="20"/>
          <w:color w:val="auto"/>
        </w:rPr>
      </w:pPr>
      <w:r>
        <w:rPr>
          <w:rFonts w:ascii="Arial" w:cs="Arial" w:eastAsia="Arial" w:hAnsi="Arial"/>
          <w:sz w:val="17"/>
          <w:szCs w:val="17"/>
          <w:color w:val="auto"/>
        </w:rPr>
        <w:t>As shown in Figure 10 below, there are critical differences between VAX-24 and other currently available PCVs relating to the protein carrier, particularly the use of site-specific conjugation and the milder reaction conditions. We achieve site-specific conjugation through the insertion of multiple nnAAs, which is not possible with the conventional chemistry used for making other PCVs. The click chemistry we use for site-specific conjugation may also minimize damage to the critical immunogenic epitopes on the protein carrier and the polysaccharides through milder and shorter reactions, while other PCVs use conventional chemistries that involve harsher and longer reaction conditions.</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Figure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168910</wp:posOffset>
            </wp:positionV>
            <wp:extent cx="5126355" cy="1920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2635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firstLine="1175"/>
        <w:spacing w:after="0" w:line="263" w:lineRule="auto"/>
        <w:rPr>
          <w:sz w:val="20"/>
          <w:szCs w:val="20"/>
          <w:color w:val="auto"/>
        </w:rPr>
      </w:pPr>
      <w:r>
        <w:rPr>
          <w:rFonts w:ascii="Arial" w:cs="Arial" w:eastAsia="Arial" w:hAnsi="Arial"/>
          <w:sz w:val="18"/>
          <w:szCs w:val="18"/>
          <w:color w:val="auto"/>
        </w:rPr>
        <w:t>Furthermore, VAX-24, as tested in preclinical studies, nearly doubles the serotype spectrum of coverage of Prevnar 13, yet contains a similar amount of protein carrier. We believe the resulting decreased carrier burden per conjugate of VAX-24 is critical for avoiding carrier suppression and producing broader-spectrum pneumococcal vaccines without sacrificing immunogenicity.</w:t>
      </w:r>
    </w:p>
    <w:p>
      <w:pPr>
        <w:spacing w:after="0" w:line="184" w:lineRule="exact"/>
        <w:rPr>
          <w:sz w:val="20"/>
          <w:szCs w:val="20"/>
          <w:color w:val="auto"/>
        </w:rPr>
      </w:pPr>
    </w:p>
    <w:p>
      <w:pPr>
        <w:ind w:right="100" w:firstLine="1175"/>
        <w:spacing w:after="0" w:line="272" w:lineRule="auto"/>
        <w:rPr>
          <w:sz w:val="20"/>
          <w:szCs w:val="20"/>
          <w:color w:val="auto"/>
        </w:rPr>
      </w:pPr>
      <w:r>
        <w:rPr>
          <w:rFonts w:ascii="Arial" w:cs="Arial" w:eastAsia="Arial" w:hAnsi="Arial"/>
          <w:sz w:val="17"/>
          <w:szCs w:val="17"/>
          <w:color w:val="auto"/>
        </w:rPr>
        <w:t>Where appropriate, we capitalize on the efficiencies of well-established clinical, manufacturing and regulatory precedents by leveraging conventional methods for the development of VAX-24. For example, our polysaccharide antigens are primarily made using conventional fermentation and purification techniques and activated through conventional methods. They are also labeled through conventional amination methods prior to being conjugated to eCRM. In addition, we use the same critical quality attribute assays for molecular weight and free polysaccharide that have served as the physicochemical measures of conjugates and also serve as predictors of their immunogenicity in vivo. We also use conventional IgG and OPA serological assays to gauge the immunogenicity of our conjugates, which have served as surrogate immunological endpoints in clinical studies that enabled the approval of Prevnar 13 and other conjugate vaccines.</w:t>
      </w:r>
    </w:p>
    <w:p>
      <w:pPr>
        <w:spacing w:after="0" w:line="177" w:lineRule="exact"/>
        <w:rPr>
          <w:sz w:val="20"/>
          <w:szCs w:val="20"/>
          <w:color w:val="auto"/>
        </w:rPr>
      </w:pPr>
    </w:p>
    <w:p>
      <w:pPr>
        <w:ind w:firstLine="1175"/>
        <w:spacing w:after="0" w:line="272" w:lineRule="auto"/>
        <w:rPr>
          <w:sz w:val="20"/>
          <w:szCs w:val="20"/>
          <w:color w:val="auto"/>
        </w:rPr>
      </w:pPr>
      <w:r>
        <w:rPr>
          <w:rFonts w:ascii="Arial" w:cs="Arial" w:eastAsia="Arial" w:hAnsi="Arial"/>
          <w:sz w:val="17"/>
          <w:szCs w:val="17"/>
          <w:color w:val="auto"/>
        </w:rPr>
        <w:t>We have also leveraged the same animal models that were utilized in the development of approved PCVs. In particular, our preclinical studies utilized a recognized rabbit model that Pfizer used in its development of Prevnar and Prevnar 13, and that GlaxoSmithKline used in its development of Synflorix. To date, the rabbit model has shown consistent immunological responsiveness across all strains for which we have tested our conjugates and has differentiated conjugated versus unconjugated polysaccharide responses (i.e., T-cell dependent versus T-cell independent responses). We believe the demonstration of conjugate-like immune responses in rabbits that resulted in killing of bacteria via opsonophagocytosis, or OPA, and induction of IgG antibody responses are key development milestones and are critical readouts for the development of PCVs. The rabbit model has also provided evidence regarding VAX-24’s potential to generate a booster response.</w:t>
      </w:r>
    </w:p>
    <w:p>
      <w:pPr>
        <w:spacing w:after="0" w:line="177" w:lineRule="exact"/>
        <w:rPr>
          <w:sz w:val="20"/>
          <w:szCs w:val="20"/>
          <w:color w:val="auto"/>
        </w:rPr>
      </w:pPr>
    </w:p>
    <w:p>
      <w:pPr>
        <w:ind w:right="80" w:firstLine="1175"/>
        <w:spacing w:after="0" w:line="259" w:lineRule="auto"/>
        <w:rPr>
          <w:sz w:val="20"/>
          <w:szCs w:val="20"/>
          <w:color w:val="auto"/>
        </w:rPr>
      </w:pPr>
      <w:r>
        <w:rPr>
          <w:rFonts w:ascii="Arial" w:cs="Arial" w:eastAsia="Arial" w:hAnsi="Arial"/>
          <w:sz w:val="18"/>
          <w:szCs w:val="18"/>
          <w:color w:val="auto"/>
        </w:rPr>
        <w:t>We expect to pursue a well-characterized clinical development path for VAX-24, consistent with other PCV developers. We anticipate that we will be able to conduct smaller and shorter clinical trials that target immune endpoints (e.g., OPA and IgG responses) previously recognized by regulatory authorities. Pfizer previously applied this approach to the development of Prevnar 13 and is currently implementing the same approach to development 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its 20-valent PCV vaccine candidate. Merck is also following this path for development of its 15-valent PCV vaccine candidate.</w:t>
      </w:r>
    </w:p>
    <w:p>
      <w:pPr>
        <w:spacing w:after="0" w:line="225" w:lineRule="exact"/>
        <w:rPr>
          <w:sz w:val="20"/>
          <w:szCs w:val="20"/>
          <w:color w:val="auto"/>
        </w:rPr>
      </w:pPr>
    </w:p>
    <w:p>
      <w:pPr>
        <w:ind w:firstLine="1175"/>
        <w:spacing w:after="0" w:line="259" w:lineRule="auto"/>
        <w:rPr>
          <w:sz w:val="20"/>
          <w:szCs w:val="20"/>
          <w:color w:val="auto"/>
        </w:rPr>
      </w:pPr>
      <w:r>
        <w:rPr>
          <w:rFonts w:ascii="Arial" w:cs="Arial" w:eastAsia="Arial" w:hAnsi="Arial"/>
          <w:sz w:val="18"/>
          <w:szCs w:val="18"/>
          <w:color w:val="auto"/>
        </w:rPr>
        <w:t>We conducted a pre-IND meeting with the FDA in December 2019 to obtain feedback on our VAX-24 chemistry, manufacturing and controls plan, or CMC plan, as well as our non-clinical and clinical design plans to support our IND application. We expect to submit an IND application to the FDA to evaluate VAX-24 between January and June 2022 and initiate our Phase 1/2 clinical proof-of-concept study in adults thereafter. We expect to announce topline data from this study between late 2022 and early 2023.</w:t>
      </w:r>
    </w:p>
    <w:p>
      <w:pPr>
        <w:spacing w:after="0" w:line="187"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Preclinical Data</w:t>
      </w:r>
    </w:p>
    <w:p>
      <w:pPr>
        <w:spacing w:after="0" w:line="225" w:lineRule="exact"/>
        <w:rPr>
          <w:sz w:val="20"/>
          <w:szCs w:val="20"/>
          <w:color w:val="auto"/>
        </w:rPr>
      </w:pPr>
    </w:p>
    <w:p>
      <w:pPr>
        <w:ind w:right="20" w:firstLine="1175"/>
        <w:spacing w:after="0" w:line="269" w:lineRule="auto"/>
        <w:rPr>
          <w:sz w:val="20"/>
          <w:szCs w:val="20"/>
          <w:color w:val="auto"/>
        </w:rPr>
      </w:pPr>
      <w:r>
        <w:rPr>
          <w:rFonts w:ascii="Arial" w:cs="Arial" w:eastAsia="Arial" w:hAnsi="Arial"/>
          <w:sz w:val="17"/>
          <w:szCs w:val="17"/>
          <w:color w:val="auto"/>
        </w:rPr>
        <w:t>As a prerequisite for regulatory approval, we believe that any investigational PCV will have to be compared to the current standard of care, which is currently Prevnar 13 in infants, and the combination of Prevnar 13 and Pneumovax 23 in adults. In the case of VAX-24, we believe a successful comparison would be based on demonstrating the clinical non-inferiority of the immune response to the thirteen common serotypes in Prevnar 13, and the incremental eleven common strains in Pneumovax 23. To obtain pre-clinical proof of concept on our way to the clinic, we assessed the comparative immune responses of VAX-24 using the same rabbit model utilized by other PCV developers. We dosed rabbits in our pre-clinical studies with 0.11µg, as measured by the amount of polysaccharide in each conjugate, for each of the 24 conjugates in VAX-24, as well as 0.11µg for the thirteen conjugates in Prevnar 13 (except serotype 6B at 0.22µg) and compared both PCVs immunogenically to each other and to Pneumovax 23, where each of the 23 polysaccharides were dosed at 1.1µg. The doses are representative of body weight differences in humans versus rabbits and roughly correspond to the dose differential between PCVs and polysaccharide-only vaccines. In humans, Prevnar 13 is dosed at 2.2µg per conjugate (except serotype 6B at 4.4µg) or approximately one-tenth the dose of Pneumovax, where each polysaccharide is dosed at 25µg. The species of rabbits used were approximately five percent of the average weight of humans in North America, thus 0.11µg approximates to the 2.2µg dose for PCVs and the 1.1µg dose approximates to the 25µg dose for Pneumovax 23.</w:t>
      </w:r>
    </w:p>
    <w:p>
      <w:pPr>
        <w:spacing w:after="0" w:line="179" w:lineRule="exact"/>
        <w:rPr>
          <w:sz w:val="20"/>
          <w:szCs w:val="20"/>
          <w:color w:val="auto"/>
        </w:rPr>
      </w:pPr>
    </w:p>
    <w:p>
      <w:pPr>
        <w:ind w:right="20" w:firstLine="1175"/>
        <w:spacing w:after="0" w:line="291" w:lineRule="auto"/>
        <w:rPr>
          <w:sz w:val="20"/>
          <w:szCs w:val="20"/>
          <w:color w:val="auto"/>
        </w:rPr>
      </w:pPr>
      <w:r>
        <w:rPr>
          <w:rFonts w:ascii="Arial" w:cs="Arial" w:eastAsia="Arial" w:hAnsi="Arial"/>
          <w:sz w:val="16"/>
          <w:szCs w:val="16"/>
          <w:color w:val="auto"/>
        </w:rPr>
        <w:t>We have completed multiple pre-clinical proof-of-concept studies of VAX-24 compared to Prevnar 13 and Pneumovax 23 in rabbits. The endpoints of the studies were to measure, on a serotype-specific basis, IgG antibody responses, the surrogate endpoint for pediatrics, and OPA responses, the surrogate endpoint for adults. Initial proof of concept was obtained with research-grade raw materials and conjugates made at Vaxcyte prior to initiating technology transfer to Lonza and production scale-up. In mid-2019, conjugates were made at Vaxcyte at small-scale using optimized processes and procedures using Lonza-produced raw materials, including our proprietary eCRM carrier and all 24 polysaccharides that had already been tech transferred and scaled up. All 24 of the conjugates in VAX-24 met the critical quality attributes and the combination vaccine was administered in the rabbit model per Figures 11, 12, and 13. The chart in Figure 12 reflects the strains covered by each of VAX-24, Prevnar 13 and Pneumovax 23 in these experiments.</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Figure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168910</wp:posOffset>
            </wp:positionV>
            <wp:extent cx="5349240" cy="1705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0" w:name="page21"/>
    <w:bookmarkEnd w:id="20"/>
    <w:p>
      <w:pPr>
        <w:ind w:right="460" w:firstLine="1175"/>
        <w:spacing w:after="0" w:line="277" w:lineRule="auto"/>
        <w:rPr>
          <w:sz w:val="20"/>
          <w:szCs w:val="20"/>
          <w:color w:val="auto"/>
        </w:rPr>
      </w:pPr>
      <w:r>
        <w:rPr>
          <w:rFonts w:ascii="Arial" w:cs="Arial" w:eastAsia="Arial" w:hAnsi="Arial"/>
          <w:sz w:val="18"/>
          <w:szCs w:val="18"/>
          <w:color w:val="auto"/>
        </w:rPr>
        <w:t>As reflected in Figure 12 below, VAX-24 showed superior OPA responses at 1/10th the dose of Pneumovax 23 and comparable OPA responses to an equivalent dose of Prevnar 13 on a serotype-by-serotype basis:</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Figure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168910</wp:posOffset>
            </wp:positionV>
            <wp:extent cx="5349240" cy="2331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+/-95% confidence interval</w:t>
      </w:r>
    </w:p>
    <w:p>
      <w:pPr>
        <w:spacing w:after="0" w:line="225" w:lineRule="exact"/>
        <w:rPr>
          <w:sz w:val="20"/>
          <w:szCs w:val="20"/>
          <w:color w:val="auto"/>
        </w:rPr>
      </w:pPr>
    </w:p>
    <w:p>
      <w:pPr>
        <w:ind w:right="420" w:firstLine="1175"/>
        <w:spacing w:after="0" w:line="277" w:lineRule="auto"/>
        <w:rPr>
          <w:sz w:val="20"/>
          <w:szCs w:val="20"/>
          <w:color w:val="auto"/>
        </w:rPr>
      </w:pPr>
      <w:r>
        <w:rPr>
          <w:rFonts w:ascii="Arial" w:cs="Arial" w:eastAsia="Arial" w:hAnsi="Arial"/>
          <w:sz w:val="18"/>
          <w:szCs w:val="18"/>
          <w:color w:val="auto"/>
        </w:rPr>
        <w:t>Similarly, as reflected in Figure 13 below, VAX-24 showed superior IgG antibody responses at 1/10th the dose of Pneumovax 23 and comparable IgG responses to an equivalent dose of Prevnar 13 on a serotype-by-serotype basis:</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Figure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168910</wp:posOffset>
            </wp:positionV>
            <wp:extent cx="5349240" cy="2322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+/-95% confidence interval</w:t>
      </w:r>
    </w:p>
    <w:p>
      <w:pPr>
        <w:spacing w:after="0" w:line="225" w:lineRule="exact"/>
        <w:rPr>
          <w:sz w:val="20"/>
          <w:szCs w:val="20"/>
          <w:color w:val="auto"/>
        </w:rPr>
      </w:pPr>
    </w:p>
    <w:p>
      <w:pPr>
        <w:ind w:firstLine="1175"/>
        <w:spacing w:after="0" w:line="279" w:lineRule="auto"/>
        <w:rPr>
          <w:sz w:val="20"/>
          <w:szCs w:val="20"/>
          <w:color w:val="auto"/>
        </w:rPr>
      </w:pPr>
      <w:r>
        <w:rPr>
          <w:rFonts w:ascii="Arial" w:cs="Arial" w:eastAsia="Arial" w:hAnsi="Arial"/>
          <w:sz w:val="17"/>
          <w:szCs w:val="17"/>
          <w:color w:val="auto"/>
        </w:rPr>
        <w:t>A critical milestone in product development is the scale-up of manufacturing to provide sufficient material for clinical evaluation and potential commercial launch. After having completed the technology transfer of the optimized processes and procedures for the production of each of the 24 conjugates in VAX-24, the conjugates were produced at Lonza at an over fifteen-fold scale increase to the prior scale at Vaxcyte. Each of the conjugates in VAX-24 made at Lonza met the critical quality attributes and the combination vaccine was administered in the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rabbit model. The chart in Figure 14 reflects the strains covered by each of VAX-24 and Prevnar 13 in this experiment.</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Figure 14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168910</wp:posOffset>
            </wp:positionV>
            <wp:extent cx="5349240" cy="12598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firstLine="1175"/>
        <w:spacing w:after="0" w:line="263" w:lineRule="auto"/>
        <w:rPr>
          <w:sz w:val="20"/>
          <w:szCs w:val="20"/>
          <w:color w:val="auto"/>
        </w:rPr>
      </w:pPr>
      <w:r>
        <w:rPr>
          <w:rFonts w:ascii="Arial" w:cs="Arial" w:eastAsia="Arial" w:hAnsi="Arial"/>
          <w:sz w:val="18"/>
          <w:szCs w:val="18"/>
          <w:color w:val="auto"/>
        </w:rPr>
        <w:t>The data shown below in Figure 15 confirms that the eCRM and polysaccharide raw materials and the conjugation processes for each of the conjugates in VAX-24 all were transferred to and scaled at Lonza, and the immunogenicity remained comparable to Prevnar 13 and was consistent with prior lots of VAX-24.</w:t>
      </w:r>
    </w:p>
    <w:p>
      <w:pPr>
        <w:spacing w:after="0" w:line="184"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Figure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168910</wp:posOffset>
            </wp:positionV>
            <wp:extent cx="5349240" cy="3334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+/-95% confidence interval</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VAX-24 Clinical Development Plan</w:t>
      </w:r>
    </w:p>
    <w:p>
      <w:pPr>
        <w:spacing w:after="0" w:line="225" w:lineRule="exact"/>
        <w:rPr>
          <w:sz w:val="20"/>
          <w:szCs w:val="20"/>
          <w:color w:val="auto"/>
        </w:rPr>
      </w:pPr>
    </w:p>
    <w:p>
      <w:pPr>
        <w:jc w:val="both"/>
        <w:ind w:firstLine="1175"/>
        <w:spacing w:after="0" w:line="311" w:lineRule="auto"/>
        <w:rPr>
          <w:sz w:val="20"/>
          <w:szCs w:val="20"/>
          <w:color w:val="auto"/>
        </w:rPr>
      </w:pPr>
      <w:r>
        <w:rPr>
          <w:rFonts w:ascii="Arial" w:cs="Arial" w:eastAsia="Arial" w:hAnsi="Arial"/>
          <w:sz w:val="16"/>
          <w:szCs w:val="16"/>
          <w:color w:val="auto"/>
        </w:rPr>
        <w:t>To accelerate our time to market, we intend to first pursue clinical proof of concept in the United States for adults and then pursue clinical development in the pediatric population. We believe the most expedient path to clinical proof of concept will be in the adult population where the standard of care involves the administration of a single dose and where an initial clinical trial could begin in the target population. We expect to initiate our pediatric</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2" w:name="page23"/>
    <w:bookmarkEnd w:id="22"/>
    <w:p>
      <w:pPr>
        <w:ind w:right="240"/>
        <w:spacing w:after="0" w:line="277" w:lineRule="auto"/>
        <w:rPr>
          <w:sz w:val="20"/>
          <w:szCs w:val="20"/>
          <w:color w:val="auto"/>
        </w:rPr>
      </w:pPr>
      <w:r>
        <w:rPr>
          <w:rFonts w:ascii="Arial" w:cs="Arial" w:eastAsia="Arial" w:hAnsi="Arial"/>
          <w:sz w:val="18"/>
          <w:szCs w:val="18"/>
          <w:color w:val="auto"/>
        </w:rPr>
        <w:t>development program in toddlers upon receipt of the Phase 1 safety data in adults. After completing such a toddler study, we would expect to commence clinical development in the infant population.</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Adult Indication</w:t>
      </w:r>
    </w:p>
    <w:p>
      <w:pPr>
        <w:spacing w:after="0" w:line="225" w:lineRule="exact"/>
        <w:rPr>
          <w:sz w:val="20"/>
          <w:szCs w:val="20"/>
          <w:color w:val="auto"/>
        </w:rPr>
      </w:pPr>
    </w:p>
    <w:p>
      <w:pPr>
        <w:ind w:right="120" w:firstLine="1175"/>
        <w:spacing w:after="0" w:line="289" w:lineRule="auto"/>
        <w:rPr>
          <w:sz w:val="20"/>
          <w:szCs w:val="20"/>
          <w:color w:val="auto"/>
        </w:rPr>
      </w:pPr>
      <w:r>
        <w:rPr>
          <w:rFonts w:ascii="Arial" w:cs="Arial" w:eastAsia="Arial" w:hAnsi="Arial"/>
          <w:sz w:val="16"/>
          <w:szCs w:val="16"/>
          <w:color w:val="auto"/>
        </w:rPr>
        <w:t>We expect our first-in-human trial to be a randomized, double-blind, controlled Phase 1/2 trial designed to evaluate the safety, tolerability and immunogenicity of VAX-24 in healthy adults over the age of 50. After the completion of a standard, single-injection safety cohort in normal healthy adults aged 18 to 49 years, we intend to compare a single injection of VAX-24 at three different dose levels to the control regimen of Prevnar 13, followed by Pneumovax 23, administered four weeks apart. The trial is expected to be conducted in healthy adults over the age of 50 and is designed to evaluate VAX-24 dose levels for safety as well as for an immunogenicity comparison to each of the pneumococcal serotypes contained in Prevnar 13 and the 11 additional serotypes included in Pneumovax 23. To date, our preclinical immunogenicity data suggest that VAX-24 will contain a lower overall polysaccharide to protein ratio of conjugated drug substance as compared to Prevnar 13 and depending on the dose-ranging study, the dose may contain lower cumulative protein as well. We intend to initiate the Phase 1/2 study after we submit an IND application to the FDA, which we anticipate between January and June 2022, and expect to present topline safety and immunogenicity data between late 2022 and early 2023.</w:t>
      </w:r>
    </w:p>
    <w:p>
      <w:pPr>
        <w:spacing w:after="0" w:line="166" w:lineRule="exact"/>
        <w:rPr>
          <w:sz w:val="20"/>
          <w:szCs w:val="20"/>
          <w:color w:val="auto"/>
        </w:rPr>
      </w:pPr>
    </w:p>
    <w:p>
      <w:pPr>
        <w:ind w:right="20" w:firstLine="1175"/>
        <w:spacing w:after="0" w:line="255" w:lineRule="auto"/>
        <w:rPr>
          <w:sz w:val="20"/>
          <w:szCs w:val="20"/>
          <w:color w:val="auto"/>
        </w:rPr>
      </w:pPr>
      <w:r>
        <w:rPr>
          <w:rFonts w:ascii="Arial" w:cs="Arial" w:eastAsia="Arial" w:hAnsi="Arial"/>
          <w:sz w:val="18"/>
          <w:szCs w:val="18"/>
          <w:color w:val="auto"/>
        </w:rPr>
        <w:t>We expect to use OPA titers as the primary immunogenicity endpoint for the VAX-24 program in adults. OPA is believed to be the primary protective mechanism against pneumococcal disease. In addition, we expect to measure IgG responses as a secondary endpoint, as such responses may serve as supportive evidence of immunogenicity for comparison. We also expect to use OPA titers and IgG concentrations as endpoints in our other planned adult studies of VAX-24. We currently believe that these endpoints, if met, will be sufficient to obtain regulatory approval of VAX-24 and do not anticipate the need for a clinical efficacy trial. However, we have not yet obtained feedback from the FDA regarding our pivotal Phase 3 clinical development plans or the acceptability of our approach.</w:t>
      </w:r>
    </w:p>
    <w:p>
      <w:pPr>
        <w:spacing w:after="0" w:line="192" w:lineRule="exact"/>
        <w:rPr>
          <w:sz w:val="20"/>
          <w:szCs w:val="20"/>
          <w:color w:val="auto"/>
        </w:rPr>
      </w:pPr>
    </w:p>
    <w:p>
      <w:pPr>
        <w:ind w:firstLine="1175"/>
        <w:spacing w:after="0" w:line="296" w:lineRule="auto"/>
        <w:rPr>
          <w:sz w:val="20"/>
          <w:szCs w:val="20"/>
          <w:color w:val="auto"/>
        </w:rPr>
      </w:pPr>
      <w:r>
        <w:rPr>
          <w:rFonts w:ascii="Arial" w:cs="Arial" w:eastAsia="Arial" w:hAnsi="Arial"/>
          <w:sz w:val="16"/>
          <w:szCs w:val="16"/>
          <w:color w:val="auto"/>
        </w:rPr>
        <w:t>The FDA has previously approved pneumococcal vaccines upon the establishment of non-inferiority based on a head-to-head comparison using established surrogate immune endpoints in the target population. For adults, Prevnar 13 was approved based on the establishment of non-inferiority of OPA responses relative to Pneumovax 23, on a strain-by-strain basis, where non-inferiority was defined as greater than or equal to 0.50 of the lower limit of the two-sided 95% confidence interval of the OPA geometric mean titer ratio. We have designed our Phase 1/2 study to have greater than or equal to 80% power based on the strain with the highest variability in order to show a two-fold difference between treatment groups.</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Figure 16 is a schematic of the overall study design of our planned Phase 1/2 study:</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Figure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168910</wp:posOffset>
            </wp:positionV>
            <wp:extent cx="5349240" cy="1320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00" w:firstLine="1175"/>
        <w:spacing w:after="0" w:line="277" w:lineRule="auto"/>
        <w:rPr>
          <w:sz w:val="20"/>
          <w:szCs w:val="20"/>
          <w:color w:val="auto"/>
        </w:rPr>
      </w:pPr>
      <w:r>
        <w:rPr>
          <w:rFonts w:ascii="Arial" w:cs="Arial" w:eastAsia="Arial" w:hAnsi="Arial"/>
          <w:sz w:val="18"/>
          <w:szCs w:val="18"/>
          <w:color w:val="auto"/>
        </w:rPr>
        <w:t>PCVs, as well as all other polysaccharide-conjugate vaccines, have historically had an excellent safety profile, especially in comparison to other vaccines such as rotavirus and diphtheria-tetanus-pertussis or DTP.</w:t>
      </w:r>
    </w:p>
    <w:p>
      <w:pPr>
        <w:spacing w:after="0" w:line="170" w:lineRule="exact"/>
        <w:rPr>
          <w:sz w:val="20"/>
          <w:szCs w:val="20"/>
          <w:color w:val="auto"/>
        </w:rPr>
      </w:pPr>
    </w:p>
    <w:p>
      <w:pPr>
        <w:ind w:right="300" w:firstLine="1175"/>
        <w:spacing w:after="0" w:line="277" w:lineRule="auto"/>
        <w:rPr>
          <w:sz w:val="20"/>
          <w:szCs w:val="20"/>
          <w:color w:val="auto"/>
        </w:rPr>
      </w:pPr>
      <w:r>
        <w:rPr>
          <w:rFonts w:ascii="Arial" w:cs="Arial" w:eastAsia="Arial" w:hAnsi="Arial"/>
          <w:sz w:val="18"/>
          <w:szCs w:val="18"/>
          <w:color w:val="auto"/>
        </w:rPr>
        <w:t>If our Phase 2 trial is completed successfully, we expect to conduct an End-of-Phase 2 meeting with the FDA and subsequently conduct pivotal Phase 3 trials in the adult population for the purposes of evaluating non-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right="200"/>
        <w:spacing w:after="0" w:line="279" w:lineRule="auto"/>
        <w:rPr>
          <w:sz w:val="20"/>
          <w:szCs w:val="20"/>
          <w:color w:val="auto"/>
        </w:rPr>
      </w:pPr>
      <w:r>
        <w:rPr>
          <w:rFonts w:ascii="Arial" w:cs="Arial" w:eastAsia="Arial" w:hAnsi="Arial"/>
          <w:sz w:val="17"/>
          <w:szCs w:val="17"/>
          <w:color w:val="auto"/>
        </w:rPr>
        <w:t>inferiority to Prevnar 13 and Pneumovax 23 for immunogenicity, generating a sufficient safety database in adults and establishing consistency of manufacturing through a lot-to-lot consistency study. The Phase 3 non-inferiority results would then be used to seek approval of VAX-24 in the adult population. This approach is similar to the approach utilized by Merck to develop V114 and Pfizer to develop 20vPnC, where the immunogenicity of the investigational PCVs was compared to the 13-valent Prevnar product (current standard of care).</w:t>
      </w:r>
    </w:p>
    <w:p>
      <w:pPr>
        <w:spacing w:after="0" w:line="171" w:lineRule="exact"/>
        <w:rPr>
          <w:sz w:val="20"/>
          <w:szCs w:val="20"/>
          <w:color w:val="auto"/>
        </w:rPr>
      </w:pPr>
    </w:p>
    <w:p>
      <w:pPr>
        <w:ind w:right="180" w:firstLine="1175"/>
        <w:spacing w:after="0" w:line="259" w:lineRule="auto"/>
        <w:rPr>
          <w:sz w:val="20"/>
          <w:szCs w:val="20"/>
          <w:color w:val="auto"/>
        </w:rPr>
      </w:pPr>
      <w:r>
        <w:rPr>
          <w:rFonts w:ascii="Arial" w:cs="Arial" w:eastAsia="Arial" w:hAnsi="Arial"/>
          <w:sz w:val="18"/>
          <w:szCs w:val="18"/>
          <w:color w:val="auto"/>
        </w:rPr>
        <w:t>Based on Pfizer’s experience with Prevnar 13, we believe that VAX-24, if approved, would have the potential to serve as a “catch-up” or booster for those who have previously received Pneumovax 23 or a lower-valent PCV. We believe a study exploring serial vaccination with Prevnar 13 and/or Pneumovax 23 followed by VAX-24 at different intervals could generate valuable data supporting a recommendation for VAX-24 vaccination in previously vaccinated adults.</w:t>
      </w:r>
    </w:p>
    <w:p>
      <w:pPr>
        <w:spacing w:after="0" w:line="187"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Pediatric Indication</w:t>
      </w:r>
    </w:p>
    <w:p>
      <w:pPr>
        <w:spacing w:after="0" w:line="225" w:lineRule="exact"/>
        <w:rPr>
          <w:sz w:val="20"/>
          <w:szCs w:val="20"/>
          <w:color w:val="auto"/>
        </w:rPr>
      </w:pPr>
    </w:p>
    <w:p>
      <w:pPr>
        <w:ind w:firstLine="1175"/>
        <w:spacing w:after="0" w:line="291" w:lineRule="auto"/>
        <w:rPr>
          <w:sz w:val="20"/>
          <w:szCs w:val="20"/>
          <w:color w:val="auto"/>
        </w:rPr>
      </w:pPr>
      <w:r>
        <w:rPr>
          <w:rFonts w:ascii="Arial" w:cs="Arial" w:eastAsia="Arial" w:hAnsi="Arial"/>
          <w:sz w:val="16"/>
          <w:szCs w:val="16"/>
          <w:color w:val="auto"/>
        </w:rPr>
        <w:t>We are also developing VAX-24 as a pediatric vaccine. If successful, we expect the data from the adult Phase 1 trial will inform the VAX-24 dose(s) to be evaluated in pediatric populations. We plan to initially evaluate VAX-24 in an age de-escalation study. The adult Phase 1 trial will provide the safety data required to initiate a Phase 1 clinical study in toddlers which will examine the safety, tolerability and immunogenicity of VAX-24 in one age group of healthy children, those aged 12 to 15 months. A single dose, at the highest dose level planned for infants, would be administered to the 12 to 15-month age group as a replacement for the Prevnar 13 booster. For trials in the United States, toddlers would be expected to have been primed with a 3-dose primary infant series of Prevnar 13. Immune response data would reveal whether the boost achieved with VAX-24 is comparable to Prevnar 13 for the common serotypes, with the remaining 11 serotypes to be assessed for a single-dose primary immune response in the toddler age group.</w:t>
      </w:r>
    </w:p>
    <w:p>
      <w:pPr>
        <w:spacing w:after="0" w:line="166" w:lineRule="exact"/>
        <w:rPr>
          <w:sz w:val="20"/>
          <w:szCs w:val="20"/>
          <w:color w:val="auto"/>
        </w:rPr>
      </w:pPr>
    </w:p>
    <w:p>
      <w:pPr>
        <w:ind w:right="20" w:firstLine="1175"/>
        <w:spacing w:after="0" w:line="259" w:lineRule="auto"/>
        <w:rPr>
          <w:sz w:val="20"/>
          <w:szCs w:val="20"/>
          <w:color w:val="auto"/>
        </w:rPr>
      </w:pPr>
      <w:r>
        <w:rPr>
          <w:rFonts w:ascii="Arial" w:cs="Arial" w:eastAsia="Arial" w:hAnsi="Arial"/>
          <w:sz w:val="18"/>
          <w:szCs w:val="18"/>
          <w:color w:val="auto"/>
        </w:rPr>
        <w:t>If our Phase 1 trial in toddlers is completed successfully, we would expect to initiate a Phase 2 study to evaluate the safety and immunogenicity of VAX-24 administered as a three-dose primary series to infants at 2, 4 and 6 months of age. We would also expect to give these infants a booster dose at 12 to 15 months for a complete four-dose series. The decision to incorporate dose-finding as part of this trial would be made based on data from ongoing or completed adult trials and the preliminary immunogenicity data generated in children.</w:t>
      </w:r>
    </w:p>
    <w:p>
      <w:pPr>
        <w:spacing w:after="0" w:line="187" w:lineRule="exact"/>
        <w:rPr>
          <w:sz w:val="20"/>
          <w:szCs w:val="20"/>
          <w:color w:val="auto"/>
        </w:rPr>
      </w:pPr>
    </w:p>
    <w:p>
      <w:pPr>
        <w:ind w:right="20" w:firstLine="1175"/>
        <w:spacing w:after="0" w:line="272" w:lineRule="auto"/>
        <w:rPr>
          <w:sz w:val="20"/>
          <w:szCs w:val="20"/>
          <w:color w:val="auto"/>
        </w:rPr>
      </w:pPr>
      <w:r>
        <w:rPr>
          <w:rFonts w:ascii="Arial" w:cs="Arial" w:eastAsia="Arial" w:hAnsi="Arial"/>
          <w:sz w:val="17"/>
          <w:szCs w:val="17"/>
          <w:color w:val="auto"/>
        </w:rPr>
        <w:t>We plan to collect both IgG and OPA data to evaluate whether the immune responses observed in infants following vaccination with VAX-24 are similar to those seen with other PCVs. If dose-finding is performed in infants, the data would inform on the dose levels for each of the conjugates in the final VAX-24 infant formulation. Consistent with the approval process for Prevnar 13 in infants, we do not anticipate that a clinical field efficacy trial will be required for VAX-24 in the pediatric population. We expect the clinical development of VAX-24 to follow the same approach utilized for Prevnar 13, where vaccine effectiveness against IPD was inferred from immunologic correlates. In contrast to the adult population, VAX-24 approval in the pediatric population is expected to be based on a non-inferiority comparison of IgG responses to Prevnar 13. However, we have not yet obtained feedback from the FDA regarding our clinical development plans or the acceptability of our approach.</w:t>
      </w:r>
    </w:p>
    <w:p>
      <w:pPr>
        <w:spacing w:after="0" w:line="177" w:lineRule="exact"/>
        <w:rPr>
          <w:sz w:val="20"/>
          <w:szCs w:val="20"/>
          <w:color w:val="auto"/>
        </w:rPr>
      </w:pPr>
    </w:p>
    <w:p>
      <w:pPr>
        <w:ind w:right="60" w:firstLine="1175"/>
        <w:spacing w:after="0" w:line="275" w:lineRule="auto"/>
        <w:rPr>
          <w:sz w:val="20"/>
          <w:szCs w:val="20"/>
          <w:color w:val="auto"/>
        </w:rPr>
      </w:pPr>
      <w:r>
        <w:rPr>
          <w:rFonts w:ascii="Arial" w:cs="Arial" w:eastAsia="Arial" w:hAnsi="Arial"/>
          <w:sz w:val="17"/>
          <w:szCs w:val="17"/>
          <w:color w:val="auto"/>
        </w:rPr>
        <w:t>If our Phase 2 trials are completed successfully, we expect to conduct pivotal Phase 3 trials in the pediatric population that focus on evaluating non-inferiority to Prevnar 13 for immunogenicity and seroconversion or antibody concentration threshold; assessing U.S. routine vaccination responses following concomitant administration with VAX-24; and generating a sufficient safety database in infants. The Phase 3 non-inferiority results would then be used to seek approval of VAX-24 in the pediatric population. This approach is similar to the approach utilized to develop Prevnar 13, where the immunogenicity of Prevnar 13 was compared to the original 7-valent Prevnar product (standard of care at the time).</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VAX-XP</w:t>
      </w:r>
    </w:p>
    <w:p>
      <w:pPr>
        <w:spacing w:after="0" w:line="225" w:lineRule="exact"/>
        <w:rPr>
          <w:sz w:val="20"/>
          <w:szCs w:val="20"/>
          <w:color w:val="auto"/>
        </w:rPr>
      </w:pPr>
    </w:p>
    <w:p>
      <w:pPr>
        <w:ind w:right="160" w:firstLine="1175"/>
        <w:spacing w:after="0" w:line="279" w:lineRule="auto"/>
        <w:rPr>
          <w:sz w:val="20"/>
          <w:szCs w:val="20"/>
          <w:color w:val="auto"/>
        </w:rPr>
      </w:pPr>
      <w:r>
        <w:rPr>
          <w:rFonts w:ascii="Arial" w:cs="Arial" w:eastAsia="Arial" w:hAnsi="Arial"/>
          <w:sz w:val="17"/>
          <w:szCs w:val="17"/>
          <w:color w:val="auto"/>
        </w:rPr>
        <w:t>VAX-XP is a franchise extension of VAX-24 that, if approved, would expand strain coverage to at least 30 strains and demonstrate the scalable and modular nature of conjugate vaccines we can develop. VAX-XP includes all of the strains contained in VAX-24 plus incremental strains that were selected based on the epidemiological evidence demonstrating their role in circulating IPD and is designed to protect against these emerging strains and to help address antibiotic resistance. The serotypes in VAX-XP cover over 90% of the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circulating pneumococcal disease in the United States, although we are not disclosing the specific incremental strains at this time.</w:t>
      </w:r>
    </w:p>
    <w:p>
      <w:pPr>
        <w:spacing w:after="0" w:line="225" w:lineRule="exact"/>
        <w:rPr>
          <w:sz w:val="20"/>
          <w:szCs w:val="20"/>
          <w:color w:val="auto"/>
        </w:rPr>
      </w:pPr>
    </w:p>
    <w:p>
      <w:pPr>
        <w:ind w:right="80" w:firstLine="1175"/>
        <w:spacing w:after="0" w:line="293" w:lineRule="auto"/>
        <w:rPr>
          <w:sz w:val="20"/>
          <w:szCs w:val="20"/>
          <w:color w:val="auto"/>
        </w:rPr>
      </w:pPr>
      <w:r>
        <w:rPr>
          <w:rFonts w:ascii="Arial" w:cs="Arial" w:eastAsia="Arial" w:hAnsi="Arial"/>
          <w:sz w:val="16"/>
          <w:szCs w:val="16"/>
          <w:color w:val="auto"/>
        </w:rPr>
        <w:t>We have completed multiple preclinical proof-of-concept studies for VAX-XP in rabbit models compared to Prevnar 13, as well as more than 30 polysaccharides adsorbed onto alum. IgG responses in rabbits were superior to polysaccharide alone plus alum and comparable with Prevnar 13 in the common 13 strains. We recently completed the process of transferring and scaling the conjugation processes at Lonza for each of the incremental conjugates contained in VAX-XP over and above those contained in VAX-24. The data shown below in Figure 17 was generated using those conjugates produced at larger scale at Lonza and confirm that the eCRM and polysaccharide raw materials and the conjugation processes for each of the conjugates in VAX-XP demonstrate immunogenicity comparable to Prevnar 13 and superior to polysaccharide alone, consistent with prior lots of VAX-XP.</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Figure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151765</wp:posOffset>
            </wp:positionV>
            <wp:extent cx="5117465" cy="2297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1746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+/-95% confidence interval</w:t>
      </w:r>
    </w:p>
    <w:p>
      <w:pPr>
        <w:spacing w:after="0" w:line="252" w:lineRule="exact"/>
        <w:rPr>
          <w:sz w:val="20"/>
          <w:szCs w:val="20"/>
          <w:color w:val="auto"/>
        </w:rPr>
      </w:pPr>
    </w:p>
    <w:p>
      <w:pPr>
        <w:ind w:right="500" w:firstLine="1188"/>
        <w:spacing w:after="0" w:line="277" w:lineRule="auto"/>
        <w:rPr>
          <w:sz w:val="20"/>
          <w:szCs w:val="20"/>
          <w:color w:val="auto"/>
        </w:rPr>
      </w:pPr>
      <w:r>
        <w:rPr>
          <w:rFonts w:ascii="Arial" w:cs="Arial" w:eastAsia="Arial" w:hAnsi="Arial"/>
          <w:sz w:val="18"/>
          <w:szCs w:val="18"/>
          <w:color w:val="auto"/>
        </w:rPr>
        <w:t>Note: Serotypes A-G potential additional serotypes to be targeted by Vaxcyte under the VAX-XP program. We are not disclosing the identity of the specific incremental pneumococcal serotypes at this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Application Two: Novel Conjugate Vaccine Opportunities</w:t>
      </w:r>
    </w:p>
    <w:p>
      <w:pPr>
        <w:spacing w:after="0" w:line="225" w:lineRule="exact"/>
        <w:rPr>
          <w:sz w:val="20"/>
          <w:szCs w:val="20"/>
          <w:color w:val="auto"/>
        </w:rPr>
      </w:pPr>
    </w:p>
    <w:p>
      <w:pPr>
        <w:ind w:firstLine="1175"/>
        <w:spacing w:after="0" w:line="257" w:lineRule="auto"/>
        <w:rPr>
          <w:sz w:val="20"/>
          <w:szCs w:val="20"/>
          <w:color w:val="auto"/>
        </w:rPr>
      </w:pPr>
      <w:r>
        <w:rPr>
          <w:rFonts w:ascii="Arial" w:cs="Arial" w:eastAsia="Arial" w:hAnsi="Arial"/>
          <w:sz w:val="18"/>
          <w:szCs w:val="18"/>
          <w:color w:val="auto"/>
        </w:rPr>
        <w:t>We are also developing novel conjugate vaccine candidates for other diseases for which there are no existing vaccines. By leveraging our platform, we have been able to generate novel protein carriers with site-specific incorporation of nnAAs designed to provide optimal exposure of both B-cell and T-cell epitopes on the carrier. Using these novel protein carriers, we can produce highly stable conjugate vaccine candidates through site-specific conjugation of antigens, including polysaccharides. Functionally, one significant advantage of using carriers may be the additional protective immunity that the protein itself can provide beyond the conjugated antigen itself.</w:t>
      </w:r>
    </w:p>
    <w:p>
      <w:pPr>
        <w:spacing w:after="0" w:line="188"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Group A Strep Disease Background and Market Opportunity</w:t>
      </w:r>
    </w:p>
    <w:p>
      <w:pPr>
        <w:spacing w:after="0" w:line="225" w:lineRule="exact"/>
        <w:rPr>
          <w:sz w:val="20"/>
          <w:szCs w:val="20"/>
          <w:color w:val="auto"/>
        </w:rPr>
      </w:pPr>
    </w:p>
    <w:p>
      <w:pPr>
        <w:ind w:right="180" w:firstLine="1175"/>
        <w:spacing w:after="0" w:line="273" w:lineRule="auto"/>
        <w:rPr>
          <w:sz w:val="20"/>
          <w:szCs w:val="20"/>
          <w:color w:val="auto"/>
        </w:rPr>
      </w:pPr>
      <w:r>
        <w:rPr>
          <w:rFonts w:ascii="Arial" w:cs="Arial" w:eastAsia="Arial" w:hAnsi="Arial"/>
          <w:sz w:val="17"/>
          <w:szCs w:val="17"/>
          <w:i w:val="1"/>
          <w:iCs w:val="1"/>
          <w:color w:val="auto"/>
        </w:rPr>
        <w:t xml:space="preserve">Streptococcus pyogenes </w:t>
      </w:r>
      <w:r>
        <w:rPr>
          <w:rFonts w:ascii="Arial" w:cs="Arial" w:eastAsia="Arial" w:hAnsi="Arial"/>
          <w:sz w:val="17"/>
          <w:szCs w:val="17"/>
          <w:color w:val="auto"/>
        </w:rPr>
        <w:t>(</w:t>
      </w:r>
      <w:r>
        <w:rPr>
          <w:rFonts w:ascii="Arial" w:cs="Arial" w:eastAsia="Arial" w:hAnsi="Arial"/>
          <w:sz w:val="17"/>
          <w:szCs w:val="17"/>
          <w:i w:val="1"/>
          <w:iCs w:val="1"/>
          <w:color w:val="auto"/>
        </w:rPr>
        <w:t xml:space="preserve">S. pyogenes </w:t>
      </w:r>
      <w:r>
        <w:rPr>
          <w:rFonts w:ascii="Arial" w:cs="Arial" w:eastAsia="Arial" w:hAnsi="Arial"/>
          <w:sz w:val="17"/>
          <w:szCs w:val="17"/>
          <w:color w:val="auto"/>
        </w:rPr>
        <w:t>or Group A Strep), is a well-known pathogen causing 700 million cases worldwide each year, the</w:t>
      </w:r>
      <w:r>
        <w:rPr>
          <w:rFonts w:ascii="Arial" w:cs="Arial" w:eastAsia="Arial" w:hAnsi="Arial"/>
          <w:sz w:val="17"/>
          <w:szCs w:val="17"/>
          <w:i w:val="1"/>
          <w:iCs w:val="1"/>
          <w:color w:val="auto"/>
        </w:rPr>
        <w:t xml:space="preserve"> </w:t>
      </w:r>
      <w:r>
        <w:rPr>
          <w:rFonts w:ascii="Arial" w:cs="Arial" w:eastAsia="Arial" w:hAnsi="Arial"/>
          <w:sz w:val="17"/>
          <w:szCs w:val="17"/>
          <w:color w:val="auto"/>
        </w:rPr>
        <w:t>majority of which are pharyngitis, commonly known as strep throat. Pharyngitis is highly prevalent in school-age children and a significant source of antibiotic prescriptions and is contributing to the growing problem of antibiotic resistance globally. Approximately 1 out of every 6 antibiotic scripts in children ages 3 and 9 in the United States are due to presumed Group A Strep infections. Studies indicate that antibiotic resistance to Group A Strep has significantly increased in this past decade. For example, from 2010 to 2017, the percentage of Group A Strep infections that are resistant to erythromycin has nearly tripled from 8% to 23%, resulting in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spacing w:after="0" w:line="289" w:lineRule="auto"/>
        <w:rPr>
          <w:sz w:val="20"/>
          <w:szCs w:val="20"/>
          <w:color w:val="auto"/>
        </w:rPr>
      </w:pPr>
      <w:r>
        <w:rPr>
          <w:rFonts w:ascii="Arial" w:cs="Arial" w:eastAsia="Arial" w:hAnsi="Arial"/>
          <w:sz w:val="16"/>
          <w:szCs w:val="16"/>
          <w:color w:val="auto"/>
        </w:rPr>
        <w:t>elevation of the bacteria by the CDC to the antibiotic resistant category of a “concerning threat.” Group A Strep also increases the risk of severe invasive infections, such as sepsis, necrotizing fasciitis and toxic shock syndrome, and is responsible for post-infectious, immune-mediated rheumatic heart disease, or RHD, a leading cause of mortality in emerging countries. Some 30 million people are currently affected by RHD, with an estimated 500,000 deaths per year globally as a result of RHD or the invasive diseases related to Group A Strep. While traditionally thought of as a disease in children, the rates of invasive disease related to Group A Strep in the elderly in the United States has more than doubled since 2012, with similar trends seen in Europe as well. The estimated rate of invasive disease in adults 65 and over for Group A Strep is now more than three times the rate of invasive pneumococcal disease when the CDC recommended Prevnar 13 in 2014. The WHO has recognized the significant public health need caused by Group A Strep and has articulated a strategic goal to develop a safe and globally effective Group A Strep vaccine for prevention of acute infections, secondary immune-mediated sequelae and disease-associated mortality and to reduce reliance on antibiotics to help mitigate the growing concern of antibiotic resistance.</w:t>
      </w:r>
    </w:p>
    <w:p>
      <w:pPr>
        <w:spacing w:after="0" w:line="166" w:lineRule="exact"/>
        <w:rPr>
          <w:sz w:val="20"/>
          <w:szCs w:val="20"/>
          <w:color w:val="auto"/>
        </w:rPr>
      </w:pPr>
    </w:p>
    <w:p>
      <w:pPr>
        <w:ind w:right="120" w:firstLine="1175"/>
        <w:spacing w:after="0" w:line="263" w:lineRule="auto"/>
        <w:rPr>
          <w:sz w:val="20"/>
          <w:szCs w:val="20"/>
          <w:color w:val="auto"/>
        </w:rPr>
      </w:pPr>
      <w:r>
        <w:rPr>
          <w:rFonts w:ascii="Arial" w:cs="Arial" w:eastAsia="Arial" w:hAnsi="Arial"/>
          <w:sz w:val="18"/>
          <w:szCs w:val="18"/>
          <w:color w:val="auto"/>
        </w:rPr>
        <w:t>It has been established that the repeated natural infection of children with Group A Strep results in immune responses that are protective against subsequent Group A Strep infection. We believe this observation justifies the development of a rationally designed vaccine for Group A Strep that is focused on conserved antigens expressed by all strains of the bacteria.</w:t>
      </w:r>
    </w:p>
    <w:p>
      <w:pPr>
        <w:spacing w:after="0" w:line="184"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VAX-A1</w:t>
      </w:r>
    </w:p>
    <w:p>
      <w:pPr>
        <w:spacing w:after="0" w:line="225" w:lineRule="exact"/>
        <w:rPr>
          <w:sz w:val="20"/>
          <w:szCs w:val="20"/>
          <w:color w:val="auto"/>
        </w:rPr>
      </w:pPr>
    </w:p>
    <w:p>
      <w:pPr>
        <w:ind w:right="60" w:firstLine="1175"/>
        <w:spacing w:after="0" w:line="275" w:lineRule="auto"/>
        <w:rPr>
          <w:sz w:val="20"/>
          <w:szCs w:val="20"/>
          <w:color w:val="auto"/>
        </w:rPr>
      </w:pPr>
      <w:r>
        <w:rPr>
          <w:rFonts w:ascii="Arial" w:cs="Arial" w:eastAsia="Arial" w:hAnsi="Arial"/>
          <w:sz w:val="17"/>
          <w:szCs w:val="17"/>
          <w:color w:val="auto"/>
        </w:rPr>
        <w:t>We have developed a conjugate vaccine candidate, VAX-A1, designed to confer broad protection against subtypes of Group A Strep by virtue of polyrhamnose, a conserved polysaccharide, conjugated to Group A Strep specific immunogenic protein carrier using our site-specific conjugation technology. The resulting conjugate is designed to ensure optimal exposure of both the B-cell and T-cell epitopes on the protein carrier to confer robust, boostable and durable protective immune responses. We believe this single conjugate could potentially cover all Group A Strep strains. The vaccine is a combination of this novel protein-polysaccharide conjugate along with two additional conserved surface proteins.</w:t>
      </w:r>
    </w:p>
    <w:p>
      <w:pPr>
        <w:spacing w:after="0" w:line="176" w:lineRule="exact"/>
        <w:rPr>
          <w:sz w:val="20"/>
          <w:szCs w:val="20"/>
          <w:color w:val="auto"/>
        </w:rPr>
      </w:pPr>
    </w:p>
    <w:p>
      <w:pPr>
        <w:ind w:right="20" w:firstLine="1175"/>
        <w:spacing w:after="0" w:line="271" w:lineRule="auto"/>
        <w:rPr>
          <w:sz w:val="20"/>
          <w:szCs w:val="20"/>
          <w:color w:val="auto"/>
        </w:rPr>
      </w:pPr>
      <w:r>
        <w:rPr>
          <w:rFonts w:ascii="Arial" w:cs="Arial" w:eastAsia="Arial" w:hAnsi="Arial"/>
          <w:sz w:val="17"/>
          <w:szCs w:val="17"/>
          <w:color w:val="auto"/>
        </w:rPr>
        <w:t xml:space="preserve">Our initial preclinical proof-of-concept study was published in the journal </w:t>
      </w:r>
      <w:r>
        <w:rPr>
          <w:rFonts w:ascii="Arial" w:cs="Arial" w:eastAsia="Arial" w:hAnsi="Arial"/>
          <w:sz w:val="17"/>
          <w:szCs w:val="17"/>
          <w:i w:val="1"/>
          <w:iCs w:val="1"/>
          <w:color w:val="auto"/>
        </w:rPr>
        <w:t>Infectious Microbes &amp; Diseases</w:t>
      </w:r>
      <w:r>
        <w:rPr>
          <w:rFonts w:ascii="Arial" w:cs="Arial" w:eastAsia="Arial" w:hAnsi="Arial"/>
          <w:sz w:val="17"/>
          <w:szCs w:val="17"/>
          <w:color w:val="auto"/>
        </w:rPr>
        <w:t xml:space="preserve"> in December 2020. In the study, a novel protein and polysaccharide conjugate of the Group A Strep polysaccharide was constructed for inclusion in a universal subunit vaccine against infections by the pathogen. The VAX-A1 vaccine candidate, based on SpyAD-conjugated to a modified polyrhamnose backbone (lacking N-acetyl glucosamine) and including SLO and C5a peptidase, demonstrated protection from subcutaneous and systemic challenge in mice, antibody binding and opsonophagocytic killing for multiple Group A Strep M Protein Gene, or emm, types and no evidence of cross-reactivity to human heart and brain tissue antigens (Figure 18), which is a key leading indicator of vaccine safety. The study was carried out in collaboration with researchers at the Division of Host-Microbe Systems and Therapeutics, Department of Pediatrics, University of California School of Medicine and the Skaggs School of Pharmacy and Pharmaceutical Sciences at the University of California, San Diego.</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Figure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14605</wp:posOffset>
            </wp:positionV>
            <wp:extent cx="3429000" cy="1697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0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20" w:firstLine="1175"/>
        <w:spacing w:after="0" w:line="277" w:lineRule="auto"/>
        <w:rPr>
          <w:sz w:val="20"/>
          <w:szCs w:val="20"/>
          <w:color w:val="auto"/>
        </w:rPr>
      </w:pPr>
      <w:r>
        <w:rPr>
          <w:rFonts w:ascii="Arial" w:cs="Arial" w:eastAsia="Arial" w:hAnsi="Arial"/>
          <w:sz w:val="18"/>
          <w:szCs w:val="18"/>
          <w:color w:val="auto"/>
        </w:rPr>
        <w:t>Our VAX-A1 vaccine development program currently is 50% funded by a grant obtained from CARB-X, a global non-profit partnership dedicated to accelerating antibacterial innovation to tackle the rising global threat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ind w:right="160"/>
        <w:spacing w:after="0" w:line="272" w:lineRule="auto"/>
        <w:rPr>
          <w:sz w:val="20"/>
          <w:szCs w:val="20"/>
          <w:color w:val="auto"/>
        </w:rPr>
      </w:pPr>
      <w:r>
        <w:rPr>
          <w:rFonts w:ascii="Arial" w:cs="Arial" w:eastAsia="Arial" w:hAnsi="Arial"/>
          <w:sz w:val="17"/>
          <w:szCs w:val="17"/>
          <w:color w:val="auto"/>
        </w:rPr>
        <w:t>of drug-resistant bacteria. The award, as amended, commits initial funding of up to $2.7 million and, if options to extend are exercised by CARB-X, up to $15.1 million in total funding available upon achievement of development milestones through Phase 1 human clinical trials. We nominated the final vaccine candidate for our VAX-A1 program in the first quarter of 2021 and plan to initiate IND-enabling activities in the second half of 2021. Upon completion of the preclinical development program and IND-enabling activities for VAX-A1, we intend to conduct a multi-center, randomized, placebo-controlled Phase 1/2 study in adults at risk for contracting Group A Strep infections. The primary objectives of the initial clinical trial will be to evaluate safety and tolerability. Secondary exploratory endpoints will be to measure IgG immune response to the vaccine antigens and to evaluate the ability of the antibodies produced in response to vaccination to inhibit and prevent infections caused by Group A Strep.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Application Three: Protein Vaccine Opportunities</w:t>
      </w:r>
    </w:p>
    <w:p>
      <w:pPr>
        <w:spacing w:after="0" w:line="225" w:lineRule="exact"/>
        <w:rPr>
          <w:sz w:val="20"/>
          <w:szCs w:val="20"/>
          <w:color w:val="auto"/>
        </w:rPr>
      </w:pPr>
    </w:p>
    <w:p>
      <w:pPr>
        <w:ind w:right="80" w:firstLine="1175"/>
        <w:spacing w:after="0" w:line="272" w:lineRule="auto"/>
        <w:rPr>
          <w:sz w:val="20"/>
          <w:szCs w:val="20"/>
          <w:color w:val="auto"/>
        </w:rPr>
      </w:pPr>
      <w:r>
        <w:rPr>
          <w:rFonts w:ascii="Arial" w:cs="Arial" w:eastAsia="Arial" w:hAnsi="Arial"/>
          <w:sz w:val="17"/>
          <w:szCs w:val="17"/>
          <w:color w:val="auto"/>
        </w:rPr>
        <w:t>We believe we can also develop novel protein vaccine candidates constructed using “tough-to-make” protein antigens uniquely able to be expressed using the platform. In particular, the lack of a cellular membrane in our platform allows for the exogenous addition of components to manipulate transcription, translation and folding by modification of reaction conditions. Furthermore, removal of the typical restriction to maintain cell viability also creates unique avenues for optimizing and promoting protein production for antigens that might be cytotoxic to a cell-based system or require non-physiological conditions for optimal protein folding. Thus, utilizing these advantages, we believe we can express and purify important protein targets to generate unique candidates that are beyond the scope of traditional production systems. Our therapeutic periodontitis vaccine candidate is the first example of a “tough-to-make” protein-based vaccine.</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Periodontitis Disease Background and Market Opportunity</w:t>
      </w:r>
    </w:p>
    <w:p>
      <w:pPr>
        <w:spacing w:after="0" w:line="225" w:lineRule="exact"/>
        <w:rPr>
          <w:sz w:val="20"/>
          <w:szCs w:val="20"/>
          <w:color w:val="auto"/>
        </w:rPr>
      </w:pPr>
    </w:p>
    <w:p>
      <w:pPr>
        <w:ind w:right="200" w:firstLine="1175"/>
        <w:spacing w:after="0" w:line="257" w:lineRule="auto"/>
        <w:rPr>
          <w:sz w:val="20"/>
          <w:szCs w:val="20"/>
          <w:color w:val="auto"/>
        </w:rPr>
      </w:pPr>
      <w:r>
        <w:rPr>
          <w:rFonts w:ascii="Arial" w:cs="Arial" w:eastAsia="Arial" w:hAnsi="Arial"/>
          <w:sz w:val="18"/>
          <w:szCs w:val="18"/>
          <w:color w:val="auto"/>
        </w:rPr>
        <w:t>Periodontal disease is a highly complex, chronic oral inflammatory disease that leads to the destruction of the soft and hard tissues supporting the teeth. The subgingival niche (below the gum margin of teeth) is populated by a diverse polymicrobial plaque. It is increasingly understood that the shift from periodontal health to disease is associated with changes in the microbial composition of the subgingival plaque, including activities of bacteria such as Porphyromonas gingivalis (P. gingivalis). The development of precise approaches to control this keystone pathogen, such as a vaccine, could then positively impact the periodontal disease burden.</w:t>
      </w:r>
    </w:p>
    <w:p>
      <w:pPr>
        <w:spacing w:after="0" w:line="188" w:lineRule="exact"/>
        <w:rPr>
          <w:sz w:val="20"/>
          <w:szCs w:val="20"/>
          <w:color w:val="auto"/>
        </w:rPr>
      </w:pPr>
    </w:p>
    <w:p>
      <w:pPr>
        <w:jc w:val="both"/>
        <w:ind w:right="60" w:firstLine="1175"/>
        <w:spacing w:after="0" w:line="296" w:lineRule="auto"/>
        <w:rPr>
          <w:sz w:val="20"/>
          <w:szCs w:val="20"/>
          <w:color w:val="auto"/>
        </w:rPr>
      </w:pPr>
      <w:r>
        <w:rPr>
          <w:rFonts w:ascii="Arial" w:cs="Arial" w:eastAsia="Arial" w:hAnsi="Arial"/>
          <w:sz w:val="16"/>
          <w:szCs w:val="16"/>
          <w:color w:val="auto"/>
        </w:rPr>
        <w:t>Those with periodontitis also have an increased risk for heart attack, stroke and other serious cardiovascular events. In addition to gum and tooth disease, periodontal inflammation and infection with P. gingivalis have been linked to atherosclerotic heart disease mediated by P. gingivalis residing in atherosclerotic plaque. While we are focused on the treatment of periodontal disease with this vaccine candidate, if P. gingivalis is found to be causative in other chronic disorders, our vaccine candidate could potentially be a highly effective treatment and allow disease intervention at a much earlier stage of the disease. For example, recent research has suggested the potential for a link between P. gingivalis and Alzheimer’s disease.</w:t>
      </w:r>
    </w:p>
    <w:p>
      <w:pPr>
        <w:spacing w:after="0" w:line="161" w:lineRule="exact"/>
        <w:rPr>
          <w:sz w:val="20"/>
          <w:szCs w:val="20"/>
          <w:color w:val="auto"/>
        </w:rPr>
      </w:pPr>
    </w:p>
    <w:p>
      <w:pPr>
        <w:ind w:right="80" w:firstLine="1175"/>
        <w:spacing w:after="0" w:line="259" w:lineRule="auto"/>
        <w:rPr>
          <w:sz w:val="20"/>
          <w:szCs w:val="20"/>
          <w:color w:val="auto"/>
        </w:rPr>
      </w:pPr>
      <w:r>
        <w:rPr>
          <w:rFonts w:ascii="Arial" w:cs="Arial" w:eastAsia="Arial" w:hAnsi="Arial"/>
          <w:sz w:val="18"/>
          <w:szCs w:val="18"/>
          <w:color w:val="auto"/>
        </w:rPr>
        <w:t>Neither the natural host immune response nor currently available treatments are curative for periodontal disease. Existing treatment includes highly aggressive and invasive procedures, including scaling and root planing and surgical intervention, coupled with antibiotic use. Despite these types of aggressive treatments, diseased sites frequently progress, leading to tooth loss. Thus, the development of an effective vaccine for periodontitis would be highly desirable.</w:t>
      </w:r>
    </w:p>
    <w:p>
      <w:pPr>
        <w:spacing w:after="0" w:line="187" w:lineRule="exact"/>
        <w:rPr>
          <w:sz w:val="20"/>
          <w:szCs w:val="20"/>
          <w:color w:val="auto"/>
        </w:rPr>
      </w:pPr>
    </w:p>
    <w:p>
      <w:pPr>
        <w:ind w:right="60" w:firstLine="1175"/>
        <w:spacing w:after="0" w:line="277" w:lineRule="auto"/>
        <w:rPr>
          <w:sz w:val="20"/>
          <w:szCs w:val="20"/>
          <w:color w:val="auto"/>
        </w:rPr>
      </w:pPr>
      <w:r>
        <w:rPr>
          <w:rFonts w:ascii="Arial" w:cs="Arial" w:eastAsia="Arial" w:hAnsi="Arial"/>
          <w:sz w:val="18"/>
          <w:szCs w:val="18"/>
          <w:color w:val="auto"/>
        </w:rPr>
        <w:t>In the United States alone, an estimated 65 million adults suffer from periodontal disease. Globally, severe periodontal disease afflicts 10% to 15% of the adult population, resulting in productivity losses estimated at nearly $54 billion in 2010.</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VAX-PG</w:t>
      </w:r>
    </w:p>
    <w:p>
      <w:pPr>
        <w:spacing w:after="0" w:line="225" w:lineRule="exact"/>
        <w:rPr>
          <w:sz w:val="20"/>
          <w:szCs w:val="20"/>
          <w:color w:val="auto"/>
        </w:rPr>
      </w:pPr>
    </w:p>
    <w:p>
      <w:pPr>
        <w:ind w:firstLine="1175"/>
        <w:spacing w:after="0" w:line="263" w:lineRule="auto"/>
        <w:rPr>
          <w:sz w:val="20"/>
          <w:szCs w:val="20"/>
          <w:color w:val="auto"/>
        </w:rPr>
      </w:pPr>
      <w:r>
        <w:rPr>
          <w:rFonts w:ascii="Arial" w:cs="Arial" w:eastAsia="Arial" w:hAnsi="Arial"/>
          <w:sz w:val="18"/>
          <w:szCs w:val="18"/>
          <w:color w:val="auto"/>
        </w:rPr>
        <w:t xml:space="preserve">We are developing a novel protein vaccine candidate, VAX-PG, targeting </w:t>
      </w:r>
      <w:r>
        <w:rPr>
          <w:rFonts w:ascii="Arial" w:cs="Arial" w:eastAsia="Arial" w:hAnsi="Arial"/>
          <w:sz w:val="18"/>
          <w:szCs w:val="18"/>
          <w:i w:val="1"/>
          <w:iCs w:val="1"/>
          <w:color w:val="auto"/>
        </w:rPr>
        <w:t>P. gingivalis</w:t>
      </w:r>
      <w:r>
        <w:rPr>
          <w:rFonts w:ascii="Arial" w:cs="Arial" w:eastAsia="Arial" w:hAnsi="Arial"/>
          <w:sz w:val="18"/>
          <w:szCs w:val="18"/>
          <w:color w:val="auto"/>
        </w:rPr>
        <w:t xml:space="preserve"> that incorporates protein antigens that we believe are uniquely enabled with our technology. Our initial goal is to develop a therapeutic vaccine to slow or stop disease progression; however, the results from clinical trials may inform the potential adoption of prophylactic immunization.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ind w:firstLine="1175"/>
        <w:spacing w:after="0" w:line="255" w:lineRule="auto"/>
        <w:rPr>
          <w:sz w:val="20"/>
          <w:szCs w:val="20"/>
          <w:color w:val="auto"/>
        </w:rPr>
      </w:pPr>
      <w:r>
        <w:rPr>
          <w:rFonts w:ascii="Arial" w:cs="Arial" w:eastAsia="Arial" w:hAnsi="Arial"/>
          <w:sz w:val="18"/>
          <w:szCs w:val="18"/>
          <w:color w:val="auto"/>
        </w:rPr>
        <w:t xml:space="preserve">VAX-PG, which includes cell-free produced P. gingivalis virulence factors, including gingipains, were tested in a preclinical model that mimics periodontal disease. The results, which we believe demonstrate preclinical proof of concept, were published in the </w:t>
      </w:r>
      <w:r>
        <w:rPr>
          <w:rFonts w:ascii="Arial" w:cs="Arial" w:eastAsia="Arial" w:hAnsi="Arial"/>
          <w:sz w:val="18"/>
          <w:szCs w:val="18"/>
          <w:i w:val="1"/>
          <w:iCs w:val="1"/>
          <w:color w:val="auto"/>
        </w:rPr>
        <w:t>Journal of Clinical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Periodontology </w:t>
      </w:r>
      <w:r>
        <w:rPr>
          <w:rFonts w:ascii="Arial" w:cs="Arial" w:eastAsia="Arial" w:hAnsi="Arial"/>
          <w:sz w:val="18"/>
          <w:szCs w:val="18"/>
          <w:color w:val="auto"/>
        </w:rPr>
        <w:t>in February 2019. The vaccine elicited protein-specific IgG response following immunization and protected mice from P. gingivalis-elicited</w:t>
      </w:r>
      <w:r>
        <w:rPr>
          <w:rFonts w:ascii="Arial" w:cs="Arial" w:eastAsia="Arial" w:hAnsi="Arial"/>
          <w:sz w:val="18"/>
          <w:szCs w:val="18"/>
          <w:i w:val="1"/>
          <w:iCs w:val="1"/>
          <w:color w:val="auto"/>
        </w:rPr>
        <w:t xml:space="preserve"> </w:t>
      </w:r>
      <w:r>
        <w:rPr>
          <w:rFonts w:ascii="Arial" w:cs="Arial" w:eastAsia="Arial" w:hAnsi="Arial"/>
          <w:sz w:val="18"/>
          <w:szCs w:val="18"/>
          <w:color w:val="auto"/>
        </w:rPr>
        <w:t>oral bone loss. Shown in Figure 19 is the objective bone loss of VAX-PG with alum, Monophospholipid A, or no adjuvant. Immunization with all formulations of VAX-PG provided significant protection against oral bone loss compared to the no vaccine oral challenged control group (p&lt;0.01, ANOVA with Dunns multiple comparisons).</w:t>
      </w:r>
    </w:p>
    <w:p>
      <w:pPr>
        <w:spacing w:after="0" w:line="192"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Figure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168910</wp:posOffset>
            </wp:positionV>
            <wp:extent cx="2245995" cy="20320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45995" cy="203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ABC = alveolar bone crest</w:t>
      </w:r>
    </w:p>
    <w:p>
      <w:pPr>
        <w:ind w:left="1520"/>
        <w:spacing w:after="0"/>
        <w:rPr>
          <w:sz w:val="20"/>
          <w:szCs w:val="20"/>
          <w:color w:val="auto"/>
        </w:rPr>
      </w:pPr>
      <w:r>
        <w:rPr>
          <w:rFonts w:ascii="Arial" w:cs="Arial" w:eastAsia="Arial" w:hAnsi="Arial"/>
          <w:sz w:val="14"/>
          <w:szCs w:val="14"/>
          <w:color w:val="auto"/>
        </w:rPr>
        <w:t>CEJ = cement-enamel junction</w:t>
      </w:r>
    </w:p>
    <w:p>
      <w:pPr>
        <w:spacing w:after="0" w:line="196" w:lineRule="exact"/>
        <w:rPr>
          <w:sz w:val="20"/>
          <w:szCs w:val="20"/>
          <w:color w:val="auto"/>
        </w:rPr>
      </w:pPr>
    </w:p>
    <w:p>
      <w:pPr>
        <w:ind w:right="620" w:firstLine="1175"/>
        <w:spacing w:after="0" w:line="277" w:lineRule="auto"/>
        <w:rPr>
          <w:sz w:val="20"/>
          <w:szCs w:val="20"/>
          <w:color w:val="auto"/>
        </w:rPr>
      </w:pPr>
      <w:r>
        <w:rPr>
          <w:rFonts w:ascii="Arial" w:cs="Arial" w:eastAsia="Arial" w:hAnsi="Arial"/>
          <w:sz w:val="18"/>
          <w:szCs w:val="18"/>
          <w:color w:val="auto"/>
        </w:rPr>
        <w:t>Shown below in Figure 20 are pictures of representative mouse jaws from the experiment. As can be seen, the vaccinated mice had considerably less bone loss than the unvaccinated and challenged control animals.</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Figure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168910</wp:posOffset>
            </wp:positionV>
            <wp:extent cx="3360420" cy="27946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042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right="20" w:firstLine="1175"/>
        <w:spacing w:after="0" w:line="275" w:lineRule="auto"/>
        <w:rPr>
          <w:sz w:val="20"/>
          <w:szCs w:val="20"/>
          <w:color w:val="auto"/>
        </w:rPr>
      </w:pPr>
      <w:r>
        <w:rPr>
          <w:rFonts w:ascii="Arial" w:cs="Arial" w:eastAsia="Arial" w:hAnsi="Arial"/>
          <w:sz w:val="17"/>
          <w:szCs w:val="17"/>
          <w:color w:val="auto"/>
        </w:rPr>
        <w:t>We expect to nominate the final vaccine candidate for our VAX-PG program in the second half of 2021. Upon completion of the preclinical development program and IND-enabling activities for VAX-PG, we intend to conduct a multi-center, randomized, placebo-controlled Phase 1/2 study in adults with mild to moderate chronic periodontal disease. The primary objectives of the initial clinical trial will be to evaluate safety and tolerability. Secondary exploratory endpoints will be to measure IgG immune response to the vaccine antigens and to evaluate the ability of the antibodies produced in response to vaccination to inhibit the formation of the poly-microbial biofilm, which is characteristic of periodontal disease.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ind w:right="120" w:firstLine="1175"/>
        <w:spacing w:after="0" w:line="268" w:lineRule="auto"/>
        <w:rPr>
          <w:sz w:val="20"/>
          <w:szCs w:val="20"/>
          <w:color w:val="auto"/>
        </w:rPr>
      </w:pPr>
      <w:r>
        <w:rPr>
          <w:rFonts w:ascii="Arial" w:cs="Arial" w:eastAsia="Arial" w:hAnsi="Arial"/>
          <w:sz w:val="17"/>
          <w:szCs w:val="17"/>
          <w:color w:val="auto"/>
        </w:rPr>
        <w:t>We have designed and developed a proprietary, scalable and portable manufacturing process for VAX-24 that we believe can scale to address clinical and commercial vaccine supply needed to serve both adult and pediatric populations. We have completed process development and technology transfer to Lonza for the critical components of the VAX-24 conjugates. We currently do not own or operate any manufacturing facilities, but our strategic partnership with Lonza provides us with access to substantial resources to facilitate an independent supply path to the market. Lonza is a leading global contract manufacturer with deep domain expertise and experience in large and small-scale production of clinical, as well as commercial-stage products. We have entered into agreements with Lonza to secure capacity, technical expertise and resources to support the production of VAX-24 clinical material and processes that are intended to scale to commercial scale at Lonza or other commercial manufacturing sites. We have also entered into agreements for eCRM and polysaccharide to support VAX-XP to IND. In addition, we have entered into an agreement with Sutro Biopharma to supply us with extract and custom reagents for use in manufacturing preclinical and certain clinical supply of vaccine compositions, and in December 2019, we exercised our right to require Sutro Biopharma to establish a second supplier for extract and custom reagents to support our anticipated clinical and commercial needs. We have established alignment designed to ensure establishment of the manufacturing process and the delivery of the clinical material to support the IND application to the FDA to evaluate VAX-24. The conjugates in VAX-24 are designed to serve as the foundation for our next-generation VAX-XP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w:t>
      </w:r>
    </w:p>
    <w:p>
      <w:pPr>
        <w:spacing w:after="0" w:line="225" w:lineRule="exact"/>
        <w:rPr>
          <w:sz w:val="20"/>
          <w:szCs w:val="20"/>
          <w:color w:val="auto"/>
        </w:rPr>
      </w:pPr>
    </w:p>
    <w:p>
      <w:pPr>
        <w:ind w:firstLine="1175"/>
        <w:spacing w:after="0" w:line="342" w:lineRule="auto"/>
        <w:rPr>
          <w:sz w:val="20"/>
          <w:szCs w:val="20"/>
          <w:color w:val="auto"/>
        </w:rPr>
      </w:pPr>
      <w:r>
        <w:rPr>
          <w:rFonts w:ascii="Arial" w:cs="Arial" w:eastAsia="Arial" w:hAnsi="Arial"/>
          <w:sz w:val="16"/>
          <w:szCs w:val="16"/>
          <w:color w:val="auto"/>
        </w:rPr>
        <w:t>The manufacturing process for our VAX-24 vaccine candidate consists of four key components: a) our proprietary eCRM protein carrier; b) the 24 pneumococcal polysaccharides; c) the 24 conjugate drug substances and d) the mixture of these 24 drug substances into the final drug product.</w:t>
      </w:r>
    </w:p>
    <w:p>
      <w:pPr>
        <w:spacing w:after="0" w:line="124"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eCRM</w:t>
      </w:r>
    </w:p>
    <w:p>
      <w:pPr>
        <w:spacing w:after="0" w:line="225" w:lineRule="exact"/>
        <w:rPr>
          <w:sz w:val="20"/>
          <w:szCs w:val="20"/>
          <w:color w:val="auto"/>
        </w:rPr>
      </w:pPr>
    </w:p>
    <w:p>
      <w:pPr>
        <w:ind w:right="220" w:firstLine="1175"/>
        <w:spacing w:after="0" w:line="311" w:lineRule="auto"/>
        <w:rPr>
          <w:sz w:val="20"/>
          <w:szCs w:val="20"/>
          <w:color w:val="auto"/>
        </w:rPr>
      </w:pPr>
      <w:r>
        <w:rPr>
          <w:rFonts w:ascii="Arial" w:cs="Arial" w:eastAsia="Arial" w:hAnsi="Arial"/>
          <w:sz w:val="16"/>
          <w:szCs w:val="16"/>
          <w:color w:val="auto"/>
        </w:rPr>
        <w:t>Our proprietary eCRM protein carrier is produced using our cell-free protein synthesis platform. eCRM, exclusively licensed from Sutro Biopharma, contains multiple copies of non-native para azido-methyl-phenylalanine, or pAMF, amino acid. The pAMF amino acids have a specific structure that enables eCRM to participate in the site-specific click chemistry conjugation reaction with activated pneumococcal polysaccharides.</w:t>
      </w:r>
    </w:p>
    <w:p>
      <w:pPr>
        <w:spacing w:after="0" w:line="149" w:lineRule="exact"/>
        <w:rPr>
          <w:sz w:val="20"/>
          <w:szCs w:val="20"/>
          <w:color w:val="auto"/>
        </w:rPr>
      </w:pPr>
    </w:p>
    <w:p>
      <w:pPr>
        <w:ind w:right="120" w:firstLine="1175"/>
        <w:spacing w:after="0" w:line="273" w:lineRule="auto"/>
        <w:rPr>
          <w:sz w:val="20"/>
          <w:szCs w:val="20"/>
          <w:color w:val="auto"/>
        </w:rPr>
      </w:pPr>
      <w:r>
        <w:rPr>
          <w:rFonts w:ascii="Arial" w:cs="Arial" w:eastAsia="Arial" w:hAnsi="Arial"/>
          <w:sz w:val="17"/>
          <w:szCs w:val="17"/>
          <w:color w:val="auto"/>
        </w:rPr>
        <w:t xml:space="preserve">The cell-free reaction is performed in a manner analogous to traditional fermentation but without the cells. The first step in the production of eCRM is the manufacture of critical raw materials, namely </w:t>
      </w:r>
      <w:r>
        <w:rPr>
          <w:rFonts w:ascii="Arial" w:cs="Arial" w:eastAsia="Arial" w:hAnsi="Arial"/>
          <w:sz w:val="17"/>
          <w:szCs w:val="17"/>
          <w:i w:val="1"/>
          <w:iCs w:val="1"/>
          <w:color w:val="auto"/>
        </w:rPr>
        <w:t>E. coli</w:t>
      </w:r>
      <w:r>
        <w:rPr>
          <w:rFonts w:ascii="Arial" w:cs="Arial" w:eastAsia="Arial" w:hAnsi="Arial"/>
          <w:sz w:val="17"/>
          <w:szCs w:val="17"/>
          <w:color w:val="auto"/>
        </w:rPr>
        <w:t xml:space="preserve"> extracts and lysates that contain the cellular machinery required for in vitro DNA transcription and translation. The eCRM protein is then manufactured by combining these </w:t>
      </w:r>
      <w:r>
        <w:rPr>
          <w:rFonts w:ascii="Arial" w:cs="Arial" w:eastAsia="Arial" w:hAnsi="Arial"/>
          <w:sz w:val="17"/>
          <w:szCs w:val="17"/>
          <w:i w:val="1"/>
          <w:iCs w:val="1"/>
          <w:color w:val="auto"/>
        </w:rPr>
        <w:t>E. coli</w:t>
      </w:r>
      <w:r>
        <w:rPr>
          <w:rFonts w:ascii="Arial" w:cs="Arial" w:eastAsia="Arial" w:hAnsi="Arial"/>
          <w:sz w:val="17"/>
          <w:szCs w:val="17"/>
          <w:color w:val="auto"/>
        </w:rPr>
        <w:t xml:space="preserve"> extracts and lysates with classic media components such as amino acids, minerals and salts, with the in vitro reaction driven by the addition of plasmid DNA coding for the eCRM protein’s amino acid sequence. This cell-free reaction takes place in a standard fermenter, followed by standard protein purification chromatographic and filtration processes. The manufacturing process has consistently yielded a product of the desired quality.</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Pneumococcal Polysaccharides</w:t>
      </w:r>
    </w:p>
    <w:p>
      <w:pPr>
        <w:spacing w:after="0" w:line="225" w:lineRule="exact"/>
        <w:rPr>
          <w:sz w:val="20"/>
          <w:szCs w:val="20"/>
          <w:color w:val="auto"/>
        </w:rPr>
      </w:pPr>
    </w:p>
    <w:p>
      <w:pPr>
        <w:ind w:right="280" w:firstLine="1175"/>
        <w:spacing w:after="0" w:line="263" w:lineRule="auto"/>
        <w:rPr>
          <w:sz w:val="20"/>
          <w:szCs w:val="20"/>
          <w:color w:val="auto"/>
        </w:rPr>
      </w:pPr>
      <w:r>
        <w:rPr>
          <w:rFonts w:ascii="Arial" w:cs="Arial" w:eastAsia="Arial" w:hAnsi="Arial"/>
          <w:sz w:val="18"/>
          <w:szCs w:val="18"/>
          <w:color w:val="auto"/>
        </w:rPr>
        <w:t xml:space="preserve">Each of the 24 pneumococcal polysaccharides are individually isolated from </w:t>
      </w:r>
      <w:r>
        <w:rPr>
          <w:rFonts w:ascii="Arial" w:cs="Arial" w:eastAsia="Arial" w:hAnsi="Arial"/>
          <w:sz w:val="18"/>
          <w:szCs w:val="18"/>
          <w:i w:val="1"/>
          <w:iCs w:val="1"/>
          <w:color w:val="auto"/>
        </w:rPr>
        <w:t>S. pneumoniae</w:t>
      </w:r>
      <w:r>
        <w:rPr>
          <w:rFonts w:ascii="Arial" w:cs="Arial" w:eastAsia="Arial" w:hAnsi="Arial"/>
          <w:sz w:val="18"/>
          <w:szCs w:val="18"/>
          <w:color w:val="auto"/>
        </w:rPr>
        <w:t xml:space="preserve"> bacterial strains. Each individual </w:t>
      </w:r>
      <w:r>
        <w:rPr>
          <w:rFonts w:ascii="Arial" w:cs="Arial" w:eastAsia="Arial" w:hAnsi="Arial"/>
          <w:sz w:val="18"/>
          <w:szCs w:val="18"/>
          <w:i w:val="1"/>
          <w:iCs w:val="1"/>
          <w:color w:val="auto"/>
        </w:rPr>
        <w: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pneumoniae </w:t>
      </w:r>
      <w:r>
        <w:rPr>
          <w:rFonts w:ascii="Arial" w:cs="Arial" w:eastAsia="Arial" w:hAnsi="Arial"/>
          <w:sz w:val="18"/>
          <w:szCs w:val="18"/>
          <w:color w:val="auto"/>
        </w:rPr>
        <w:t>strain is cultured in a bioreactor using a single standardized fed-batch bioreactor process and a single standardized downstream purification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Overall, this standardized upstream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right="320"/>
        <w:spacing w:after="0" w:line="308" w:lineRule="auto"/>
        <w:rPr>
          <w:sz w:val="20"/>
          <w:szCs w:val="20"/>
          <w:color w:val="auto"/>
        </w:rPr>
      </w:pPr>
      <w:r>
        <w:rPr>
          <w:rFonts w:ascii="Arial" w:cs="Arial" w:eastAsia="Arial" w:hAnsi="Arial"/>
          <w:sz w:val="17"/>
          <w:szCs w:val="17"/>
          <w:color w:val="auto"/>
        </w:rPr>
        <w:t>and downstream process is simple and streamlined, thereby reducing manufacturing cost of goods and providing an efficient path of progression for the program from process characterization and validation through to commercialization, if our vaccine candidates are approved.</w:t>
      </w:r>
    </w:p>
    <w:p>
      <w:pPr>
        <w:spacing w:after="0" w:line="146"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Conjugate Drug Substances</w:t>
      </w:r>
    </w:p>
    <w:p>
      <w:pPr>
        <w:spacing w:after="0" w:line="225" w:lineRule="exact"/>
        <w:rPr>
          <w:sz w:val="20"/>
          <w:szCs w:val="20"/>
          <w:color w:val="auto"/>
        </w:rPr>
      </w:pPr>
    </w:p>
    <w:p>
      <w:pPr>
        <w:ind w:right="800" w:firstLine="1175"/>
        <w:spacing w:after="0" w:line="277" w:lineRule="auto"/>
        <w:rPr>
          <w:sz w:val="20"/>
          <w:szCs w:val="20"/>
          <w:color w:val="auto"/>
        </w:rPr>
      </w:pPr>
      <w:r>
        <w:rPr>
          <w:rFonts w:ascii="Arial" w:cs="Arial" w:eastAsia="Arial" w:hAnsi="Arial"/>
          <w:sz w:val="18"/>
          <w:szCs w:val="18"/>
          <w:color w:val="auto"/>
        </w:rPr>
        <w:t>Each of the 24 conjugate drug substances is manufactured individually, as monovalent conjugates, by conjugating each of the 24 pneumococcal polysaccharide strains, one at a time, to the eCRM carrier protein.</w:t>
      </w:r>
    </w:p>
    <w:p>
      <w:pPr>
        <w:spacing w:after="0" w:line="170" w:lineRule="exact"/>
        <w:rPr>
          <w:sz w:val="20"/>
          <w:szCs w:val="20"/>
          <w:color w:val="auto"/>
        </w:rPr>
      </w:pPr>
    </w:p>
    <w:p>
      <w:pPr>
        <w:ind w:right="200" w:firstLine="1175"/>
        <w:spacing w:after="0" w:line="263" w:lineRule="auto"/>
        <w:rPr>
          <w:sz w:val="20"/>
          <w:szCs w:val="20"/>
          <w:color w:val="auto"/>
        </w:rPr>
      </w:pPr>
      <w:r>
        <w:rPr>
          <w:rFonts w:ascii="Arial" w:cs="Arial" w:eastAsia="Arial" w:hAnsi="Arial"/>
          <w:sz w:val="18"/>
          <w:szCs w:val="18"/>
          <w:color w:val="auto"/>
        </w:rPr>
        <w:t>Click chemistry provides for a conjugation reaction that is quick, consistent and high-yielding, and which we optimized to be largely standardized across the various polysaccharides. Through statistical design of experiment, or DoE, studies, we have gained a significant understanding of which variables to adjust to maximize product quality and, accordingly, immunogenicity in rabbit models.</w:t>
      </w:r>
    </w:p>
    <w:p>
      <w:pPr>
        <w:spacing w:after="0" w:line="184"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VAX-24 PCV Drug Product</w:t>
      </w:r>
    </w:p>
    <w:p>
      <w:pPr>
        <w:spacing w:after="0" w:line="225" w:lineRule="exact"/>
        <w:rPr>
          <w:sz w:val="20"/>
          <w:szCs w:val="20"/>
          <w:color w:val="auto"/>
        </w:rPr>
      </w:pPr>
    </w:p>
    <w:p>
      <w:pPr>
        <w:ind w:right="280" w:firstLine="1175"/>
        <w:spacing w:after="0" w:line="277" w:lineRule="auto"/>
        <w:rPr>
          <w:sz w:val="20"/>
          <w:szCs w:val="20"/>
          <w:color w:val="auto"/>
        </w:rPr>
      </w:pPr>
      <w:r>
        <w:rPr>
          <w:rFonts w:ascii="Arial" w:cs="Arial" w:eastAsia="Arial" w:hAnsi="Arial"/>
          <w:sz w:val="18"/>
          <w:szCs w:val="18"/>
          <w:color w:val="auto"/>
        </w:rPr>
        <w:t>All 24 conjugate drug substances are mixed, formulated with appropriate excipients and adsorbed onto alum. Clinical doses are filled in vials and stored refrigerated.</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Achievements to Date</w:t>
      </w:r>
    </w:p>
    <w:p>
      <w:pPr>
        <w:spacing w:after="0" w:line="225" w:lineRule="exact"/>
        <w:rPr>
          <w:sz w:val="20"/>
          <w:szCs w:val="20"/>
          <w:color w:val="auto"/>
        </w:rPr>
      </w:pPr>
    </w:p>
    <w:p>
      <w:pPr>
        <w:ind w:right="60" w:firstLine="1175"/>
        <w:spacing w:after="0" w:line="287" w:lineRule="auto"/>
        <w:rPr>
          <w:sz w:val="20"/>
          <w:szCs w:val="20"/>
          <w:color w:val="auto"/>
        </w:rPr>
      </w:pPr>
      <w:r>
        <w:rPr>
          <w:rFonts w:ascii="Arial" w:cs="Arial" w:eastAsia="Arial" w:hAnsi="Arial"/>
          <w:sz w:val="16"/>
          <w:szCs w:val="16"/>
          <w:color w:val="auto"/>
        </w:rPr>
        <w:t>To date, we have achieved many IND-enabling CMC deliverables with additional work ongoing. For the eCRM protein carrier, we transferred process technology to Lonza and have completed the development and scale-up to clinical production scale. We have completed both the engineering campaign and the GMP production campaign for eCRM to provide material believed to be adequate to complete at least our Phase 1/2 clinical study of VAX-24 in adults. For the polysaccharide antigens, we have established research and GMP master cell banks for all 24 pneumococcal serotypes in VAX-24. We have completed the development and GMP batches of all 24 polysaccharide antigens to enable production of GMP conjugates for VAX-24. For the 24 drug substances, we conducted an extensive design-of-experiments, or DoE, study to define and optimize conjugation process parameters based on, among other parameters, immunogenicity and stability, for all 24 serotypes and transferred this process technology to Lonza. Further, Lonza implemented the transferred processes, successfully producing all 24 conjugates at an over fifteen-fold scale-up to what was previously produced. These conjugates met the target critical quality attributes, were tested in preclinical studies and confirmed to show conjugate-like immunological responses comparable to Prevnar 13 and to the previous VAX-24 conjugates produced at smaller batches. We have initiated the GMP production campaign for the 24 conjugates in VAX-24 at Lonza and are employing the GMP raw materials made at Lonza, including eCRM and the 24 polysaccharides.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Lonza Agreements</w:t>
      </w:r>
    </w:p>
    <w:p>
      <w:pPr>
        <w:spacing w:after="0" w:line="225" w:lineRule="exact"/>
        <w:rPr>
          <w:sz w:val="20"/>
          <w:szCs w:val="20"/>
          <w:color w:val="auto"/>
        </w:rPr>
      </w:pPr>
    </w:p>
    <w:p>
      <w:pPr>
        <w:ind w:right="100" w:firstLine="1175"/>
        <w:spacing w:after="0" w:line="311" w:lineRule="auto"/>
        <w:rPr>
          <w:sz w:val="20"/>
          <w:szCs w:val="20"/>
          <w:color w:val="auto"/>
        </w:rPr>
      </w:pPr>
      <w:r>
        <w:rPr>
          <w:rFonts w:ascii="Arial" w:cs="Arial" w:eastAsia="Arial" w:hAnsi="Arial"/>
          <w:sz w:val="16"/>
          <w:szCs w:val="16"/>
          <w:color w:val="auto"/>
        </w:rPr>
        <w:t>In October 2016, we entered into a development and manufacturing services agreement with Lonza, which we refer to, as amended, as the 2016 Lonza Agreement, pursuant to which Lonza is obligated to perform manufacturing process development and clinical manufacture and supply of components for VAX-24, including the manufacture of polysaccharide antigens, our proprietary eCRM protein carrier and conjugated drug substances.</w:t>
      </w:r>
    </w:p>
    <w:p>
      <w:pPr>
        <w:spacing w:after="0" w:line="149" w:lineRule="exact"/>
        <w:rPr>
          <w:sz w:val="20"/>
          <w:szCs w:val="20"/>
          <w:color w:val="auto"/>
        </w:rPr>
      </w:pPr>
    </w:p>
    <w:p>
      <w:pPr>
        <w:ind w:firstLine="1175"/>
        <w:spacing w:after="0" w:line="263" w:lineRule="auto"/>
        <w:rPr>
          <w:sz w:val="20"/>
          <w:szCs w:val="20"/>
          <w:color w:val="auto"/>
        </w:rPr>
      </w:pPr>
      <w:r>
        <w:rPr>
          <w:rFonts w:ascii="Arial" w:cs="Arial" w:eastAsia="Arial" w:hAnsi="Arial"/>
          <w:sz w:val="18"/>
          <w:szCs w:val="18"/>
          <w:color w:val="auto"/>
        </w:rPr>
        <w:t>In October 2018, we entered into a second development and manufacturing services agreement with Lonza, which we refer to as the 2018 Lonza Agreement, and together with the 2016 Lonza Agreement, as the Lonza Agreements, pursuant to which Lonza is obligated to perform manufacturing process development and clinical manufacture and supply of VAX-24 finished drug product.</w:t>
      </w:r>
    </w:p>
    <w:p>
      <w:pPr>
        <w:spacing w:after="0" w:line="184" w:lineRule="exact"/>
        <w:rPr>
          <w:sz w:val="20"/>
          <w:szCs w:val="20"/>
          <w:color w:val="auto"/>
        </w:rPr>
      </w:pPr>
    </w:p>
    <w:p>
      <w:pPr>
        <w:ind w:right="80" w:firstLine="1175"/>
        <w:spacing w:after="0" w:line="277" w:lineRule="auto"/>
        <w:rPr>
          <w:sz w:val="20"/>
          <w:szCs w:val="20"/>
          <w:color w:val="auto"/>
        </w:rPr>
      </w:pPr>
      <w:r>
        <w:rPr>
          <w:rFonts w:ascii="Arial" w:cs="Arial" w:eastAsia="Arial" w:hAnsi="Arial"/>
          <w:sz w:val="18"/>
          <w:szCs w:val="18"/>
          <w:color w:val="auto"/>
        </w:rPr>
        <w:t>Under the Lonza Agreements, we will pay Lonza for its manufacturing services and reimburse Lonza for its out-of-pocket costs associated with purchasing raw materials, plus a customary handling fee.</w:t>
      </w:r>
    </w:p>
    <w:p>
      <w:pPr>
        <w:spacing w:after="0" w:line="170" w:lineRule="exact"/>
        <w:rPr>
          <w:sz w:val="20"/>
          <w:szCs w:val="20"/>
          <w:color w:val="auto"/>
        </w:rPr>
      </w:pPr>
    </w:p>
    <w:p>
      <w:pPr>
        <w:jc w:val="both"/>
        <w:ind w:right="60" w:firstLine="1175"/>
        <w:spacing w:after="0" w:line="263" w:lineRule="auto"/>
        <w:rPr>
          <w:sz w:val="20"/>
          <w:szCs w:val="20"/>
          <w:color w:val="auto"/>
        </w:rPr>
      </w:pPr>
      <w:r>
        <w:rPr>
          <w:rFonts w:ascii="Arial" w:cs="Arial" w:eastAsia="Arial" w:hAnsi="Arial"/>
          <w:sz w:val="18"/>
          <w:szCs w:val="18"/>
          <w:color w:val="auto"/>
        </w:rPr>
        <w:t>In June 2018, we entered into a letter agreement, or the Lonza Letter Agreement, with Lonza, pursuant to which we agreed to certain terms for potential issuances of our common stock as partial satisfaction of future obligations to Lonza under the Lonza Agreements. Specifically, we and Lonza agreed that the initial pre-IND cash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ind w:right="100"/>
        <w:spacing w:after="0" w:line="255" w:lineRule="auto"/>
        <w:rPr>
          <w:sz w:val="20"/>
          <w:szCs w:val="20"/>
          <w:color w:val="auto"/>
        </w:rPr>
      </w:pPr>
      <w:r>
        <w:rPr>
          <w:rFonts w:ascii="Arial" w:cs="Arial" w:eastAsia="Arial" w:hAnsi="Arial"/>
          <w:sz w:val="18"/>
          <w:szCs w:val="18"/>
          <w:color w:val="auto"/>
        </w:rPr>
        <w:t>payments made by us to Lonza would be subject to a specified dollar cap, which we refer to as the Initial Cash Cap. After the Initial Cash Cap has been reached, then at our election, we can make any further pre-IND payments owed to Lonza under the Lonza Agreements in cash, equity at then market prevailing prices or a combination of both. Lonza may elect to receive up to 25% of pre-IND payments in equity, up to a maximum of $2.5 million, and no more than $10 million of pre-IND payments may be satisfied by issuances of our common stock. As of the date we file this Form 10-K, no shares of our common stock have been issued under this arrangement. We also granted Lonza a right of first negotiation for manufacturing services for the commercial supply of VAX-24. We expect to reach the Initial Cash Cap in 2021.</w:t>
      </w:r>
    </w:p>
    <w:p>
      <w:pPr>
        <w:spacing w:after="0" w:line="192" w:lineRule="exact"/>
        <w:rPr>
          <w:sz w:val="20"/>
          <w:szCs w:val="20"/>
          <w:color w:val="auto"/>
        </w:rPr>
      </w:pPr>
    </w:p>
    <w:p>
      <w:pPr>
        <w:ind w:firstLine="1175"/>
        <w:spacing w:after="0" w:line="268" w:lineRule="auto"/>
        <w:rPr>
          <w:sz w:val="20"/>
          <w:szCs w:val="20"/>
          <w:color w:val="auto"/>
        </w:rPr>
      </w:pPr>
      <w:r>
        <w:rPr>
          <w:rFonts w:ascii="Arial" w:cs="Arial" w:eastAsia="Arial" w:hAnsi="Arial"/>
          <w:sz w:val="17"/>
          <w:szCs w:val="17"/>
          <w:color w:val="auto"/>
        </w:rPr>
        <w:t>Under each Lonza Agreement, we will own all right, title and interest in and to any and all Intellectual Property (as defined in each Lonza Agreement) that Lonza and/or its affiliates, the External Laboratories (as defined in each Lonza Agreement) or other contractors or agents of Lonza develops, conceives, invents, first reduces to practice or makes, solely or jointly with us or others, in the performance of the Services (as defined in each Lonza Agreement), to the extent such Intellectual Property (the New Customer Intellectual Property) is a direct derivative of or improvement to collectively the Product, Customer Materials, Customer Information and/or Customer Background Intellectual Property (all as defined in each Lonza Agreement). Lonza shall own all right, title and interest in Intellectual Property that Lonza and/or its Affiliates, the External Laboratories or other contractors or agents of Lonza, solely or jointly with Customer, develops, conceives, invents or first reduces to practice or makes in the course of performance of the Services to the extent such Intellectual Property (New General Application Intellectual Property) (i) is generally applicable to the development or manufacture of chemical or biological products or product components, and could reasonably have been made without the use of the Customer Materials, Customer Information or Customer Background Intellectual Property and (ii) is an improvement of, or direct derivative of, any Lonza Background Intellectual Property. Additionally, under each Lonza Agreement, Lonza grants us a non-exclusive, world-wide, fully paid-up, irrevocable, transferable license under all New General Application Intellectual Property, with the right to grant sublicenses, to research, develop, make, have made, use, sell and import VAX-24. We also grant Lonza a non-exclusive right to use New Customer Intellectual Property during the term of the agreement solely for the purposes of fulling its obligations to us.</w:t>
      </w:r>
    </w:p>
    <w:p>
      <w:pPr>
        <w:spacing w:after="0" w:line="184" w:lineRule="exact"/>
        <w:rPr>
          <w:sz w:val="20"/>
          <w:szCs w:val="20"/>
          <w:color w:val="auto"/>
        </w:rPr>
      </w:pPr>
    </w:p>
    <w:p>
      <w:pPr>
        <w:jc w:val="both"/>
        <w:ind w:right="80" w:firstLine="1175"/>
        <w:spacing w:after="0" w:line="259" w:lineRule="auto"/>
        <w:rPr>
          <w:sz w:val="20"/>
          <w:szCs w:val="20"/>
          <w:color w:val="auto"/>
        </w:rPr>
      </w:pPr>
      <w:r>
        <w:rPr>
          <w:rFonts w:ascii="Arial" w:cs="Arial" w:eastAsia="Arial" w:hAnsi="Arial"/>
          <w:sz w:val="18"/>
          <w:szCs w:val="18"/>
          <w:color w:val="auto"/>
        </w:rPr>
        <w:t>We have the right, at our cost, to receive a technology transfer under each Lonza Agreement or have an approved third-party manufacturer receive a technology transfer of any manufacturing process developed by Lonza. For any technology transfer that includes transfer of Lonza’s Background Intellectual Property or Lonza Confidential Information (each as defined in the applicable Lonza agreement), we will be obligated to pay Lonza reasonable royalties and/or licensing fees.</w:t>
      </w:r>
    </w:p>
    <w:p>
      <w:pPr>
        <w:spacing w:after="0" w:line="187" w:lineRule="exact"/>
        <w:rPr>
          <w:sz w:val="20"/>
          <w:szCs w:val="20"/>
          <w:color w:val="auto"/>
        </w:rPr>
      </w:pPr>
    </w:p>
    <w:p>
      <w:pPr>
        <w:ind w:firstLine="1175"/>
        <w:spacing w:after="0" w:line="255" w:lineRule="auto"/>
        <w:rPr>
          <w:sz w:val="20"/>
          <w:szCs w:val="20"/>
          <w:color w:val="auto"/>
        </w:rPr>
      </w:pPr>
      <w:r>
        <w:rPr>
          <w:rFonts w:ascii="Arial" w:cs="Arial" w:eastAsia="Arial" w:hAnsi="Arial"/>
          <w:sz w:val="18"/>
          <w:szCs w:val="18"/>
          <w:color w:val="auto"/>
        </w:rPr>
        <w:t>Unless earlier terminated, each Lonza Agreement will remain in place for a period of five years. Either party has the right to terminate each Lonza Agreement upon a six-month notice period, provided that Lonza may not exercise such right until a specified future date. Either party has the right to terminate each Lonza Agreement if the other party commits a material breach under the applicable agreement and does not cure such breach within a given time period, for specified bankruptcy events or if a party receives a notice from the other party or otherwise becomes aware that a debarment, suspension, exclusion, sanction or declaration of ineligibility action has been brought against the other party, and we may terminate each Lonza Agreement for an extended force majeure event.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20" w:firstLine="1175"/>
        <w:spacing w:after="0" w:line="259" w:lineRule="auto"/>
        <w:rPr>
          <w:sz w:val="20"/>
          <w:szCs w:val="20"/>
          <w:color w:val="auto"/>
        </w:rPr>
      </w:pPr>
      <w:r>
        <w:rPr>
          <w:rFonts w:ascii="Arial" w:cs="Arial" w:eastAsia="Arial" w:hAnsi="Arial"/>
          <w:sz w:val="18"/>
          <w:szCs w:val="18"/>
          <w:color w:val="auto"/>
        </w:rPr>
        <w:t>The global vaccine market is highly concentrated among a small number of multinational pharmaceutical companies. Pfizer Inc., Merck, GlaxoSmithKline plc and Sanofi S.A. together control approximately 75% of the global vaccine market. Other pharmaceutical and biotechnology companies, academic institutions, governmental agencies and public and private research institutions are also working towards new solutions given the continuing global unmet need.</w:t>
      </w:r>
    </w:p>
    <w:p>
      <w:pPr>
        <w:spacing w:after="0" w:line="187" w:lineRule="exact"/>
        <w:rPr>
          <w:sz w:val="20"/>
          <w:szCs w:val="20"/>
          <w:color w:val="auto"/>
        </w:rPr>
      </w:pPr>
    </w:p>
    <w:p>
      <w:pPr>
        <w:ind w:right="60" w:firstLine="1175"/>
        <w:spacing w:after="0" w:line="287" w:lineRule="auto"/>
        <w:rPr>
          <w:sz w:val="20"/>
          <w:szCs w:val="20"/>
          <w:color w:val="auto"/>
        </w:rPr>
      </w:pPr>
      <w:r>
        <w:rPr>
          <w:rFonts w:ascii="Arial" w:cs="Arial" w:eastAsia="Arial" w:hAnsi="Arial"/>
          <w:sz w:val="16"/>
          <w:szCs w:val="16"/>
          <w:color w:val="auto"/>
        </w:rPr>
        <w:t>Within the current pneumococcal vaccine market, Pfizer, Merck and GlaxoSmithKline dominate, with Pfizer’s Prevnar 13, Merck’s Pneumovax 23 and GlaxoSmithKline’s Synflorix representing approximately 78%, 15% and 7%, respectively, of the 2020 global pneumococcal vaccine sales. While Prevnar 13 covers fewer pneumococcal strains than Pneumovax 23, it delivers a stronger and more durable immune response than Pneumovax</w:t>
      </w:r>
    </w:p>
    <w:p>
      <w:pPr>
        <w:spacing w:after="0" w:line="2" w:lineRule="exact"/>
        <w:rPr>
          <w:sz w:val="20"/>
          <w:szCs w:val="20"/>
          <w:color w:val="auto"/>
        </w:rPr>
      </w:pPr>
    </w:p>
    <w:p>
      <w:pPr>
        <w:ind w:right="200" w:firstLine="8"/>
        <w:spacing w:after="0" w:line="260" w:lineRule="auto"/>
        <w:tabs>
          <w:tab w:leader="none" w:pos="2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Prevnar 13 is the current standard of care in children and the first vaccine offered under the current standard of care in adults. If approved, we believe VAX-24 may obtain an ACIP preferred recommendation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potentially replace both incumbents for pneumococcal disease prevention in both adult and pediatric populations because of its broader coverage.</w:t>
      </w:r>
    </w:p>
    <w:p>
      <w:pPr>
        <w:spacing w:after="0" w:line="237" w:lineRule="exact"/>
        <w:rPr>
          <w:sz w:val="20"/>
          <w:szCs w:val="20"/>
          <w:color w:val="auto"/>
        </w:rPr>
      </w:pPr>
    </w:p>
    <w:p>
      <w:pPr>
        <w:ind w:firstLine="1175"/>
        <w:spacing w:after="0" w:line="287" w:lineRule="auto"/>
        <w:rPr>
          <w:sz w:val="20"/>
          <w:szCs w:val="20"/>
          <w:color w:val="auto"/>
        </w:rPr>
      </w:pPr>
      <w:r>
        <w:rPr>
          <w:rFonts w:ascii="Arial" w:cs="Arial" w:eastAsia="Arial" w:hAnsi="Arial"/>
          <w:sz w:val="16"/>
          <w:szCs w:val="16"/>
          <w:color w:val="auto"/>
        </w:rPr>
        <w:t>Existing vaccine makers, as well as new entrants, are competing to develop the next generation of pneumococcal vaccines. Both Pfizer and Merck have PCV candidates under development that could surpass the serotype coverage of Prevnar 13. Pfizer’s PF-06482077 is a 20-valent vaccine while Merck’s V114 is a 15-valent vaccine and each is in advanced development. In December 2020, Pfizer announced that the FDA accepted for priority review its Biologics License Application, or BLA, for PF-06482077 in adults with a Prescription Drug User Fee Act, or PDUFA, date in June 2021 and, in November 2020, Merck announced it had submitted its applications to the FDA with a PDUFA date in July 2021 and EMA for licensure of V114 in adults. Sanofi and SK Chemicals have partnered to develop a PCV. Separately, Affinivax and Astellas have partnered to develop an affinity-bound pneumococcal vaccine that includes 24 pneumococcal serotypes. We believe success will ultimately be based on the combination of immunogenicity, the broadest coverage of serotypes, safety and tolerability. Convenience and pricing may also be factors. Both Pfizer and Merck are in Phase 3 development, and Affinivax is in Phase 2 development, and may obtain FDA approval and commercially launch before VAX-24. However, if approved, we believe VAX-24 should compare favorably to these PCV candidates as a 24-valent alternative, based on our unique site-specific conjugation and carrier-sparing technology. We also believe VAX-XP has the potential to compete favorably in the PCV market based on its further expanded spectrum.</w:t>
      </w:r>
    </w:p>
    <w:p>
      <w:pPr>
        <w:spacing w:after="0" w:line="172" w:lineRule="exact"/>
        <w:rPr>
          <w:sz w:val="20"/>
          <w:szCs w:val="20"/>
          <w:color w:val="auto"/>
        </w:rPr>
      </w:pPr>
    </w:p>
    <w:p>
      <w:pPr>
        <w:ind w:right="20" w:firstLine="1175"/>
        <w:spacing w:after="0" w:line="254" w:lineRule="auto"/>
        <w:rPr>
          <w:sz w:val="20"/>
          <w:szCs w:val="20"/>
          <w:color w:val="auto"/>
        </w:rPr>
      </w:pPr>
      <w:r>
        <w:rPr>
          <w:rFonts w:ascii="Arial" w:cs="Arial" w:eastAsia="Arial" w:hAnsi="Arial"/>
          <w:sz w:val="18"/>
          <w:szCs w:val="18"/>
          <w:color w:val="auto"/>
        </w:rPr>
        <w:t>The competitive landscape for vaccine development for Group A Strep was dormant for more than three decades. However, the FDA lifted a 30-year ban on Group A Strep vaccine clinical trials in 2005, and research has slowly started to resurface in academic institutions. However, we are not aware of other Group A Strep vaccines in clinical development that would cover all strains of the bacteria. Additionally, we are not aware of any other vaccines under clinical development to treat periodontitis. We believe the success of our vaccine candidates in these areas will be based on potential efficacy, safety, tolerability, convenience and pricing. We are aware of some companies developing treatments for other diseases that target the same underlying pathogens that cause Group A Strep and periodontitis. For example, Cortexyme is developing an Alzheimer’s treatment that targets P. gingivalis.</w:t>
      </w:r>
    </w:p>
    <w:p>
      <w:pPr>
        <w:spacing w:after="0" w:line="195" w:lineRule="exact"/>
        <w:rPr>
          <w:sz w:val="20"/>
          <w:szCs w:val="20"/>
          <w:color w:val="auto"/>
        </w:rPr>
      </w:pPr>
    </w:p>
    <w:p>
      <w:pPr>
        <w:ind w:right="60" w:firstLine="1175"/>
        <w:spacing w:after="0" w:line="27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vaccines that are safer, more effective, more convenient, less expensive or with a more favorable label than VAX-24, VAX-XP or any other vaccine we may develop. Many of the companies against which we compete have significantly greater financial resources, and expertise in research and development, manufacturing, preclinical testing, conducting clinical trials, obtaining regulatory approvals and marketing approved drugs than we do.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640" w:firstLine="1175"/>
        <w:spacing w:after="0" w:line="277" w:lineRule="auto"/>
        <w:rPr>
          <w:sz w:val="20"/>
          <w:szCs w:val="20"/>
          <w:color w:val="auto"/>
        </w:rPr>
      </w:pPr>
      <w:r>
        <w:rPr>
          <w:rFonts w:ascii="Arial" w:cs="Arial" w:eastAsia="Arial" w:hAnsi="Arial"/>
          <w:sz w:val="18"/>
          <w:szCs w:val="18"/>
          <w:color w:val="auto"/>
        </w:rPr>
        <w:t>We have developed, and are continuing to develop, a comprehensive intellectual property portfolio related to vaccine applications, including manufacturing, formulation and process applications as well as protection for our specific vaccine candidates.</w:t>
      </w:r>
    </w:p>
    <w:p>
      <w:pPr>
        <w:spacing w:after="0" w:line="170" w:lineRule="exact"/>
        <w:rPr>
          <w:sz w:val="20"/>
          <w:szCs w:val="20"/>
          <w:color w:val="auto"/>
        </w:rPr>
      </w:pPr>
    </w:p>
    <w:p>
      <w:pPr>
        <w:ind w:right="20" w:firstLine="1175"/>
        <w:spacing w:after="0" w:line="272" w:lineRule="auto"/>
        <w:rPr>
          <w:sz w:val="20"/>
          <w:szCs w:val="20"/>
          <w:color w:val="auto"/>
        </w:rPr>
      </w:pPr>
      <w:r>
        <w:rPr>
          <w:rFonts w:ascii="Arial" w:cs="Arial" w:eastAsia="Arial" w:hAnsi="Arial"/>
          <w:sz w:val="17"/>
          <w:szCs w:val="17"/>
          <w:color w:val="auto"/>
        </w:rPr>
        <w:t>Our success depends in part on our ability to obtain and maintain proprietary protection for our vaccine candidates, technology and know-how, to operate without infringing the proprietary rights of others and to prevent others from infringing our proprietary rights. Our policy is to seek to protect our proprietary position by, among other methods, pursuing and obtaining patent protection in the United States and in jurisdictions outside of the United States related to our proprietary technology, inventions, improvements and vaccine candidates that are important to the development and implementation of our business. Our patent portfolio is intended to cover our vaccine candidates and components thereof, their methods of use and processes for their manufacture, our proprietary reagents and assays and any other inventions that are commercially important to our business. We also rely on trademarks, trade secrets and know-how to develop and maintain our proprietary position.</w:t>
      </w:r>
    </w:p>
    <w:p>
      <w:pPr>
        <w:spacing w:after="0" w:line="177" w:lineRule="exact"/>
        <w:rPr>
          <w:sz w:val="20"/>
          <w:szCs w:val="20"/>
          <w:color w:val="auto"/>
        </w:rPr>
      </w:pPr>
    </w:p>
    <w:p>
      <w:pPr>
        <w:jc w:val="both"/>
        <w:ind w:right="120" w:firstLine="1175"/>
        <w:spacing w:after="0" w:line="301" w:lineRule="auto"/>
        <w:rPr>
          <w:sz w:val="20"/>
          <w:szCs w:val="20"/>
          <w:color w:val="auto"/>
        </w:rPr>
      </w:pPr>
      <w:r>
        <w:rPr>
          <w:rFonts w:ascii="Arial" w:cs="Arial" w:eastAsia="Arial" w:hAnsi="Arial"/>
          <w:sz w:val="16"/>
          <w:szCs w:val="16"/>
          <w:color w:val="auto"/>
        </w:rPr>
        <w:t>Generally, issued patents are granted a term of 20 years from the earliest claimed non-provisional filing date. In certain instances, patent term can be adjusted to recapture a portion of delay by the U.S. Patent and Trademark Office, or USPTO, in examining the patent application or extended to account for term effectively lost as a result of the FDA regulatory review period, or both. In addition, we cannot provide any assurance that any patents will be issued from our pending or future applications or that any issued patents will adequately protect our vaccine candidates.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2" w:name="page33"/>
    <w:bookmarkEnd w:id="32"/>
    <w:p>
      <w:pPr>
        <w:ind w:right="60" w:firstLine="1175"/>
        <w:spacing w:after="0" w:line="270" w:lineRule="auto"/>
        <w:rPr>
          <w:sz w:val="20"/>
          <w:szCs w:val="20"/>
          <w:color w:val="auto"/>
        </w:rPr>
      </w:pPr>
      <w:r>
        <w:rPr>
          <w:rFonts w:ascii="Arial" w:cs="Arial" w:eastAsia="Arial" w:hAnsi="Arial"/>
          <w:sz w:val="17"/>
          <w:szCs w:val="17"/>
          <w:color w:val="auto"/>
        </w:rPr>
        <w:t>Our patent portfolio as of December 31, 2020 contains approximately one issued U.S. patent, three pending U.S. patent applications and five pending patent cooperation treaty applications that are solely owned by us, as well as certain foreign counterparts of a subset of these patent applications in foreign countries, including Australia, Brazil, Canada, China, India, Israel, Japan, South Korea, Taiwan, Mexico, New Zealand, the Philippines, Singapore, South Africa and countries within the European Patent Convention and the Eurasian Patent Organization. For our pneumococcal vaccines, these applications are directed to vaccine formulations, protein-antigen conjugates, methods of making protein-antigen conjugates and the promotion of immunogenicity using the protein-antigen conjugates and vaccines. For our periodontitis vaccine, these applications relate to vaccine formulations, protein antigens, and methods of using the vaccine. If issued, the 20-year term expiration dates of our patents will expire between 2037 and 2040, not including any extension of the patent term that may be available in certain jurisdictions. We continue to seek to maximize the scope of our patent protection for all our programs.</w:t>
      </w:r>
    </w:p>
    <w:p>
      <w:pPr>
        <w:spacing w:after="0" w:line="181" w:lineRule="exact"/>
        <w:rPr>
          <w:sz w:val="20"/>
          <w:szCs w:val="20"/>
          <w:color w:val="auto"/>
        </w:rPr>
      </w:pPr>
    </w:p>
    <w:p>
      <w:pPr>
        <w:ind w:firstLine="1175"/>
        <w:spacing w:after="0" w:line="287" w:lineRule="auto"/>
        <w:rPr>
          <w:sz w:val="20"/>
          <w:szCs w:val="20"/>
          <w:color w:val="auto"/>
        </w:rPr>
      </w:pPr>
      <w:r>
        <w:rPr>
          <w:rFonts w:ascii="Arial" w:cs="Arial" w:eastAsia="Arial" w:hAnsi="Arial"/>
          <w:sz w:val="16"/>
          <w:szCs w:val="16"/>
          <w:color w:val="auto"/>
        </w:rPr>
        <w:t>In addition to patents, we also rely upon trademarks, trade secrets, know-how and continuing technological innovation to develop and maintain our competitive position. We maintain and are seeking both registered and common law trademarks. Common law trademark protection typically continues where and for as long as the mark is used. Registered trademarks continue in each country for as long as the trademark is registered. We believe that we have certain know-how and trade secrets relating to our technology and vaccine candidates. We rely on trade secrets to protect certain aspects of our technology related to our current and future vaccine candidates. However, trade secrets can be difficult to protect. We seek to protect our proprietary information, including trade secrets, in part, by using confidentiality agreements with our commercial partners, collaborators, employees and consultants, and invention assignment agreements with our employees. We also have confidentiality agreements or invention assignment agreements with our commercial partners and selected consultants. These agreements may be breached, and we may not have adequate remedies for any breach. In addition, our trade secrets may otherwise become known or be independently discovered by competitors. We also seek to preserve the integrity and confidentiality of our data and trade secrets by maintaining the physical security of our premises and physical and electronic security of our information technology systems. To the extent that our commercial partners, collaborators, employees and consultants use intellectual property owned by others in their work for us, disputes may arise as to the rights in related or resulting know-how and inventions.</w:t>
      </w:r>
    </w:p>
    <w:p>
      <w:pPr>
        <w:spacing w:after="0" w:line="168" w:lineRule="exact"/>
        <w:rPr>
          <w:sz w:val="20"/>
          <w:szCs w:val="20"/>
          <w:color w:val="auto"/>
        </w:rPr>
      </w:pPr>
    </w:p>
    <w:p>
      <w:pPr>
        <w:ind w:right="300" w:firstLine="1175"/>
        <w:spacing w:after="0" w:line="301" w:lineRule="auto"/>
        <w:rPr>
          <w:sz w:val="20"/>
          <w:szCs w:val="20"/>
          <w:color w:val="auto"/>
        </w:rPr>
      </w:pPr>
      <w:r>
        <w:rPr>
          <w:rFonts w:ascii="Arial" w:cs="Arial" w:eastAsia="Arial" w:hAnsi="Arial"/>
          <w:sz w:val="16"/>
          <w:szCs w:val="16"/>
          <w:color w:val="auto"/>
        </w:rPr>
        <w:t>Obtaining patents does not guarantee our right to practice the patented technology or commercialize the patented product. Third parties may have or obtain rights to patents that could be used to prevent or attempt to prevent us from commercializing our vaccine candidates. If third parties prepare and file patent applications in the United States or other jurisdictions that also claim technology to which we have rights, we may have to participate in interference or derivation proceedings in the USPTO or similar proceedings in other jurisdictions to determine the priority of invention.</w:t>
      </w:r>
    </w:p>
    <w:p>
      <w:pPr>
        <w:spacing w:after="0" w:line="157"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Sutro Biopharma Agreements</w:t>
      </w:r>
    </w:p>
    <w:p>
      <w:pPr>
        <w:spacing w:after="0" w:line="225" w:lineRule="exact"/>
        <w:rPr>
          <w:sz w:val="20"/>
          <w:szCs w:val="20"/>
          <w:color w:val="auto"/>
        </w:rPr>
      </w:pPr>
    </w:p>
    <w:p>
      <w:pPr>
        <w:ind w:firstLine="1175"/>
        <w:spacing w:after="0" w:line="254" w:lineRule="auto"/>
        <w:rPr>
          <w:sz w:val="20"/>
          <w:szCs w:val="20"/>
          <w:color w:val="auto"/>
        </w:rPr>
      </w:pPr>
      <w:r>
        <w:rPr>
          <w:rFonts w:ascii="Arial" w:cs="Arial" w:eastAsia="Arial" w:hAnsi="Arial"/>
          <w:sz w:val="18"/>
          <w:szCs w:val="18"/>
          <w:color w:val="auto"/>
        </w:rPr>
        <w:t>Sutro Biopharma is a clinical stage, publicly-traded drug discovery, development and manufacturing company using precise protein engineering and rational design (enabled by Sutro Biopharma’s proprietary XpressCF platform technology) to advance next-generation oncology therapeutics. Following our corporate formation, Vaxcyte acquired an exclusive license to Sutro Biopharma’s proprietary cell-free protein synthesis platform, XpressCF, for the discovery, development and sale of vaccines for the treatment or prevention of infectious diseases, excluding cancer vaccines. Under a related supply agreement with Sutro Biopharma, we have an exclusive relationship in our field to buy extract and certain custom reagents for use in manufacturing the vaccine compositions covered by the exclusive license, which we use to produce our protein carriers and certain of our antigens. Sutro Biopharma will receive a 4% royalty on aggregate worldwide net sales of our vaccine products marketed for human health and a 2% royalty on such net sales of vaccines marketed for animal health.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Agreement with Sutro Biopharma</w:t>
      </w:r>
    </w:p>
    <w:p>
      <w:pPr>
        <w:spacing w:after="0" w:line="229" w:lineRule="exact"/>
        <w:rPr>
          <w:sz w:val="20"/>
          <w:szCs w:val="20"/>
          <w:color w:val="auto"/>
        </w:rPr>
      </w:pPr>
    </w:p>
    <w:p>
      <w:pPr>
        <w:ind w:right="100" w:firstLine="1175"/>
        <w:spacing w:after="0" w:line="277" w:lineRule="auto"/>
        <w:rPr>
          <w:sz w:val="20"/>
          <w:szCs w:val="20"/>
          <w:color w:val="auto"/>
        </w:rPr>
      </w:pPr>
      <w:r>
        <w:rPr>
          <w:rFonts w:ascii="Arial" w:cs="Arial" w:eastAsia="Arial" w:hAnsi="Arial"/>
          <w:sz w:val="18"/>
          <w:szCs w:val="18"/>
          <w:color w:val="auto"/>
        </w:rPr>
        <w:t>We are party to a license agreement with Sutro Biopharma, or the Sutro Biopharma License Agreement, which was originally entered into in October 2015.</w:t>
      </w:r>
    </w:p>
    <w:p>
      <w:pPr>
        <w:spacing w:after="0" w:line="170" w:lineRule="exact"/>
        <w:rPr>
          <w:sz w:val="20"/>
          <w:szCs w:val="20"/>
          <w:color w:val="auto"/>
        </w:rPr>
      </w:pPr>
    </w:p>
    <w:p>
      <w:pPr>
        <w:ind w:right="460" w:firstLine="1175"/>
        <w:spacing w:after="0" w:line="277" w:lineRule="auto"/>
        <w:rPr>
          <w:sz w:val="20"/>
          <w:szCs w:val="20"/>
          <w:color w:val="auto"/>
        </w:rPr>
      </w:pPr>
      <w:r>
        <w:rPr>
          <w:rFonts w:ascii="Arial" w:cs="Arial" w:eastAsia="Arial" w:hAnsi="Arial"/>
          <w:sz w:val="18"/>
          <w:szCs w:val="18"/>
          <w:color w:val="auto"/>
        </w:rPr>
        <w:t>Under that agreement, we received an exclusive, worldwide, royalty-bearing license under Sutro Biopharma’s patents and know-how relating to XpressCF to research, develop, use, sell, offer for sale, export,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3" w:name="page34"/>
    <w:bookmarkEnd w:id="33"/>
    <w:p>
      <w:pPr>
        <w:jc w:val="both"/>
        <w:ind w:right="200"/>
        <w:spacing w:after="0" w:line="286" w:lineRule="auto"/>
        <w:rPr>
          <w:sz w:val="20"/>
          <w:szCs w:val="20"/>
          <w:color w:val="auto"/>
        </w:rPr>
      </w:pPr>
      <w:r>
        <w:rPr>
          <w:rFonts w:ascii="Arial" w:cs="Arial" w:eastAsia="Arial" w:hAnsi="Arial"/>
          <w:sz w:val="17"/>
          <w:szCs w:val="17"/>
          <w:color w:val="auto"/>
        </w:rPr>
        <w:t>import and otherwise exploit vaccine compositions for the treatment and prophylaxis of infectious diseases, excluding cancer vaccines, such rights being sublicenseable, and to manufacture, or have manufactured by an approved contract manufacturing organization, such vaccine compositions from extracts supplied by Sutro Biopharma pursuant to the Sutro Biopharma Supply Agreement (as described below).</w:t>
      </w:r>
    </w:p>
    <w:p>
      <w:pPr>
        <w:spacing w:after="0" w:line="165" w:lineRule="exact"/>
        <w:rPr>
          <w:sz w:val="20"/>
          <w:szCs w:val="20"/>
          <w:color w:val="auto"/>
        </w:rPr>
      </w:pPr>
    </w:p>
    <w:p>
      <w:pPr>
        <w:ind w:firstLine="1175"/>
        <w:spacing w:after="0" w:line="287" w:lineRule="auto"/>
        <w:rPr>
          <w:sz w:val="20"/>
          <w:szCs w:val="20"/>
          <w:color w:val="auto"/>
        </w:rPr>
      </w:pPr>
      <w:r>
        <w:rPr>
          <w:rFonts w:ascii="Arial" w:cs="Arial" w:eastAsia="Arial" w:hAnsi="Arial"/>
          <w:sz w:val="16"/>
          <w:szCs w:val="16"/>
          <w:color w:val="auto"/>
        </w:rPr>
        <w:t>In consideration of the rights granted under the Sutro Biopharma License Agreement, we are obligated to pay Sutro Biopharma a 4% royalty on worldwide aggregate net sales of vaccine compositions for human health and a 2% royalty on net sales of vaccine compositions for animal health use. Such royalty rates are subject to specified reductions, including standard reductions for third-party payments and for expiration of relevant patent claims. We are also obligated to pay Sutro Biopharma any royalties due to Stanford University (the upstream licensor of Sutro Biopharma), to the extent the royalties payable by Sutro Biopharma to Stanford University are greater than the royalties payable by us to Sutro Biopharma. Royalties are payable on a vaccine composition-by-vaccine composition and country-by-country basis until the later of expiration of the last valid claim in the licensed patents covering such vaccine composition in such country and ten years after the first commercial sale of such vaccine composition. The latest expiration date of a licensed Sutro Biopharma patent application, if issued, would be 2036, subject to any adjustment or extension of patent term that may be available in a particular country. In addition, we are obligated to pay Sutro Biopharma a percentage of net sublicensing revenue received in the low teen percentages. In addition, in the event we sublicense our non-manufacturing rights under the Sutro Biopharma License Agreement before a specified date, we are obligated to pay Sutro Biopharma a percentage, in the low double-digits, of the sublicensing revenue we receive under such agreement.</w:t>
      </w:r>
    </w:p>
    <w:p>
      <w:pPr>
        <w:spacing w:after="0" w:line="172" w:lineRule="exact"/>
        <w:rPr>
          <w:sz w:val="20"/>
          <w:szCs w:val="20"/>
          <w:color w:val="auto"/>
        </w:rPr>
      </w:pPr>
    </w:p>
    <w:p>
      <w:pPr>
        <w:jc w:val="both"/>
        <w:ind w:right="100" w:firstLine="1175"/>
        <w:spacing w:after="0" w:line="263" w:lineRule="auto"/>
        <w:rPr>
          <w:sz w:val="20"/>
          <w:szCs w:val="20"/>
          <w:color w:val="auto"/>
        </w:rPr>
      </w:pPr>
      <w:r>
        <w:rPr>
          <w:rFonts w:ascii="Arial" w:cs="Arial" w:eastAsia="Arial" w:hAnsi="Arial"/>
          <w:sz w:val="18"/>
          <w:szCs w:val="18"/>
          <w:color w:val="auto"/>
        </w:rPr>
        <w:t>The Sutro Biopharma License Agreement will remain in effect until terminated. The agreement may be terminated by either party for the other party’s material breach uncured within 60 days’ notice, by us at will with 60 days’ notice, or by Sutro Biopharma if we challenge Sutro Biopharma’s patents or if we undergo a change of control with a specified competitor of Sutro Biopharma.</w:t>
      </w:r>
    </w:p>
    <w:p>
      <w:pPr>
        <w:spacing w:after="0" w:line="184" w:lineRule="exact"/>
        <w:rPr>
          <w:sz w:val="20"/>
          <w:szCs w:val="20"/>
          <w:color w:val="auto"/>
        </w:rPr>
      </w:pPr>
    </w:p>
    <w:p>
      <w:pPr>
        <w:ind w:right="180" w:firstLine="1175"/>
        <w:spacing w:after="0" w:line="277" w:lineRule="auto"/>
        <w:rPr>
          <w:sz w:val="20"/>
          <w:szCs w:val="20"/>
          <w:color w:val="auto"/>
        </w:rPr>
      </w:pPr>
      <w:r>
        <w:rPr>
          <w:rFonts w:ascii="Arial" w:cs="Arial" w:eastAsia="Arial" w:hAnsi="Arial"/>
          <w:sz w:val="18"/>
          <w:szCs w:val="18"/>
          <w:color w:val="auto"/>
        </w:rPr>
        <w:t>In connection with our formation and the entry into the Sutro License, we issued to Sutro Biopharma 1,778,304 shares of common stock, valued at a price per share of $0.002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Agreement with Sutro Biopharma</w:t>
      </w:r>
    </w:p>
    <w:p>
      <w:pPr>
        <w:spacing w:after="0" w:line="229" w:lineRule="exact"/>
        <w:rPr>
          <w:sz w:val="20"/>
          <w:szCs w:val="20"/>
          <w:color w:val="auto"/>
        </w:rPr>
      </w:pPr>
    </w:p>
    <w:p>
      <w:pPr>
        <w:ind w:firstLine="1175"/>
        <w:spacing w:after="0" w:line="259" w:lineRule="auto"/>
        <w:rPr>
          <w:sz w:val="20"/>
          <w:szCs w:val="20"/>
          <w:color w:val="auto"/>
        </w:rPr>
      </w:pPr>
      <w:r>
        <w:rPr>
          <w:rFonts w:ascii="Arial" w:cs="Arial" w:eastAsia="Arial" w:hAnsi="Arial"/>
          <w:sz w:val="18"/>
          <w:szCs w:val="18"/>
          <w:color w:val="auto"/>
        </w:rPr>
        <w:t>We are party to a supply agreement with Sutro Biopharma, or the Sutro Biopharma Supply Agreement, which is dated May 2018 and pursuant to which we purchase from Sutro Biopharma extract and custom reagents for use in manufacturing the non-clinical and Phase 1 and Phase 2 clinical supply of vaccine compositions utilizing the technology licensed under the Sutro License at prices not to exceed a specified percentage above Sutro Biopharma’s fully burdened manufacturing cost.</w:t>
      </w:r>
    </w:p>
    <w:p>
      <w:pPr>
        <w:spacing w:after="0" w:line="187" w:lineRule="exact"/>
        <w:rPr>
          <w:sz w:val="20"/>
          <w:szCs w:val="20"/>
          <w:color w:val="auto"/>
        </w:rPr>
      </w:pPr>
    </w:p>
    <w:p>
      <w:pPr>
        <w:ind w:firstLine="1175"/>
        <w:spacing w:after="0" w:line="273" w:lineRule="auto"/>
        <w:rPr>
          <w:sz w:val="20"/>
          <w:szCs w:val="20"/>
          <w:color w:val="auto"/>
        </w:rPr>
      </w:pPr>
      <w:r>
        <w:rPr>
          <w:rFonts w:ascii="Arial" w:cs="Arial" w:eastAsia="Arial" w:hAnsi="Arial"/>
          <w:sz w:val="17"/>
          <w:szCs w:val="17"/>
          <w:color w:val="auto"/>
        </w:rPr>
        <w:t>The Sutro Biopharma Supply Agreement will remain in effect until the later of July 31, 2021, or the date the parties enter into and commence activities under a separate agreement for the supply of extract and custom reagents for use in manufacturing vaccine compositions for Phase 3 and commercial purposes. In February 2021, we entered into an amendment to the Sutro Biopharma Supply Agreement to extend the term to July 31, 2022. The Sutro Biopharma Supply Agreement may be terminated by either party for the other party’s material breach uncured within 60 days’ notice, by us at will with 60 days’ notice, or by mutual agreement of the parties. In December 2019, we exercised our right to require Sutro Biopharma to establish a second supplier for extract and custom reagents to support our anticipated clinical and commercial needs.</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University of California, San Diego License Agreement</w:t>
      </w:r>
    </w:p>
    <w:p>
      <w:pPr>
        <w:spacing w:after="0" w:line="225" w:lineRule="exact"/>
        <w:rPr>
          <w:sz w:val="20"/>
          <w:szCs w:val="20"/>
          <w:color w:val="auto"/>
        </w:rPr>
      </w:pPr>
    </w:p>
    <w:p>
      <w:pPr>
        <w:ind w:right="100" w:firstLine="1175"/>
        <w:spacing w:after="0" w:line="263" w:lineRule="auto"/>
        <w:rPr>
          <w:sz w:val="20"/>
          <w:szCs w:val="20"/>
          <w:color w:val="auto"/>
        </w:rPr>
      </w:pPr>
      <w:r>
        <w:rPr>
          <w:rFonts w:ascii="Arial" w:cs="Arial" w:eastAsia="Arial" w:hAnsi="Arial"/>
          <w:sz w:val="18"/>
          <w:szCs w:val="18"/>
          <w:color w:val="auto"/>
        </w:rPr>
        <w:t>We are party to a license agreement with the University of California, San Diego, or the UCSD License, dated February 2019 whereby we are the exclusive licensee of a pending U.S. patent application related to a non-cross reactive Group A Strep carbohydrate antigen and methods of producing the antigen. We licensed this technology for the development of our Group A Strep vaccine candidate.</w:t>
      </w:r>
    </w:p>
    <w:p>
      <w:pPr>
        <w:spacing w:after="0" w:line="184" w:lineRule="exact"/>
        <w:rPr>
          <w:sz w:val="20"/>
          <w:szCs w:val="20"/>
          <w:color w:val="auto"/>
        </w:rPr>
      </w:pPr>
    </w:p>
    <w:p>
      <w:pPr>
        <w:ind w:right="120" w:firstLine="1175"/>
        <w:spacing w:after="0" w:line="277" w:lineRule="auto"/>
        <w:rPr>
          <w:sz w:val="20"/>
          <w:szCs w:val="20"/>
          <w:color w:val="auto"/>
        </w:rPr>
      </w:pPr>
      <w:r>
        <w:rPr>
          <w:rFonts w:ascii="Arial" w:cs="Arial" w:eastAsia="Arial" w:hAnsi="Arial"/>
          <w:sz w:val="18"/>
          <w:szCs w:val="18"/>
          <w:color w:val="auto"/>
        </w:rPr>
        <w:t>Upon execution of the UCSD License, we made an upfront payment of $10,000, and each year during the term we are obligated to pay an annual license maintenance fee in the single digit thousands. We are also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4" w:name="page35"/>
    <w:bookmarkEnd w:id="34"/>
    <w:p>
      <w:pPr>
        <w:ind w:right="120"/>
        <w:spacing w:after="0" w:line="275" w:lineRule="auto"/>
        <w:rPr>
          <w:sz w:val="20"/>
          <w:szCs w:val="20"/>
          <w:color w:val="auto"/>
        </w:rPr>
      </w:pPr>
      <w:r>
        <w:rPr>
          <w:rFonts w:ascii="Arial" w:cs="Arial" w:eastAsia="Arial" w:hAnsi="Arial"/>
          <w:sz w:val="17"/>
          <w:szCs w:val="17"/>
          <w:color w:val="auto"/>
        </w:rPr>
        <w:t>obligated to pay UCSD up to approximately $1 million in development and regulatory milestone payments for each licensed product under the agreement. Additionally, we are obligated to pay UCSD a fixed royalty on net sales of licensed products in the low single digits. Such royalty rate is subject standard reductions for third-party payments. Royalties are payable until expiration of the last licensed patent. Additionally, in the event we sublicense commercial rights under the UCSD License, we are obligated to pay UCSD a percentage of all sublicensing revenue received, excluding any earned royalties or reimbursements of research and development expenses, of 20% up to a maximum of $2.5 million.</w:t>
      </w:r>
    </w:p>
    <w:p>
      <w:pPr>
        <w:spacing w:after="0" w:line="176" w:lineRule="exact"/>
        <w:rPr>
          <w:sz w:val="20"/>
          <w:szCs w:val="20"/>
          <w:color w:val="auto"/>
        </w:rPr>
      </w:pPr>
    </w:p>
    <w:p>
      <w:pPr>
        <w:ind w:right="280" w:firstLine="1175"/>
        <w:spacing w:after="0" w:line="286" w:lineRule="auto"/>
        <w:rPr>
          <w:sz w:val="20"/>
          <w:szCs w:val="20"/>
          <w:color w:val="auto"/>
        </w:rPr>
      </w:pPr>
      <w:r>
        <w:rPr>
          <w:rFonts w:ascii="Arial" w:cs="Arial" w:eastAsia="Arial" w:hAnsi="Arial"/>
          <w:sz w:val="17"/>
          <w:szCs w:val="17"/>
          <w:color w:val="auto"/>
        </w:rPr>
        <w:t>We are obligated to use commercially reasonable efforts to diligently develop, manufacture and sell licensed products and to achieve specified research and clinical development milestone events. If we are unable to meet our diligence obligations and do not agree with UCSD to modify such obligations or do not cure such obligations, then UCSD may terminate the license or convert the license to non-exclusive.</w:t>
      </w:r>
    </w:p>
    <w:p>
      <w:pPr>
        <w:spacing w:after="0" w:line="165" w:lineRule="exact"/>
        <w:rPr>
          <w:sz w:val="20"/>
          <w:szCs w:val="20"/>
          <w:color w:val="auto"/>
        </w:rPr>
      </w:pPr>
    </w:p>
    <w:p>
      <w:pPr>
        <w:ind w:right="140" w:firstLine="1175"/>
        <w:spacing w:after="0" w:line="286" w:lineRule="auto"/>
        <w:rPr>
          <w:sz w:val="20"/>
          <w:szCs w:val="20"/>
          <w:color w:val="auto"/>
        </w:rPr>
      </w:pPr>
      <w:r>
        <w:rPr>
          <w:rFonts w:ascii="Arial" w:cs="Arial" w:eastAsia="Arial" w:hAnsi="Arial"/>
          <w:sz w:val="17"/>
          <w:szCs w:val="17"/>
          <w:color w:val="auto"/>
        </w:rPr>
        <w:t>The UCSD License will remain in effect until the expiration of the last licensed patent. The UCSD patent application, if issued, would expire in 2032, subject to any adjustment or extension of patent term that may be available in the United States. The UCSD License may be terminated by us at will with 90 days’ notice or by UCSD for our breach uncured within 90 days’ notice or if we challenge the licensed patents.</w:t>
      </w:r>
    </w:p>
    <w:p>
      <w:pPr>
        <w:spacing w:after="0" w:line="165"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Other Partners</w:t>
      </w:r>
    </w:p>
    <w:p>
      <w:pPr>
        <w:spacing w:after="0" w:line="225" w:lineRule="exact"/>
        <w:rPr>
          <w:sz w:val="20"/>
          <w:szCs w:val="20"/>
          <w:color w:val="auto"/>
        </w:rPr>
      </w:pPr>
    </w:p>
    <w:p>
      <w:pPr>
        <w:ind w:right="380" w:firstLine="1175"/>
        <w:spacing w:after="0" w:line="277" w:lineRule="auto"/>
        <w:rPr>
          <w:sz w:val="20"/>
          <w:szCs w:val="20"/>
          <w:color w:val="auto"/>
        </w:rPr>
      </w:pPr>
      <w:r>
        <w:rPr>
          <w:rFonts w:ascii="Arial" w:cs="Arial" w:eastAsia="Arial" w:hAnsi="Arial"/>
          <w:sz w:val="18"/>
          <w:szCs w:val="18"/>
          <w:color w:val="auto"/>
        </w:rPr>
        <w:t>In addition to those listed above, we seek to partner with various academic, governmental and public or private research institutions as needed to advance the discovery or development of our vaccine candidates.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29" w:lineRule="exact"/>
        <w:rPr>
          <w:sz w:val="20"/>
          <w:szCs w:val="20"/>
          <w:color w:val="auto"/>
        </w:rPr>
      </w:pPr>
    </w:p>
    <w:p>
      <w:pPr>
        <w:ind w:right="60" w:firstLine="1175"/>
        <w:spacing w:after="0" w:line="269" w:lineRule="auto"/>
        <w:rPr>
          <w:sz w:val="20"/>
          <w:szCs w:val="20"/>
          <w:color w:val="auto"/>
        </w:rPr>
      </w:pPr>
      <w:r>
        <w:rPr>
          <w:rFonts w:ascii="Arial" w:cs="Arial" w:eastAsia="Arial" w:hAnsi="Arial"/>
          <w:sz w:val="17"/>
          <w:szCs w:val="17"/>
          <w:color w:val="auto"/>
        </w:rPr>
        <w:t>Sales of our products in the United States will depend, in part, on the extent to which the costs of the products are covered by third-party payors, such as government health programs, commercial insurance and managed health care organizations. The process for determining whether a third-party payor will provide coverage for a pharmaceutical or biological product is typically separate from the process for setting the price of such a product or for establishing the reimbursement rate that the payor will pay for the product once coverage is approved. As a result, a third-party payor’s decision to provide coverage for a pharmaceutical or biological product does not imply that the reimbursement rate will be adequate. Certain ACA marketplace and other private payor plans are required to include coverage for certain preventative services, including vaccinations recommended by the ACIP without cost share obligations (i.e., co-payments, deductibles or co-insurance) for plan members. Children through 18 years of age without other health insurance coverage may be eligible to receive such vaccinations free-of-charge through the CDC’s Vaccines for Children program. For Medicare beneficiaries, vaccines may be covered under either the Part B program or Part D depending on several criteria, including the type of vaccine and the beneficiary’s coverage eligibility. If our vaccine candidates, once approved, are covered only under the Part D program, physicians may be less willing to use our products because of the claims adjudication costs and time related to the claims adjudication process and collection of co-payments associated with the Part D program.</w:t>
      </w:r>
    </w:p>
    <w:p>
      <w:pPr>
        <w:spacing w:after="0" w:line="179" w:lineRule="exact"/>
        <w:rPr>
          <w:sz w:val="20"/>
          <w:szCs w:val="20"/>
          <w:color w:val="auto"/>
        </w:rPr>
      </w:pPr>
    </w:p>
    <w:p>
      <w:pPr>
        <w:ind w:firstLine="1175"/>
        <w:spacing w:after="0" w:line="257" w:lineRule="auto"/>
        <w:rPr>
          <w:sz w:val="20"/>
          <w:szCs w:val="20"/>
          <w:color w:val="auto"/>
        </w:rPr>
      </w:pPr>
      <w:r>
        <w:rPr>
          <w:rFonts w:ascii="Arial" w:cs="Arial" w:eastAsia="Arial" w:hAnsi="Arial"/>
          <w:sz w:val="18"/>
          <w:szCs w:val="18"/>
          <w:color w:val="auto"/>
        </w:rPr>
        <w:t>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such, one third-party payor’s decision to cover a particular medical product or service does not ensure that other payors will also provide coverage for the medical product or service or will provide coverage at an adequate reimbursement 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220" w:firstLine="1175"/>
        <w:spacing w:after="0" w:line="311" w:lineRule="auto"/>
        <w:rPr>
          <w:sz w:val="20"/>
          <w:szCs w:val="20"/>
          <w:color w:val="auto"/>
        </w:rPr>
      </w:pPr>
      <w:r>
        <w:rPr>
          <w:rFonts w:ascii="Arial" w:cs="Arial" w:eastAsia="Arial" w:hAnsi="Arial"/>
          <w:sz w:val="16"/>
          <w:szCs w:val="16"/>
          <w:color w:val="auto"/>
        </w:rPr>
        <w:t>Government authorities in the United States, at the federal, state and local level, and other countries extensively regulate, among other things, the research, development, testing, safety, effectiveness, manufacture, quality control, approval, post-approval monitoring and reporting, labeling, packaging, storage, record-keeping, promotion, advertising, distribution, marketing and export and import of products such as those we are developing.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A new biological product must be licensed by the FDA through the approval of a BLA, before it may be legally marketed in the United States.</w:t>
      </w:r>
    </w:p>
    <w:p>
      <w:pPr>
        <w:spacing w:after="0" w:line="225" w:lineRule="exact"/>
        <w:rPr>
          <w:sz w:val="20"/>
          <w:szCs w:val="20"/>
          <w:color w:val="auto"/>
        </w:rPr>
      </w:pPr>
    </w:p>
    <w:p>
      <w:pPr>
        <w:jc w:val="both"/>
        <w:ind w:right="240" w:firstLine="1175"/>
        <w:spacing w:after="0" w:line="263" w:lineRule="auto"/>
        <w:rPr>
          <w:sz w:val="20"/>
          <w:szCs w:val="20"/>
          <w:color w:val="auto"/>
        </w:rPr>
      </w:pPr>
      <w:r>
        <w:rPr>
          <w:rFonts w:ascii="Arial" w:cs="Arial" w:eastAsia="Arial" w:hAnsi="Arial"/>
          <w:sz w:val="18"/>
          <w:szCs w:val="18"/>
          <w:color w:val="auto"/>
        </w:rPr>
        <w:t>In the United States, pharmaceutical products are regulated by the FDA under the Federal Food, Drug and Cosmetic Act and other laws, including, in the case of biologics, the Public Health Service Act, or PHS Act. We expect our products to be regulated by the FDA as biologics and to be reviewed by the FDA’s Center for Biologics Evaluation and Research.</w:t>
      </w:r>
    </w:p>
    <w:p>
      <w:pPr>
        <w:spacing w:after="0" w:line="184" w:lineRule="exact"/>
        <w:rPr>
          <w:sz w:val="20"/>
          <w:szCs w:val="20"/>
          <w:color w:val="auto"/>
        </w:rPr>
      </w:pPr>
    </w:p>
    <w:p>
      <w:pPr>
        <w:ind w:right="120" w:firstLine="1175"/>
        <w:spacing w:after="0" w:line="259" w:lineRule="auto"/>
        <w:rPr>
          <w:sz w:val="20"/>
          <w:szCs w:val="20"/>
          <w:color w:val="auto"/>
        </w:rPr>
      </w:pPr>
      <w:r>
        <w:rPr>
          <w:rFonts w:ascii="Arial" w:cs="Arial" w:eastAsia="Arial" w:hAnsi="Arial"/>
          <w:sz w:val="18"/>
          <w:szCs w:val="18"/>
          <w:color w:val="auto"/>
        </w:rPr>
        <w:t>We anticipate our vaccine candidates will require the submission of a BLA and approval by the FDA before being marketed in the United States. Failure to comply with FDA requirements, both before and after product approval, may subject us or our partners, contract manufacturers and suppliers to administrative or judicial sanctions, including FDA refusal to approve applications, warning letters, product recalls, product seizures, total or partial suspension of production or distribution, fines and/or criminal prosecution.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steps required before a biologic may be approved for marketing of an indication in the United States generally include:</w:t>
      </w:r>
    </w:p>
    <w:p>
      <w:pPr>
        <w:spacing w:after="0" w:line="225" w:lineRule="exact"/>
        <w:rPr>
          <w:sz w:val="20"/>
          <w:szCs w:val="20"/>
          <w:color w:val="auto"/>
        </w:rPr>
      </w:pPr>
    </w:p>
    <w:p>
      <w:pPr>
        <w:ind w:left="1620" w:right="660" w:hanging="438"/>
        <w:spacing w:after="0" w:line="277"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formulation studies conducted in accordance with good laboratory practices and other applicable regulations;</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to the FDA of an IND application, which must be active before human clinical trial commencement;</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approval by an institutional review board, or IRB, or ethics committee at each clinical site before a clinical trial is commenced;</w:t>
      </w:r>
    </w:p>
    <w:p>
      <w:pPr>
        <w:spacing w:after="0" w:line="263" w:lineRule="exact"/>
        <w:rPr>
          <w:rFonts w:ascii="Arial" w:cs="Arial" w:eastAsia="Arial" w:hAnsi="Arial"/>
          <w:sz w:val="17"/>
          <w:szCs w:val="17"/>
          <w:color w:val="auto"/>
        </w:rPr>
      </w:pPr>
    </w:p>
    <w:p>
      <w:pPr>
        <w:jc w:val="both"/>
        <w:ind w:left="1620" w:right="120" w:hanging="438"/>
        <w:spacing w:after="0" w:line="263"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completion of adequate and well-controlled human clinical trials in accordance with good clinical practice, or GCP, requirements to establish that the biological product is “safe, pure and potent,” which is analogous to the safety and efficacy approval standard for a chemical drug product for its intended use;</w:t>
      </w:r>
    </w:p>
    <w:p>
      <w:pPr>
        <w:spacing w:after="0" w:line="183" w:lineRule="exact"/>
        <w:rPr>
          <w:rFonts w:ascii="Arial" w:cs="Arial" w:eastAsia="Arial" w:hAnsi="Arial"/>
          <w:sz w:val="18"/>
          <w:szCs w:val="18"/>
          <w:color w:val="auto"/>
        </w:rPr>
      </w:pPr>
    </w:p>
    <w:p>
      <w:pPr>
        <w:ind w:left="1620" w:right="360" w:hanging="438"/>
        <w:spacing w:after="0" w:line="277"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preparation and submission to the FDA of a BLA for marketing approval that includes substantive evidence of safety, purity and potency from results of nonclinical testing and clinical trials;</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52" w:lineRule="exact"/>
        <w:rPr>
          <w:rFonts w:ascii="Arial" w:cs="Arial" w:eastAsia="Arial" w:hAnsi="Arial"/>
          <w:sz w:val="18"/>
          <w:szCs w:val="18"/>
          <w:color w:val="auto"/>
        </w:rPr>
      </w:pPr>
    </w:p>
    <w:p>
      <w:pPr>
        <w:ind w:left="1620" w:hanging="438"/>
        <w:spacing w:after="0" w:line="263"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product is produced to assess compliance with applicable current good manufacturing practices, or cGMPs, to assure that the facilities, methods and controls are adequate to preserve the products identify, strength, quality and purity;</w:t>
      </w:r>
    </w:p>
    <w:p>
      <w:pPr>
        <w:spacing w:after="0" w:line="183" w:lineRule="exact"/>
        <w:rPr>
          <w:rFonts w:ascii="Arial" w:cs="Arial" w:eastAsia="Arial" w:hAnsi="Arial"/>
          <w:sz w:val="18"/>
          <w:szCs w:val="18"/>
          <w:color w:val="auto"/>
        </w:rPr>
      </w:pPr>
    </w:p>
    <w:p>
      <w:pPr>
        <w:ind w:left="1620" w:hanging="438"/>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trial sites that generated the data in support of the BLA; and</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FDA review of the BLA and issuance of a biologics license, which is the approval necessary to market a vaccine.</w:t>
      </w:r>
    </w:p>
    <w:p>
      <w:pPr>
        <w:spacing w:after="0" w:line="252" w:lineRule="exact"/>
        <w:rPr>
          <w:sz w:val="20"/>
          <w:szCs w:val="20"/>
          <w:color w:val="auto"/>
        </w:rPr>
      </w:pPr>
    </w:p>
    <w:p>
      <w:pPr>
        <w:ind w:right="320" w:firstLine="1175"/>
        <w:spacing w:after="0" w:line="263" w:lineRule="auto"/>
        <w:rPr>
          <w:sz w:val="20"/>
          <w:szCs w:val="20"/>
          <w:color w:val="auto"/>
        </w:rPr>
      </w:pPr>
      <w:r>
        <w:rPr>
          <w:rFonts w:ascii="Arial" w:cs="Arial" w:eastAsia="Arial" w:hAnsi="Arial"/>
          <w:sz w:val="18"/>
          <w:szCs w:val="18"/>
          <w:color w:val="auto"/>
        </w:rPr>
        <w:t>Before conducting studies in humans, laboratory evaluation of product chemistry, toxicity and formulation, as well as animal studies to assess the potential safety and efficacy of the biologic candidate, must be conducted. Preclinical toxicology studies in animals must be conducted in compliance with FDA regulations.</w:t>
      </w:r>
    </w:p>
    <w:p>
      <w:pPr>
        <w:spacing w:after="0" w:line="184" w:lineRule="exact"/>
        <w:rPr>
          <w:sz w:val="20"/>
          <w:szCs w:val="20"/>
          <w:color w:val="auto"/>
        </w:rPr>
      </w:pPr>
    </w:p>
    <w:p>
      <w:pPr>
        <w:jc w:val="both"/>
        <w:ind w:firstLine="1175"/>
        <w:spacing w:after="0" w:line="263" w:lineRule="auto"/>
        <w:rPr>
          <w:sz w:val="20"/>
          <w:szCs w:val="20"/>
          <w:color w:val="auto"/>
        </w:rPr>
      </w:pPr>
      <w:r>
        <w:rPr>
          <w:rFonts w:ascii="Arial" w:cs="Arial" w:eastAsia="Arial" w:hAnsi="Arial"/>
          <w:sz w:val="18"/>
          <w:szCs w:val="18"/>
          <w:color w:val="auto"/>
        </w:rPr>
        <w:t>The results of the preclinical tests, together with manufacturing information, known as CMC, and analytical data, are submitted to the FDA as part of an IND application. Some preclinical testing may continue even after the IND application is submitted. In addition to including the results of the preclinical testing, the IND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ind w:right="80"/>
        <w:spacing w:after="0" w:line="273" w:lineRule="auto"/>
        <w:rPr>
          <w:sz w:val="20"/>
          <w:szCs w:val="20"/>
          <w:color w:val="auto"/>
        </w:rPr>
      </w:pPr>
      <w:r>
        <w:rPr>
          <w:rFonts w:ascii="Arial" w:cs="Arial" w:eastAsia="Arial" w:hAnsi="Arial"/>
          <w:sz w:val="17"/>
          <w:szCs w:val="17"/>
          <w:color w:val="auto"/>
        </w:rPr>
        <w:t>application will also include a protocol detailing, among other things, the objectives of the clinical trial, the parameters to be used in monitoring safety and the effectiveness criteria to be evaluated if the first phase or phases of the clinical trial lend themselves to an efficacy determination. The IND application will automatically become effective 30 days after receipt by the FDA unless the FDA within the 30-day time period places the IND application on clinical hold because of safety concerns about the vaccine candidate or the conduct of the trial described in the clinical protocol included in the IND application. The IND application sponsor and the FDA must resolve any outstanding concerns before clinical trials can begin. Submission of an IND application therefore may or may not result in FDA authorization to begin a clinical trial.</w:t>
      </w:r>
    </w:p>
    <w:p>
      <w:pPr>
        <w:spacing w:after="0" w:line="178" w:lineRule="exact"/>
        <w:rPr>
          <w:sz w:val="20"/>
          <w:szCs w:val="20"/>
          <w:color w:val="auto"/>
        </w:rPr>
      </w:pPr>
    </w:p>
    <w:p>
      <w:pPr>
        <w:ind w:firstLine="1175"/>
        <w:spacing w:after="0" w:line="269" w:lineRule="auto"/>
        <w:rPr>
          <w:sz w:val="20"/>
          <w:szCs w:val="20"/>
          <w:color w:val="auto"/>
        </w:rPr>
      </w:pPr>
      <w:r>
        <w:rPr>
          <w:rFonts w:ascii="Arial" w:cs="Arial" w:eastAsia="Arial" w:hAnsi="Arial"/>
          <w:sz w:val="17"/>
          <w:szCs w:val="17"/>
          <w:color w:val="auto"/>
        </w:rPr>
        <w:t>All clinical trials for new drugs and biologics must be conducted under the supervision of one or more qualified principal investigators in accordance with GCPs, which include the requirement that all research subjects provide their informed consent for their participation in any clinical trial. They must be conducted under protocols detailing, among other things, the objectives of the applicable phase of the trial, dosing procedures, research subject selection, exclusion criteria and the safety and effectiveness criteria to be evaluated. Each protocol must be submitted to the FDA as part of the IND application, and progress reports detailing the status of the clinical trials must be submitted to the FDA annually. Sponsors must also report to the FDA within specified timeframes, serious and unexpected adverse reactions, any clinically significant increase in the rate of a serious suspected adverse reaction over that listed in the protocol or investigator’s brochure or any findings from other studies or animal or in vitro testing that suggest a significant risk in humans exposed to the vaccine candidate. An IRB at each institution participating in the clinical trial must review and approve the protocol before a clinical trial commences at that institution, approve the information regarding the trial and the consent form that must be provided to each research subject or the subject’s legal representative and monitor the trial until completed.</w:t>
      </w:r>
    </w:p>
    <w:p>
      <w:pPr>
        <w:spacing w:after="0" w:line="185" w:lineRule="exact"/>
        <w:rPr>
          <w:sz w:val="20"/>
          <w:szCs w:val="20"/>
          <w:color w:val="auto"/>
        </w:rPr>
      </w:pPr>
    </w:p>
    <w:p>
      <w:pPr>
        <w:ind w:right="160" w:firstLine="1175"/>
        <w:spacing w:after="0" w:line="277" w:lineRule="auto"/>
        <w:rPr>
          <w:sz w:val="20"/>
          <w:szCs w:val="20"/>
          <w:color w:val="auto"/>
        </w:rPr>
      </w:pPr>
      <w:r>
        <w:rPr>
          <w:rFonts w:ascii="Arial" w:cs="Arial" w:eastAsia="Arial" w:hAnsi="Arial"/>
          <w:sz w:val="18"/>
          <w:szCs w:val="18"/>
          <w:color w:val="auto"/>
        </w:rPr>
        <w:t>Clinical trials are typically conducted in three sequential phases, but the phases may overlap, and different trials may be initiated with the same vaccine candidate within the same phase of development in similar or differing patient populations.</w:t>
      </w:r>
    </w:p>
    <w:p>
      <w:pPr>
        <w:spacing w:after="0" w:line="170" w:lineRule="exact"/>
        <w:rPr>
          <w:sz w:val="20"/>
          <w:szCs w:val="20"/>
          <w:color w:val="auto"/>
        </w:rPr>
      </w:pPr>
    </w:p>
    <w:p>
      <w:pPr>
        <w:ind w:left="1620" w:right="700" w:hanging="438"/>
        <w:spacing w:after="0" w:line="277"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may be conducted in a limited number of patients or healthy volunteers, as appropriate. The vaccine</w:t>
      </w:r>
      <w:r>
        <w:rPr>
          <w:rFonts w:ascii="Arial" w:cs="Arial" w:eastAsia="Arial" w:hAnsi="Arial"/>
          <w:sz w:val="18"/>
          <w:szCs w:val="18"/>
          <w:i w:val="1"/>
          <w:iCs w:val="1"/>
          <w:color w:val="auto"/>
        </w:rPr>
        <w:t xml:space="preserve"> </w:t>
      </w:r>
      <w:r>
        <w:rPr>
          <w:rFonts w:ascii="Arial" w:cs="Arial" w:eastAsia="Arial" w:hAnsi="Arial"/>
          <w:sz w:val="18"/>
          <w:szCs w:val="18"/>
          <w:color w:val="auto"/>
        </w:rPr>
        <w:t>candidate is initially tested for safety and immunogenicity.</w:t>
      </w:r>
    </w:p>
    <w:p>
      <w:pPr>
        <w:spacing w:after="0" w:line="170" w:lineRule="exact"/>
        <w:rPr>
          <w:rFonts w:ascii="Arial" w:cs="Arial" w:eastAsia="Arial" w:hAnsi="Arial"/>
          <w:sz w:val="18"/>
          <w:szCs w:val="18"/>
          <w:color w:val="auto"/>
        </w:rPr>
      </w:pPr>
    </w:p>
    <w:p>
      <w:pPr>
        <w:jc w:val="both"/>
        <w:ind w:left="1620" w:right="280" w:hanging="438"/>
        <w:spacing w:after="0" w:line="263"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vaccine candidate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183" w:lineRule="exact"/>
        <w:rPr>
          <w:rFonts w:ascii="Arial" w:cs="Arial" w:eastAsia="Arial" w:hAnsi="Arial"/>
          <w:sz w:val="18"/>
          <w:szCs w:val="18"/>
          <w:color w:val="auto"/>
        </w:rPr>
      </w:pPr>
    </w:p>
    <w:p>
      <w:pPr>
        <w:ind w:left="1620" w:right="20" w:hanging="438"/>
        <w:spacing w:after="0" w:line="263"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trials are undertaken to further evaluate dosage, clinical efficacy, potency and safety in an expanded patient</w:t>
      </w:r>
      <w:r>
        <w:rPr>
          <w:rFonts w:ascii="Arial" w:cs="Arial" w:eastAsia="Arial" w:hAnsi="Arial"/>
          <w:sz w:val="18"/>
          <w:szCs w:val="18"/>
          <w:i w:val="1"/>
          <w:iCs w:val="1"/>
          <w:color w:val="auto"/>
        </w:rPr>
        <w:t xml:space="preserve"> </w:t>
      </w:r>
      <w:r>
        <w:rPr>
          <w:rFonts w:ascii="Arial" w:cs="Arial" w:eastAsia="Arial" w:hAnsi="Arial"/>
          <w:sz w:val="18"/>
          <w:szCs w:val="18"/>
          <w:color w:val="auto"/>
        </w:rPr>
        <w:t>population at geographically dispersed clinical trial sites. These clinical trials are intended to establish the overall risk/benefit ratio of the product and provide an adequate basis for product labeling.</w:t>
      </w:r>
    </w:p>
    <w:p>
      <w:pPr>
        <w:spacing w:after="0" w:line="184" w:lineRule="exact"/>
        <w:rPr>
          <w:sz w:val="20"/>
          <w:szCs w:val="20"/>
          <w:color w:val="auto"/>
        </w:rPr>
      </w:pPr>
    </w:p>
    <w:p>
      <w:pPr>
        <w:ind w:right="40" w:firstLine="1175"/>
        <w:spacing w:after="0" w:line="286"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so-called Phase 4 studies may also be made a condition to approval of the BLA. These clinical trials are used to gain additional experience from the treatment of patients in the intended therapeutic indication, particularly for long-term safety follow-up.</w:t>
      </w:r>
    </w:p>
    <w:p>
      <w:pPr>
        <w:spacing w:after="0" w:line="165" w:lineRule="exact"/>
        <w:rPr>
          <w:sz w:val="20"/>
          <w:szCs w:val="20"/>
          <w:color w:val="auto"/>
        </w:rPr>
      </w:pPr>
    </w:p>
    <w:p>
      <w:pPr>
        <w:ind w:right="60" w:firstLine="1175"/>
        <w:spacing w:after="0" w:line="270"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application safety reports must be promptly submitted to the FDA and the investigators for serious and unexpected adverse events, any findings from other studies, tests in laboratory animals or in vitro testing that suggest a significant risk for human subjects or any clinically relevant increase in the rate of a serious suspected adverse reaction over that listed in the protocol or investigator brochure. The sponsor must submit an IND application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7" w:name="page38"/>
    <w:bookmarkEnd w:id="37"/>
    <w:p>
      <w:pPr>
        <w:ind w:right="60"/>
        <w:spacing w:after="0" w:line="263" w:lineRule="auto"/>
        <w:rPr>
          <w:sz w:val="20"/>
          <w:szCs w:val="20"/>
          <w:color w:val="auto"/>
        </w:rPr>
      </w:pPr>
      <w:r>
        <w:rPr>
          <w:rFonts w:ascii="Arial" w:cs="Arial" w:eastAsia="Arial" w:hAnsi="Arial"/>
          <w:sz w:val="18"/>
          <w:szCs w:val="18"/>
          <w:color w:val="auto"/>
        </w:rPr>
        <w:t>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84" w:lineRule="exact"/>
        <w:rPr>
          <w:sz w:val="20"/>
          <w:szCs w:val="20"/>
          <w:color w:val="auto"/>
        </w:rPr>
      </w:pPr>
    </w:p>
    <w:p>
      <w:pPr>
        <w:ind w:firstLine="1175"/>
        <w:spacing w:after="0" w:line="285" w:lineRule="auto"/>
        <w:rPr>
          <w:sz w:val="20"/>
          <w:szCs w:val="20"/>
          <w:color w:val="auto"/>
        </w:rPr>
      </w:pPr>
      <w:r>
        <w:rPr>
          <w:rFonts w:ascii="Arial" w:cs="Arial" w:eastAsia="Arial" w:hAnsi="Arial"/>
          <w:sz w:val="16"/>
          <w:szCs w:val="16"/>
          <w:color w:val="auto"/>
        </w:rPr>
        <w:t>Assuming successful completion of all required testing in accordance with applicable regulatory requirements, the results of the preclinical studies and clinical trials, together with other detailed information, including information on the manufacture and composition of the vaccine candidate, are submitted to the FDA as part of a BLA requesting approval to market the vaccine candidate for a proposed indication or indications. The BLA must include all relevant data available from preclinical and clinical trials, including negative or ambiguous results as well as positive findings, together with detailed information relating to the product’s CMC and proposed labeling, among other things. Under the Prescription Drug User Fee Act, the fees payable to the FDA for reviewing a BLA, as well as annual program user fees for approved products, can be substantial but are subject to certain limited deferrals, waivers and reductions that may be available. Additionally, no user fees are assessed on BLAs for products designated as orphan drugs, unless the product also includes a non-orphan indication. Each BLA submitted to the FDA for approval is reviewed for administrative completeness and reviewability within 60 days following receipt by the FDA of the application. If the BLA is found complete, the FDA will file the BLA, triggering a full review of the application. The FDA may refuse to file any BLA that it deems incomplete or not properly reviewable at the time of submission. The FDA’s established goal is to review 90% of priority BLAs within six months after the application is accepted for filing and 90% of standard BLAs within 10 months of the acceptance date, whereupon a review decision is to be made. Priority review will direct overall attention and resources to the evaluation of applications for products that, if approved, would be significant improvements in the safety or effectiveness of the treatment, diagnosis or prevention of serious conditions.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also convene an advisory committee to provide clinical insight on application review questions. The FDA is not bound by recommendations of an advisory committee, but it considers such recommendations when making decisions regarding approval.</w:t>
      </w:r>
    </w:p>
    <w:p>
      <w:pPr>
        <w:spacing w:after="0" w:line="390" w:lineRule="exact"/>
        <w:rPr>
          <w:sz w:val="20"/>
          <w:szCs w:val="20"/>
          <w:color w:val="auto"/>
        </w:rPr>
      </w:pPr>
    </w:p>
    <w:p>
      <w:pPr>
        <w:ind w:right="60" w:firstLine="1175"/>
        <w:spacing w:after="0" w:line="273" w:lineRule="auto"/>
        <w:rPr>
          <w:sz w:val="20"/>
          <w:szCs w:val="20"/>
          <w:color w:val="auto"/>
        </w:rPr>
      </w:pPr>
      <w:r>
        <w:rPr>
          <w:rFonts w:ascii="Arial" w:cs="Arial" w:eastAsia="Arial" w:hAnsi="Arial"/>
          <w:sz w:val="17"/>
          <w:szCs w:val="17"/>
          <w:color w:val="auto"/>
        </w:rPr>
        <w:t>Before approving a BLA,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8" w:lineRule="exact"/>
        <w:rPr>
          <w:sz w:val="20"/>
          <w:szCs w:val="20"/>
          <w:color w:val="auto"/>
        </w:rPr>
      </w:pPr>
    </w:p>
    <w:p>
      <w:pPr>
        <w:ind w:firstLine="1175"/>
        <w:spacing w:after="0" w:line="290" w:lineRule="auto"/>
        <w:rPr>
          <w:sz w:val="20"/>
          <w:szCs w:val="20"/>
          <w:color w:val="auto"/>
        </w:rPr>
      </w:pPr>
      <w:r>
        <w:rPr>
          <w:rFonts w:ascii="Arial" w:cs="Arial" w:eastAsia="Arial" w:hAnsi="Arial"/>
          <w:sz w:val="16"/>
          <w:szCs w:val="16"/>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the safety or efficacy of a product.</w:t>
      </w:r>
    </w:p>
    <w:p>
      <w:pPr>
        <w:spacing w:after="0" w:line="165" w:lineRule="exact"/>
        <w:rPr>
          <w:sz w:val="20"/>
          <w:szCs w:val="20"/>
          <w:color w:val="auto"/>
        </w:rPr>
      </w:pPr>
    </w:p>
    <w:p>
      <w:pPr>
        <w:ind w:right="120" w:firstLine="1175"/>
        <w:spacing w:after="0" w:line="279" w:lineRule="auto"/>
        <w:rPr>
          <w:sz w:val="20"/>
          <w:szCs w:val="20"/>
          <w:color w:val="auto"/>
        </w:rPr>
      </w:pPr>
      <w:r>
        <w:rPr>
          <w:rFonts w:ascii="Arial" w:cs="Arial" w:eastAsia="Arial" w:hAnsi="Arial"/>
          <w:sz w:val="17"/>
          <w:szCs w:val="17"/>
          <w:color w:val="auto"/>
        </w:rPr>
        <w:t>If a product is approved, the approval may impose limitations on the uses for which the product may be marketed, may require that warning statements be included in the product labeling, may require that additional studies be conducted following approval as a condition of the approval and may impose restrictions and conditions on product distribution, prescribing or dispensing in the form of a Risk Evaluation and Mitigation Strategy, or REMS, or otherwise limit the scope of any approval. A REMS is a safety strategy to manage a known or potential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ind w:right="80"/>
        <w:spacing w:after="0" w:line="289" w:lineRule="auto"/>
        <w:rPr>
          <w:sz w:val="20"/>
          <w:szCs w:val="20"/>
          <w:color w:val="auto"/>
        </w:rPr>
      </w:pPr>
      <w:r>
        <w:rPr>
          <w:rFonts w:ascii="Arial" w:cs="Arial" w:eastAsia="Arial" w:hAnsi="Arial"/>
          <w:sz w:val="16"/>
          <w:szCs w:val="16"/>
          <w:color w:val="auto"/>
        </w:rPr>
        <w:t>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In most cases, the FDA must approve a BLA supplement or a new BLA before a product may be marketed for other uses or before specific manufacturing or other changes may be made to the approved product. As a condition of approval, the FDA may also require one or more Phase 4 post-market studies and surveillance to further assess and monitor the product’s safety and effectiveness after commercialization, and may limit further marketing of the product based on the results of these post-marketing studies. Also, product approvals may be withdrawn if compliance with regulatory standards is not maintained or if safety or manufacturing problems occur following initial marketing. In addition, new government requirements may be established that could delay or prevent regulatory approval of our vaccine candidates under development.</w:t>
      </w:r>
    </w:p>
    <w:p>
      <w:pPr>
        <w:spacing w:after="0" w:line="166" w:lineRule="exact"/>
        <w:rPr>
          <w:sz w:val="20"/>
          <w:szCs w:val="20"/>
          <w:color w:val="auto"/>
        </w:rPr>
      </w:pPr>
    </w:p>
    <w:p>
      <w:pPr>
        <w:ind w:right="140" w:firstLine="1175"/>
        <w:spacing w:after="0" w:line="259" w:lineRule="auto"/>
        <w:rPr>
          <w:sz w:val="20"/>
          <w:szCs w:val="20"/>
          <w:color w:val="auto"/>
        </w:rPr>
      </w:pPr>
      <w:r>
        <w:rPr>
          <w:rFonts w:ascii="Arial" w:cs="Arial" w:eastAsia="Arial" w:hAnsi="Arial"/>
          <w:sz w:val="18"/>
          <w:szCs w:val="18"/>
          <w:color w:val="auto"/>
        </w:rPr>
        <w:t>Both before and after the FDA approves a product, the manufacturer and the holder or holders of the BLA for the product are subject to comprehensive regulatory oversight. For example, quality control and manufacturing procedures must conform, on an ongoing basis, to cGMP requirements, and the FDA periodically inspects manufacturing facilities to assess compliance with cGMPs. Accordingly, manufacturers must continue to spend time, money and effort to maintain cGMP compliance.</w:t>
      </w:r>
    </w:p>
    <w:p>
      <w:pPr>
        <w:spacing w:after="0" w:line="187"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Post-Approval Requirements</w:t>
      </w:r>
    </w:p>
    <w:p>
      <w:pPr>
        <w:spacing w:after="0" w:line="225" w:lineRule="exact"/>
        <w:rPr>
          <w:sz w:val="20"/>
          <w:szCs w:val="20"/>
          <w:color w:val="auto"/>
        </w:rPr>
      </w:pPr>
    </w:p>
    <w:p>
      <w:pPr>
        <w:ind w:right="80" w:firstLine="1175"/>
        <w:spacing w:after="0" w:line="268" w:lineRule="auto"/>
        <w:rPr>
          <w:sz w:val="20"/>
          <w:szCs w:val="20"/>
          <w:color w:val="auto"/>
        </w:rPr>
      </w:pPr>
      <w:r>
        <w:rPr>
          <w:rFonts w:ascii="Arial" w:cs="Arial" w:eastAsia="Arial" w:hAnsi="Arial"/>
          <w:sz w:val="17"/>
          <w:szCs w:val="17"/>
          <w:color w:val="auto"/>
        </w:rPr>
        <w:t>Any drug products manufactured or distributed by us or our partners pursuant to FDA approvals will be subject to pervasive and continuing regulation by the FDA, including, among other things, record-keeping requirements, reporting of adverse experiences with the drug, providing the FDA with updated safety and efficacy information, distribution requirements, complying with individual electronic records and signature requirements and complying with FDA promotion and advertising requirements. Once approval is granted, the FDA may withdraw the approval if compliance with regulatory standards is not maintained or if problems occur after the product reaches the market. After approval, most changes to the approved product, such as adding new indications, specific manufacturing changes and additional labeling claims, are subject to further FDA review and approval. Biologic manufacturers, their subcontractors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regulations and other laws and regulations.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6" w:lineRule="exact"/>
        <w:rPr>
          <w:sz w:val="20"/>
          <w:szCs w:val="20"/>
          <w:color w:val="auto"/>
        </w:rPr>
      </w:pPr>
    </w:p>
    <w:p>
      <w:pPr>
        <w:ind w:right="20" w:firstLine="1175"/>
        <w:spacing w:after="0" w:line="254" w:lineRule="auto"/>
        <w:rPr>
          <w:sz w:val="20"/>
          <w:szCs w:val="20"/>
          <w:color w:val="auto"/>
        </w:rPr>
      </w:pPr>
      <w:r>
        <w:rPr>
          <w:rFonts w:ascii="Arial" w:cs="Arial" w:eastAsia="Arial" w:hAnsi="Arial"/>
          <w:sz w:val="18"/>
          <w:szCs w:val="18"/>
          <w:color w:val="auto"/>
        </w:rPr>
        <w:t>Discovery of previously unknown problems, including adverse events of unanticipated severity or frequency,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or suspension of an approval or license, clinical holds, warning or untitled letters, product recalls, product seizures, safety alerts, Dear Healthcare Provider letters, total or partial suspension of production or distribution, injunctions, fines, refusals of government contracts, mandated corrective advertising or communications with doctors, debarment, restitution, disgorgement of profits, consent decrees or civil or criminal penalties.</w:t>
      </w:r>
    </w:p>
    <w:p>
      <w:pPr>
        <w:spacing w:after="0" w:line="192" w:lineRule="exact"/>
        <w:rPr>
          <w:sz w:val="20"/>
          <w:szCs w:val="20"/>
          <w:color w:val="auto"/>
        </w:rPr>
      </w:pPr>
    </w:p>
    <w:p>
      <w:pPr>
        <w:ind w:firstLine="1175"/>
        <w:spacing w:after="0" w:line="279" w:lineRule="auto"/>
        <w:rPr>
          <w:sz w:val="20"/>
          <w:szCs w:val="20"/>
          <w:color w:val="auto"/>
        </w:rPr>
      </w:pPr>
      <w:r>
        <w:rPr>
          <w:rFonts w:ascii="Arial" w:cs="Arial" w:eastAsia="Arial" w:hAnsi="Arial"/>
          <w:sz w:val="17"/>
          <w:szCs w:val="17"/>
          <w:color w:val="auto"/>
        </w:rPr>
        <w:t>The FDA strictly regulates labeling, advertising, promotion and other types of information on products that are placed on the market and imposes requirements and restrictions on drug manufacturers,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Failure to comply with these requirements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9" w:name="page40"/>
    <w:bookmarkEnd w:id="39"/>
    <w:p>
      <w:pPr>
        <w:spacing w:after="0" w:line="257" w:lineRule="auto"/>
        <w:rPr>
          <w:sz w:val="20"/>
          <w:szCs w:val="20"/>
          <w:color w:val="auto"/>
        </w:rPr>
      </w:pPr>
      <w:r>
        <w:rPr>
          <w:rFonts w:ascii="Arial" w:cs="Arial" w:eastAsia="Arial" w:hAnsi="Arial"/>
          <w:sz w:val="18"/>
          <w:szCs w:val="18"/>
          <w:color w:val="auto"/>
        </w:rPr>
        <w:t>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the manufacturer’s communications on the subject of off-label use of their products.</w:t>
      </w:r>
    </w:p>
    <w:p>
      <w:pPr>
        <w:spacing w:after="0" w:line="188"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Disclosure of Clinical Trial Information</w:t>
      </w:r>
    </w:p>
    <w:p>
      <w:pPr>
        <w:spacing w:after="0" w:line="225" w:lineRule="exact"/>
        <w:rPr>
          <w:sz w:val="20"/>
          <w:szCs w:val="20"/>
          <w:color w:val="auto"/>
        </w:rPr>
      </w:pPr>
    </w:p>
    <w:p>
      <w:pPr>
        <w:ind w:right="120" w:firstLine="1175"/>
        <w:spacing w:after="0" w:line="296" w:lineRule="auto"/>
        <w:rPr>
          <w:sz w:val="20"/>
          <w:szCs w:val="20"/>
          <w:color w:val="auto"/>
        </w:rPr>
      </w:pPr>
      <w:r>
        <w:rPr>
          <w:rFonts w:ascii="Arial" w:cs="Arial" w:eastAsia="Arial" w:hAnsi="Arial"/>
          <w:sz w:val="16"/>
          <w:szCs w:val="16"/>
          <w:color w:val="auto"/>
        </w:rPr>
        <w:t>Sponsors of clinical trials of FDA-regulated products, including biological products, are required to register and disclose certain clinical trial information on clinicaltrials.gov. Information related to the product, patient population, phase of the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Additional Controls for Biologics</w:t>
      </w:r>
    </w:p>
    <w:p>
      <w:pPr>
        <w:spacing w:after="0" w:line="225" w:lineRule="exact"/>
        <w:rPr>
          <w:sz w:val="20"/>
          <w:szCs w:val="20"/>
          <w:color w:val="auto"/>
        </w:rPr>
      </w:pPr>
    </w:p>
    <w:p>
      <w:pPr>
        <w:ind w:right="340" w:firstLine="1175"/>
        <w:spacing w:after="0" w:line="257" w:lineRule="auto"/>
        <w:rPr>
          <w:sz w:val="20"/>
          <w:szCs w:val="20"/>
          <w:color w:val="auto"/>
        </w:rPr>
      </w:pPr>
      <w:r>
        <w:rPr>
          <w:rFonts w:ascii="Arial" w:cs="Arial" w:eastAsia="Arial" w:hAnsi="Arial"/>
          <w:sz w:val="18"/>
          <w:szCs w:val="18"/>
          <w:color w:val="auto"/>
        </w:rPr>
        <w:t>To help reduce the increased risk of the introduction of adventitious agents, the PHS Act emphasizes the importance of manufacturing controls for products whose attributes cannot be precisely defined. The PHS Act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88" w:lineRule="exact"/>
        <w:rPr>
          <w:sz w:val="20"/>
          <w:szCs w:val="20"/>
          <w:color w:val="auto"/>
        </w:rPr>
      </w:pPr>
    </w:p>
    <w:p>
      <w:pPr>
        <w:ind w:right="20" w:firstLine="1175"/>
        <w:spacing w:after="0" w:line="254" w:lineRule="auto"/>
        <w:rPr>
          <w:sz w:val="20"/>
          <w:szCs w:val="20"/>
          <w:color w:val="auto"/>
        </w:rPr>
      </w:pPr>
      <w:r>
        <w:rPr>
          <w:rFonts w:ascii="Arial" w:cs="Arial" w:eastAsia="Arial" w:hAnsi="Arial"/>
          <w:sz w:val="18"/>
          <w:szCs w:val="18"/>
          <w:color w:val="auto"/>
        </w:rPr>
        <w:t>After a BLA is approved, the product will also be subject to official lot release as a condition of approval. As part of the manufacturing process, the manufacturer is required to perform specific tests on each lot of the product before it is released for distribution. If the product is subject to an official release by the FDA, the manufacturer submits samples of each lot of product to the FDA together with a release protocol showing a summary of the history of the manufacture of the lot and the results of all the manufacturer’s tests performed on the lot. The FDA may also perform specific confirmatory tests on lots of some products, such as vaccines, before releasing the lots for distribution by the manufacturer. 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192"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225" w:lineRule="exact"/>
        <w:rPr>
          <w:sz w:val="20"/>
          <w:szCs w:val="20"/>
          <w:color w:val="auto"/>
        </w:rPr>
      </w:pPr>
    </w:p>
    <w:p>
      <w:pPr>
        <w:ind w:right="100" w:firstLine="1175"/>
        <w:spacing w:after="0" w:line="287" w:lineRule="auto"/>
        <w:rPr>
          <w:sz w:val="20"/>
          <w:szCs w:val="20"/>
          <w:color w:val="auto"/>
        </w:rPr>
      </w:pPr>
      <w:r>
        <w:rPr>
          <w:rFonts w:ascii="Arial" w:cs="Arial" w:eastAsia="Arial" w:hAnsi="Arial"/>
          <w:sz w:val="16"/>
          <w:szCs w:val="16"/>
          <w:color w:val="auto"/>
        </w:rPr>
        <w:t>A sponsor may seek approval of its vaccine candidate under programs designed to accelerate the FDA’s review and approval of new drugs and biological products that meet certain criteria. Specifically, new drugs and biological products are eligible for fast track designation if they are intended to treat a serious or life-threatening disease or condition and demonstrate the potential to address unmet medical needs for the disease or condition. For a fast track product, the FDA may consider sections of the BLA for review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A fast track designated vaccine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disease or condition. If criteria are not met for priority review, the application is subject to the standard FDA review period of 10 months after FDA accepts the application for filing. Priority review designation does not change the scientific/medical standard for approval or the quality of evidence necessary to support approval.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ind w:right="20" w:firstLine="1175"/>
        <w:spacing w:after="0" w:line="271" w:lineRule="auto"/>
        <w:rPr>
          <w:sz w:val="20"/>
          <w:szCs w:val="20"/>
          <w:color w:val="auto"/>
        </w:rPr>
      </w:pPr>
      <w:r>
        <w:rPr>
          <w:rFonts w:ascii="Arial" w:cs="Arial" w:eastAsia="Arial" w:hAnsi="Arial"/>
          <w:sz w:val="17"/>
          <w:szCs w:val="17"/>
          <w:color w:val="auto"/>
        </w:rPr>
        <w:t>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biologic’s clinical benefit in relationship to the surrogate endpoint or ultimate outcome in relationship to the clinical benefit. In addition, the FDA currently requires as a condition for accelerated approval pre-approval of promotional materials, which could adversely impact the timing of the commercial launch of the product. FDA may withdraw approval of a drug or indication approved under accelerated approval if, for example, the confirmatory trial fails to verify the predicted clinical benefit of the product.</w:t>
      </w:r>
    </w:p>
    <w:p>
      <w:pPr>
        <w:spacing w:after="0" w:line="178" w:lineRule="exact"/>
        <w:rPr>
          <w:sz w:val="20"/>
          <w:szCs w:val="20"/>
          <w:color w:val="auto"/>
        </w:rPr>
      </w:pPr>
    </w:p>
    <w:p>
      <w:pPr>
        <w:ind w:firstLine="1175"/>
        <w:spacing w:after="0" w:line="287" w:lineRule="auto"/>
        <w:rPr>
          <w:sz w:val="20"/>
          <w:szCs w:val="20"/>
          <w:color w:val="auto"/>
        </w:rPr>
      </w:pPr>
      <w:r>
        <w:rPr>
          <w:rFonts w:ascii="Arial" w:cs="Arial" w:eastAsia="Arial" w:hAnsi="Arial"/>
          <w:sz w:val="16"/>
          <w:szCs w:val="16"/>
          <w:color w:val="auto"/>
        </w:rPr>
        <w:t>In addition, a sponsor may seek FDA designation of its vaccine candidate as a breakthrough therapy if the vaccine candidate is intended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If the FDA designates a product as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therapy designation comes with all of the benefits of fast track designation.</w:t>
      </w:r>
    </w:p>
    <w:p>
      <w:pPr>
        <w:spacing w:after="0" w:line="172" w:lineRule="exact"/>
        <w:rPr>
          <w:sz w:val="20"/>
          <w:szCs w:val="20"/>
          <w:color w:val="auto"/>
        </w:rPr>
      </w:pPr>
    </w:p>
    <w:p>
      <w:pPr>
        <w:ind w:right="680" w:firstLine="1175"/>
        <w:spacing w:after="0" w:line="277" w:lineRule="auto"/>
        <w:rPr>
          <w:sz w:val="20"/>
          <w:szCs w:val="20"/>
          <w:color w:val="auto"/>
        </w:rPr>
      </w:pPr>
      <w:r>
        <w:rPr>
          <w:rFonts w:ascii="Arial" w:cs="Arial" w:eastAsia="Arial" w:hAnsi="Arial"/>
          <w:sz w:val="18"/>
          <w:szCs w:val="18"/>
          <w:color w:val="auto"/>
        </w:rPr>
        <w:t>Even if a drug or biologic qualifies for one or more of these programs, the FDA may later decide that the drug no longer meets the conditions for qualification or that the time period for FDA review or approval will be shortened.</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Biosimilars and Exclusivity</w:t>
      </w:r>
    </w:p>
    <w:p>
      <w:pPr>
        <w:spacing w:after="0" w:line="225" w:lineRule="exact"/>
        <w:rPr>
          <w:sz w:val="20"/>
          <w:szCs w:val="20"/>
          <w:color w:val="auto"/>
        </w:rPr>
      </w:pPr>
    </w:p>
    <w:p>
      <w:pPr>
        <w:ind w:firstLine="1175"/>
        <w:spacing w:after="0" w:line="287"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of 2010, or collectively, ACA, includes a subtitle called the Biologics Price Competition and Innovation Act of 2009, or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72" w:lineRule="exact"/>
        <w:rPr>
          <w:sz w:val="20"/>
          <w:szCs w:val="20"/>
          <w:color w:val="auto"/>
        </w:rPr>
      </w:pPr>
    </w:p>
    <w:p>
      <w:pPr>
        <w:ind w:right="180" w:firstLine="1175"/>
        <w:spacing w:after="0" w:line="257"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right="20"/>
        <w:spacing w:after="0" w:line="279" w:lineRule="auto"/>
        <w:rPr>
          <w:sz w:val="20"/>
          <w:szCs w:val="20"/>
          <w:color w:val="auto"/>
        </w:rPr>
      </w:pPr>
      <w:r>
        <w:rPr>
          <w:rFonts w:ascii="Arial" w:cs="Arial" w:eastAsia="Arial" w:hAnsi="Arial"/>
          <w:sz w:val="17"/>
          <w:szCs w:val="17"/>
          <w:color w:val="auto"/>
        </w:rPr>
        <w:t>purity and potency of its product. The BPCIA also created certain exclusivity periods for biosimilars approved as interchangeable products. 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71" w:lineRule="exact"/>
        <w:rPr>
          <w:sz w:val="20"/>
          <w:szCs w:val="20"/>
          <w:color w:val="auto"/>
        </w:rPr>
      </w:pPr>
    </w:p>
    <w:p>
      <w:pPr>
        <w:jc w:val="both"/>
        <w:ind w:right="180" w:firstLine="1175"/>
        <w:spacing w:after="0" w:line="311" w:lineRule="auto"/>
        <w:rPr>
          <w:sz w:val="20"/>
          <w:szCs w:val="20"/>
          <w:color w:val="auto"/>
        </w:rPr>
      </w:pPr>
      <w:r>
        <w:rPr>
          <w:rFonts w:ascii="Arial" w:cs="Arial" w:eastAsia="Arial" w:hAnsi="Arial"/>
          <w:sz w:val="16"/>
          <w:szCs w:val="16"/>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and implementation of the BPCIA are subject to significant uncertainty.</w:t>
      </w:r>
    </w:p>
    <w:p>
      <w:pPr>
        <w:spacing w:after="0" w:line="149"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United States Healthcare Reform</w:t>
      </w:r>
    </w:p>
    <w:p>
      <w:pPr>
        <w:spacing w:after="0" w:line="225" w:lineRule="exact"/>
        <w:rPr>
          <w:sz w:val="20"/>
          <w:szCs w:val="20"/>
          <w:color w:val="auto"/>
        </w:rPr>
      </w:pPr>
    </w:p>
    <w:p>
      <w:pPr>
        <w:jc w:val="both"/>
        <w:ind w:right="260" w:firstLine="1175"/>
        <w:spacing w:after="0" w:line="263" w:lineRule="auto"/>
        <w:rPr>
          <w:sz w:val="20"/>
          <w:szCs w:val="20"/>
          <w:color w:val="auto"/>
        </w:rPr>
      </w:pPr>
      <w:r>
        <w:rPr>
          <w:rFonts w:ascii="Arial" w:cs="Arial" w:eastAsia="Arial" w:hAnsi="Arial"/>
          <w:sz w:val="18"/>
          <w:szCs w:val="18"/>
          <w:color w:val="auto"/>
        </w:rPr>
        <w:t>In the United States, there has been and continues to be, several legislative and regulatory changes and proposed changes regarding the healthcare system that could, among other things, prevent or delay marketing approval of vaccine candidates, restrict or regulate post-approval activities and affect the profitable sale of vaccine candidates.</w:t>
      </w:r>
    </w:p>
    <w:p>
      <w:pPr>
        <w:spacing w:after="0" w:line="184" w:lineRule="exact"/>
        <w:rPr>
          <w:sz w:val="20"/>
          <w:szCs w:val="20"/>
          <w:color w:val="auto"/>
        </w:rPr>
      </w:pPr>
    </w:p>
    <w:p>
      <w:pPr>
        <w:ind w:firstLine="1175"/>
        <w:spacing w:after="0" w:line="268" w:lineRule="auto"/>
        <w:rPr>
          <w:sz w:val="20"/>
          <w:szCs w:val="20"/>
          <w:color w:val="auto"/>
        </w:rPr>
      </w:pPr>
      <w:r>
        <w:rPr>
          <w:rFonts w:ascii="Arial" w:cs="Arial" w:eastAsia="Arial" w:hAnsi="Arial"/>
          <w:sz w:val="17"/>
          <w:szCs w:val="17"/>
          <w:color w:val="auto"/>
        </w:rPr>
        <w:t>Among policymakers and payors in the United States,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March 2010, the ACA was passed, which substantially changed the way healthcare is financed by both the government and private insurers and significantly impacts the U.S. pharmaceutical industry. The ACA, among other things: (1) increased the minimum Medicaid rebates owed by manufacturers under the Medicaid Drug Rebate Program and extended the rebate program to individuals enrolled in Medicaid managed care organizations; (2) created a new methodology by which rebates owed by manufacturers under the Medicaid Drug Rebate Program are calculated for certain drugs and biologics that are inhaled, infused, instilled, implanted or injected; (3) established an annual, nondeductible fee on any entity that manufactures or imports certain specified branded prescription drugs and biologic agents apportioned among these entities according to their market share in specific government healthcare programs; (4) expanded the eligibility criteria for Medicaid programs; (5) created a new Patient-Centered Outcomes Research Institute to oversee, identify priorities in, and conduct comparative clinical effectiveness research, along with funding for such research; (6) 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and (7) established a Center for Medicare &amp; Medicaid Innovation at the Centers for Medicare &amp; Medicaid Services, or CMS, to test innovative payment and service delivery models to lower Medicare and Medicaid spending, potentially including prescription drugs.</w:t>
      </w:r>
    </w:p>
    <w:p>
      <w:pPr>
        <w:spacing w:after="0" w:line="182" w:lineRule="exact"/>
        <w:rPr>
          <w:sz w:val="20"/>
          <w:szCs w:val="20"/>
          <w:color w:val="auto"/>
        </w:rPr>
      </w:pPr>
    </w:p>
    <w:p>
      <w:pPr>
        <w:ind w:firstLine="1175"/>
        <w:spacing w:after="0" w:line="286" w:lineRule="auto"/>
        <w:rPr>
          <w:sz w:val="20"/>
          <w:szCs w:val="20"/>
          <w:color w:val="auto"/>
        </w:rPr>
      </w:pPr>
      <w:r>
        <w:rPr>
          <w:rFonts w:ascii="Arial" w:cs="Arial" w:eastAsia="Arial" w:hAnsi="Arial"/>
          <w:sz w:val="16"/>
          <w:szCs w:val="16"/>
          <w:color w:val="auto"/>
        </w:rPr>
        <w:t>There have been judicial and political challenges to certain aspects of the ACA. By way of example, the Tax Cuts and Jobs Act of 2017, or the Tax Act, was signed into law and included a provision repealing, effective January 1, 2019, the tax-based shared responsibility payment imposed by the ACA on specific individuals who fail to maintain qualifying health coverage for all or part of a year that is commonly referred to as the “individual mandate.” The Bipartisan Budget Act of 2018, among other things, amends the ACA, effective January 1, 2019, to close the coverage gap in most Medicare drug plans, commonly referred to as the “donut hole.”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U.S. Supreme Court is currently reviewing this case, although it is unclear when a decision will be made. Although the U.S. Supreme Court has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2" w:name="page43"/>
    <w:bookmarkEnd w:id="42"/>
    <w:p>
      <w:pPr>
        <w:jc w:val="both"/>
        <w:spacing w:after="0" w:line="342" w:lineRule="auto"/>
        <w:rPr>
          <w:sz w:val="20"/>
          <w:szCs w:val="20"/>
          <w:color w:val="auto"/>
        </w:rPr>
      </w:pPr>
      <w:r>
        <w:rPr>
          <w:rFonts w:ascii="Arial" w:cs="Arial" w:eastAsia="Arial" w:hAnsi="Arial"/>
          <w:sz w:val="16"/>
          <w:szCs w:val="16"/>
          <w:color w:val="auto"/>
        </w:rPr>
        <w:t>requirements, and policies that create unnecessary barriers to obtaining access to health insurance coverage through Medicaid or the ACA. It is also unclear how the Supreme Court ruling, other such litigation and the healthcare reform measures of the Biden administration will impact the ACA and our business.</w:t>
      </w:r>
    </w:p>
    <w:p>
      <w:pPr>
        <w:spacing w:after="0" w:line="124" w:lineRule="exact"/>
        <w:rPr>
          <w:sz w:val="20"/>
          <w:szCs w:val="20"/>
          <w:color w:val="auto"/>
        </w:rPr>
      </w:pPr>
    </w:p>
    <w:p>
      <w:pPr>
        <w:ind w:right="140" w:firstLine="1175"/>
        <w:spacing w:after="0" w:line="293" w:lineRule="auto"/>
        <w:rPr>
          <w:sz w:val="20"/>
          <w:szCs w:val="20"/>
          <w:color w:val="auto"/>
        </w:rPr>
      </w:pPr>
      <w:r>
        <w:rPr>
          <w:rFonts w:ascii="Arial" w:cs="Arial" w:eastAsia="Arial" w:hAnsi="Arial"/>
          <w:sz w:val="16"/>
          <w:szCs w:val="16"/>
          <w:color w:val="auto"/>
        </w:rPr>
        <w:t>Other legislative changes have been proposed and adopted since the ACA was enacted. For example, on August 2, 2011, the Budget Control Act of 2011 was signed into law, which, among other things, resulted in aggregate reductions of Medicare payments to providers of 2% per fiscal year, which went into effect on April 1, 2013 and, due to subsequent legislative amendments to the statute, will remain in effect through 2030, with the exception of a temporary suspension from May 1, 2020 through March 31, 2021,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64" w:lineRule="exact"/>
        <w:rPr>
          <w:sz w:val="20"/>
          <w:szCs w:val="20"/>
          <w:color w:val="auto"/>
        </w:rPr>
      </w:pPr>
    </w:p>
    <w:p>
      <w:pPr>
        <w:ind w:right="60" w:firstLine="1175"/>
        <w:spacing w:after="0" w:line="284" w:lineRule="auto"/>
        <w:rPr>
          <w:sz w:val="20"/>
          <w:szCs w:val="20"/>
          <w:color w:val="auto"/>
        </w:rPr>
      </w:pPr>
      <w:r>
        <w:rPr>
          <w:rFonts w:ascii="Arial" w:cs="Arial" w:eastAsia="Arial" w:hAnsi="Arial"/>
          <w:sz w:val="16"/>
          <w:szCs w:val="16"/>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 used several means to propose or implement drug pricing reform, including through federal budget proposals, executive orders and policy initiatives. For example, on July 24, 2020 and September 13, 2020, President Trump announced several executive orders related to prescription drug pricing that seek to implement several of the administration's proposals. As a result, the FDA also released a final rule on September 24, 2020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However, it is unclear whether the Biden administration will work to reverse these measures or pursue similar policy initiatives. At the state level, legislatures have increasingly passed legislation and implemented regulations designed to control pharmaceutical product pricing, including price or patient reimbursement constraints, discounts, restrictions on specific product access and marketing cost disclosure and transparency measures and, in some cases, designed to encourage importation from other countries and bulk purchasing. Further, it is possible that additional government action is taken in response to the COVID-19 pandemic.</w:t>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United States Healthcare Fraud and Abuse Laws and Compliance Requirements</w:t>
      </w:r>
    </w:p>
    <w:p>
      <w:pPr>
        <w:spacing w:after="0" w:line="225" w:lineRule="exact"/>
        <w:rPr>
          <w:sz w:val="20"/>
          <w:szCs w:val="20"/>
          <w:color w:val="auto"/>
        </w:rPr>
      </w:pPr>
    </w:p>
    <w:p>
      <w:pPr>
        <w:ind w:right="480" w:firstLine="1175"/>
        <w:spacing w:after="0" w:line="342" w:lineRule="auto"/>
        <w:rPr>
          <w:sz w:val="20"/>
          <w:szCs w:val="20"/>
          <w:color w:val="auto"/>
        </w:rPr>
      </w:pPr>
      <w:r>
        <w:rPr>
          <w:rFonts w:ascii="Arial" w:cs="Arial" w:eastAsia="Arial" w:hAnsi="Arial"/>
          <w:sz w:val="16"/>
          <w:szCs w:val="16"/>
          <w:color w:val="auto"/>
        </w:rPr>
        <w:t>Federal and state healthcare laws and regulations restrict certain business practices in the biopharmaceutical industry, including anti-kickback and false claims laws and regulations, data privacy and security laws and regulations and transparency laws and regulations.</w:t>
      </w:r>
    </w:p>
    <w:p>
      <w:pPr>
        <w:spacing w:after="0" w:line="124" w:lineRule="exact"/>
        <w:rPr>
          <w:sz w:val="20"/>
          <w:szCs w:val="20"/>
          <w:color w:val="auto"/>
        </w:rPr>
      </w:pPr>
    </w:p>
    <w:p>
      <w:pPr>
        <w:ind w:right="140" w:firstLine="1175"/>
        <w:spacing w:after="0" w:line="301" w:lineRule="auto"/>
        <w:rPr>
          <w:sz w:val="20"/>
          <w:szCs w:val="20"/>
          <w:color w:val="auto"/>
        </w:rPr>
      </w:pPr>
      <w:r>
        <w:rPr>
          <w:rFonts w:ascii="Arial" w:cs="Arial" w:eastAsia="Arial" w:hAnsi="Arial"/>
          <w:sz w:val="16"/>
          <w:szCs w:val="16"/>
          <w:color w:val="auto"/>
        </w:rPr>
        <w:t>The federal Anti-Kickback Statute prohibits, among other things, individuals or entities from knowingly and willfully offering, paying, soliciting or receiving remuneration, directly or indirectly, overtly or covertly, in cash or in-kind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w:t>
      </w:r>
    </w:p>
    <w:p>
      <w:pPr>
        <w:spacing w:after="0" w:line="157" w:lineRule="exact"/>
        <w:rPr>
          <w:sz w:val="20"/>
          <w:szCs w:val="20"/>
          <w:color w:val="auto"/>
        </w:rPr>
      </w:pPr>
    </w:p>
    <w:p>
      <w:pPr>
        <w:ind w:right="180" w:firstLine="1175"/>
        <w:spacing w:after="0" w:line="263" w:lineRule="auto"/>
        <w:rPr>
          <w:sz w:val="20"/>
          <w:szCs w:val="20"/>
          <w:color w:val="auto"/>
        </w:rPr>
      </w:pPr>
      <w:r>
        <w:rPr>
          <w:rFonts w:ascii="Arial" w:cs="Arial" w:eastAsia="Arial" w:hAnsi="Arial"/>
          <w:sz w:val="18"/>
          <w:szCs w:val="18"/>
          <w:color w:val="auto"/>
        </w:rPr>
        <w:t>The federal civil and criminal false claims laws, including the civil False Claims Act, and civil monetary penalties laws, prohibit, among other things, any individual or entity from knowingly presenting, or causing to be presented, a false claim for payment to the federal government or knowingly making, using or causing to be made or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3" w:name="page44"/>
    <w:bookmarkEnd w:id="43"/>
    <w:p>
      <w:pPr>
        <w:spacing w:after="0" w:line="279" w:lineRule="auto"/>
        <w:rPr>
          <w:sz w:val="20"/>
          <w:szCs w:val="20"/>
          <w:color w:val="auto"/>
        </w:rPr>
      </w:pPr>
      <w:r>
        <w:rPr>
          <w:rFonts w:ascii="Arial" w:cs="Arial" w:eastAsia="Arial" w:hAnsi="Arial"/>
          <w:sz w:val="17"/>
          <w:szCs w:val="17"/>
          <w:color w:val="auto"/>
        </w:rPr>
        <w:t>used a false record or statement material to a false or fraudulent claim to the federal government. Private individuals, commonly known as “whistleblowers,” can bring civil False Claims Act qui tam actions, on behalf of the government and such individuals and may share in amounts paid by the entity to the government in recovery or settlement. In addition, the government may assert that a claim including items or services resulting from a violation of the federal Anti-Kickback Statute constitutes a false or fraudulent claim for purposes of the civil False Claims Act.</w:t>
      </w:r>
    </w:p>
    <w:p>
      <w:pPr>
        <w:spacing w:after="0" w:line="171" w:lineRule="exact"/>
        <w:rPr>
          <w:sz w:val="20"/>
          <w:szCs w:val="20"/>
          <w:color w:val="auto"/>
        </w:rPr>
      </w:pPr>
    </w:p>
    <w:p>
      <w:pPr>
        <w:ind w:right="200" w:firstLine="1175"/>
        <w:spacing w:after="0" w:line="272" w:lineRule="auto"/>
        <w:rPr>
          <w:sz w:val="20"/>
          <w:szCs w:val="20"/>
          <w:color w:val="auto"/>
        </w:rPr>
      </w:pPr>
      <w:r>
        <w:rPr>
          <w:rFonts w:ascii="Arial" w:cs="Arial" w:eastAsia="Arial" w:hAnsi="Arial"/>
          <w:sz w:val="17"/>
          <w:szCs w:val="17"/>
          <w:color w:val="auto"/>
        </w:rPr>
        <w:t>The federal Health Insurance Portability and Accountability Act of 1996, or HIPAA, created additional federal civil and criminal statutes that prohibit, among other things, knowingly and willfully executing a scheme to defraud any healthcare benefit program. Similar to the federal Anti-Kickback Statute, a person or entity does not need to have actual knowledge of the statute or specific intent to violate it in order to have committed a violation. In addition, HIPAA, as amended by the Health Information Technology for Economic and Clinical Health Act, and their implementing regulations, imposes specific requirements relating to the privacy, security and transmission of protected health information on HIPAA covered entities, which include certain healthcare providers, health plans and healthcare clearinghouses and their business associates and covered subcontractors who conduct certain activities for or on their behalf involving protected health information on their behalf.</w:t>
      </w:r>
    </w:p>
    <w:p>
      <w:pPr>
        <w:spacing w:after="0" w:line="177" w:lineRule="exact"/>
        <w:rPr>
          <w:sz w:val="20"/>
          <w:szCs w:val="20"/>
          <w:color w:val="auto"/>
        </w:rPr>
      </w:pPr>
    </w:p>
    <w:p>
      <w:pPr>
        <w:ind w:right="20" w:firstLine="1175"/>
        <w:spacing w:after="0" w:line="272" w:lineRule="auto"/>
        <w:rPr>
          <w:sz w:val="20"/>
          <w:szCs w:val="20"/>
          <w:color w:val="auto"/>
        </w:rPr>
      </w:pPr>
      <w:r>
        <w:rPr>
          <w:rFonts w:ascii="Arial" w:cs="Arial" w:eastAsia="Arial" w:hAnsi="Arial"/>
          <w:sz w:val="17"/>
          <w:szCs w:val="17"/>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CMS ownership and investment interests held by physicians and their immediate family members. Beginning in 2022, applicable manufacturers also will be required to report payments or other transfers of value made to physician assistants, nurse practitioners, clinical nurse specialists, certified registered nurse anesthetists, anesthesiologist assistants and certified nurse midwives during the previous year.</w:t>
      </w:r>
    </w:p>
    <w:p>
      <w:pPr>
        <w:spacing w:after="0" w:line="177" w:lineRule="exact"/>
        <w:rPr>
          <w:sz w:val="20"/>
          <w:szCs w:val="20"/>
          <w:color w:val="auto"/>
        </w:rPr>
      </w:pPr>
    </w:p>
    <w:p>
      <w:pPr>
        <w:ind w:right="140" w:firstLine="1175"/>
        <w:spacing w:after="0" w:line="269" w:lineRule="auto"/>
        <w:rPr>
          <w:sz w:val="20"/>
          <w:szCs w:val="20"/>
          <w:color w:val="auto"/>
        </w:rPr>
      </w:pPr>
      <w:r>
        <w:rPr>
          <w:rFonts w:ascii="Arial" w:cs="Arial" w:eastAsia="Arial" w:hAnsi="Arial"/>
          <w:sz w:val="17"/>
          <w:szCs w:val="17"/>
          <w:color w:val="auto"/>
        </w:rPr>
        <w:t>Similar state, local and foreign healthcare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w:t>
      </w:r>
    </w:p>
    <w:p>
      <w:pPr>
        <w:spacing w:after="0" w:line="185" w:lineRule="exact"/>
        <w:rPr>
          <w:sz w:val="20"/>
          <w:szCs w:val="20"/>
          <w:color w:val="auto"/>
        </w:rPr>
      </w:pPr>
    </w:p>
    <w:p>
      <w:pPr>
        <w:ind w:right="240" w:firstLine="1175"/>
        <w:spacing w:after="0" w:line="257" w:lineRule="auto"/>
        <w:rPr>
          <w:sz w:val="20"/>
          <w:szCs w:val="20"/>
          <w:color w:val="auto"/>
        </w:rPr>
      </w:pPr>
      <w:r>
        <w:rPr>
          <w:rFonts w:ascii="Arial" w:cs="Arial" w:eastAsia="Arial" w:hAnsi="Arial"/>
          <w:sz w:val="18"/>
          <w:szCs w:val="18"/>
          <w:color w:val="auto"/>
        </w:rPr>
        <w:t>Efforts to ensure compliance with applicable healthcare laws and regulations can involve substantial costs. Violations of healthcare laws can result in significant penalties, including the imposition of significant civil, criminal and administrative penalties, damages, monetary fines, disgorgement, individual imprisonment, possible exclusion from participation in Medicare, Medicaid and other U.S. healthcare programs, integrity oversight and reporting obligations, contractual damages, reputational harm, diminished profits and future earnings and curtailment or restructuring of operations.</w:t>
      </w:r>
    </w:p>
    <w:p>
      <w:pPr>
        <w:spacing w:after="0" w:line="188"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ind w:right="60" w:firstLine="1175"/>
        <w:spacing w:after="0" w:line="279" w:lineRule="auto"/>
        <w:rPr>
          <w:sz w:val="20"/>
          <w:szCs w:val="20"/>
          <w:color w:val="auto"/>
        </w:rPr>
      </w:pPr>
      <w:r>
        <w:rPr>
          <w:rFonts w:ascii="Arial" w:cs="Arial" w:eastAsia="Arial" w:hAnsi="Arial"/>
          <w:sz w:val="17"/>
          <w:szCs w:val="17"/>
          <w:color w:val="auto"/>
        </w:rPr>
        <w:t>In addition to regulations in the United States, we expect to be subject to a variety of foreign regulations governing clinical trials and commercial sales and distribution of our vaccine candidates. Whether or not we obtain FDA approval for a vaccine candidate, we must obtain approval from the comparable regulatory authorities of foreign countries or economic areas, such as the European Union, before we may commence clinical trials or market products in those countries or areas. The approval process and requirements governing the conduct of clinical trials,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product licensing, pricing and reimbursement vary greatly from place to place, and the time may be longer or shorter than that required for FDA approval.</w:t>
      </w:r>
    </w:p>
    <w:p>
      <w:pPr>
        <w:spacing w:after="0" w:line="248" w:lineRule="exact"/>
        <w:rPr>
          <w:sz w:val="20"/>
          <w:szCs w:val="20"/>
          <w:color w:val="auto"/>
        </w:rPr>
      </w:pPr>
    </w:p>
    <w:p>
      <w:pPr>
        <w:ind w:right="140" w:firstLine="1175"/>
        <w:spacing w:after="0" w:line="257" w:lineRule="auto"/>
        <w:rPr>
          <w:sz w:val="20"/>
          <w:szCs w:val="20"/>
          <w:color w:val="auto"/>
        </w:rPr>
      </w:pPr>
      <w:r>
        <w:rPr>
          <w:rFonts w:ascii="Arial" w:cs="Arial" w:eastAsia="Arial" w:hAnsi="Arial"/>
          <w:sz w:val="18"/>
          <w:szCs w:val="18"/>
          <w:color w:val="auto"/>
        </w:rPr>
        <w:t>Certain countries outside of the United States have a process that requires the submission of a clinical trial application, much like an IND prior to the commencement of human clinical trials. In Europe, for example, a clinical trial application, or CTA, must be submitted to the competent national health authority and to independent ethics committees in each country in which a company intends to conduct clinical trials. Once the CTA is approved in accordance with a country’s requirements, clinical trial development may proceed in that country. In all cases, the clinical trials must be conducted in accordance with GCPs and other applicable regulatory requirements.</w:t>
      </w:r>
    </w:p>
    <w:p>
      <w:pPr>
        <w:spacing w:after="0" w:line="188" w:lineRule="exact"/>
        <w:rPr>
          <w:sz w:val="20"/>
          <w:szCs w:val="20"/>
          <w:color w:val="auto"/>
        </w:rPr>
      </w:pPr>
    </w:p>
    <w:p>
      <w:pPr>
        <w:ind w:right="140" w:firstLine="1175"/>
        <w:spacing w:after="0" w:line="263"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84" w:lineRule="exact"/>
        <w:rPr>
          <w:sz w:val="20"/>
          <w:szCs w:val="20"/>
          <w:color w:val="auto"/>
        </w:rPr>
      </w:pPr>
    </w:p>
    <w:p>
      <w:pPr>
        <w:ind w:right="120" w:firstLine="1175"/>
        <w:spacing w:after="0" w:line="254" w:lineRule="auto"/>
        <w:rPr>
          <w:sz w:val="20"/>
          <w:szCs w:val="20"/>
          <w:color w:val="auto"/>
        </w:rPr>
      </w:pPr>
      <w:r>
        <w:rPr>
          <w:rFonts w:ascii="Arial" w:cs="Arial" w:eastAsia="Arial" w:hAnsi="Arial"/>
          <w:sz w:val="18"/>
          <w:szCs w:val="18"/>
          <w:color w:val="auto"/>
        </w:rPr>
        <w:t>Under European Union regulatory systems, a company may submit marketing authorization applications either under a centralized or decentralized procedure. The centralized procedure is compulsory for medicinal products produced by biotechnology or those medicinal products containing new active substances for specific indications such as the treatment of AIDS, cancer, neurodegenerative disorders, diabetes, viral diseases and designated orphan medicines, and optional for other medicines which are highly innovative. Under the centralized procedure, a marketing application is submitted to the European Medicines Agency, or EMA, where it will be evaluated by the Committee for Medicinal Products for Human Use, and a favorable opinion typically results in the grant by the European Commission of a single marketing authorization that is valid for all European Union member states within 67 days of receipt of the opinion. The initial marketing authorization is valid for five years, but once renewed is usually valid for an unlimited period.</w:t>
      </w:r>
    </w:p>
    <w:p>
      <w:pPr>
        <w:spacing w:after="0" w:line="19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To market a medicinal product in the European Economic Area, or EEA, (which is comprised of the 28 Member States of the EU plus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Norway, Iceland and Liechtenstein), we must obtain a Marketing Authorization, or MA. There are two types of marketing authorizations:</w:t>
      </w:r>
    </w:p>
    <w:p>
      <w:pPr>
        <w:spacing w:after="0" w:line="211" w:lineRule="exact"/>
        <w:rPr>
          <w:sz w:val="20"/>
          <w:szCs w:val="20"/>
          <w:color w:val="auto"/>
        </w:rPr>
      </w:pPr>
    </w:p>
    <w:p>
      <w:pPr>
        <w:ind w:left="1620" w:right="20" w:hanging="438"/>
        <w:spacing w:after="0" w:line="291" w:lineRule="auto"/>
        <w:tabs>
          <w:tab w:leader="none" w:pos="1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Community MA, which is issued by the European Commission through the Centralized Procedure, based on the opinion of the Committee for Medicinal Products for Human Use of the EMA, and which is valid throughout the entire territory of the European Economic Area, or EEA. The Centralized Procedure is mandatory for certain types of products, such as biotechnology medicinal products, orphan medicinal products, advanced therapy products and medicinal products containing a new active substance indicated for the treatment certain diseases, such as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and</w:t>
      </w:r>
    </w:p>
    <w:p>
      <w:pPr>
        <w:spacing w:after="0" w:line="166" w:lineRule="exact"/>
        <w:rPr>
          <w:rFonts w:ascii="Arial" w:cs="Arial" w:eastAsia="Arial" w:hAnsi="Arial"/>
          <w:sz w:val="16"/>
          <w:szCs w:val="16"/>
          <w:color w:val="auto"/>
        </w:rPr>
      </w:pPr>
    </w:p>
    <w:p>
      <w:pPr>
        <w:ind w:left="1620" w:hanging="438"/>
        <w:spacing w:after="0" w:line="275" w:lineRule="auto"/>
        <w:tabs>
          <w:tab w:leader="none" w:pos="1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the various Member States through the Decentralized Procedure.</w:t>
      </w:r>
    </w:p>
    <w:p>
      <w:pPr>
        <w:spacing w:after="0" w:line="176" w:lineRule="exact"/>
        <w:rPr>
          <w:sz w:val="20"/>
          <w:szCs w:val="20"/>
          <w:color w:val="auto"/>
        </w:rPr>
      </w:pPr>
    </w:p>
    <w:p>
      <w:pPr>
        <w:ind w:right="140" w:firstLine="1175"/>
        <w:spacing w:after="0" w:line="308" w:lineRule="auto"/>
        <w:rPr>
          <w:sz w:val="20"/>
          <w:szCs w:val="20"/>
          <w:color w:val="auto"/>
        </w:rPr>
      </w:pPr>
      <w:r>
        <w:rPr>
          <w:rFonts w:ascii="Arial" w:cs="Arial" w:eastAsia="Arial" w:hAnsi="Arial"/>
          <w:sz w:val="17"/>
          <w:szCs w:val="17"/>
          <w:color w:val="auto"/>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5" w:name="page46"/>
    <w:bookmarkEnd w:id="45"/>
    <w:p>
      <w:pPr>
        <w:ind w:right="520" w:firstLine="1175"/>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Additional Regulation</w:t>
      </w:r>
    </w:p>
    <w:p>
      <w:pPr>
        <w:spacing w:after="0" w:line="225" w:lineRule="exact"/>
        <w:rPr>
          <w:sz w:val="20"/>
          <w:szCs w:val="20"/>
          <w:color w:val="auto"/>
        </w:rPr>
      </w:pPr>
    </w:p>
    <w:p>
      <w:pPr>
        <w:ind w:right="160" w:firstLine="1175"/>
        <w:spacing w:after="0" w:line="254" w:lineRule="auto"/>
        <w:rPr>
          <w:sz w:val="20"/>
          <w:szCs w:val="20"/>
          <w:color w:val="auto"/>
        </w:rPr>
      </w:pPr>
      <w:r>
        <w:rPr>
          <w:rFonts w:ascii="Arial" w:cs="Arial" w:eastAsia="Arial" w:hAnsi="Arial"/>
          <w:sz w:val="18"/>
          <w:szCs w:val="18"/>
          <w:color w:val="auto"/>
        </w:rPr>
        <w:t>We are also subject to regulation under the Occupational Safety and Health Act, the Environmental Protection Act, the Toxic Substances Control Act, the Resource Conservation and Recovery Act and other present and potential federal, state or local regulations. These and other laws govern our use, handling and disposal of various biological and chemical substances used in, and waste generated by our operations. Our research and development involve the controlled use of hazardous materials, chemicals, bacteria and viruses. Although we believe that our safety procedures for handling and disposing of such materials comply with the standards prescribed by state and federal regulations, the risk of accidental contamination or injury from these materials cannot be completely eliminated. In the event of such an accident, we could be held liable for any damages that result and any such liability could exceed our resources.</w:t>
      </w:r>
    </w:p>
    <w:p>
      <w:pPr>
        <w:spacing w:after="0" w:line="195" w:lineRule="exact"/>
        <w:rPr>
          <w:sz w:val="20"/>
          <w:szCs w:val="20"/>
          <w:color w:val="auto"/>
        </w:rPr>
      </w:pPr>
    </w:p>
    <w:p>
      <w:pPr>
        <w:ind w:right="160" w:firstLine="1175"/>
        <w:spacing w:after="0" w:line="257"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biological products, government control and other changes to the healthcare system of the United States. It is uncertain what legislative proposals will be adopted or what actions federal, state or private payers for medical goods and services may take in response to any healthcare reform proposals or legislation. We cannot predict the effect medical or healthcare reforms may have on our business, and no assurance can be given that any such reforms will not have a material adverse effect.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 Protection Laws</w:t>
      </w:r>
    </w:p>
    <w:p>
      <w:pPr>
        <w:spacing w:after="0" w:line="229" w:lineRule="exact"/>
        <w:rPr>
          <w:sz w:val="20"/>
          <w:szCs w:val="20"/>
          <w:color w:val="auto"/>
        </w:rPr>
      </w:pPr>
    </w:p>
    <w:p>
      <w:pPr>
        <w:ind w:right="220" w:firstLine="1175"/>
        <w:spacing w:after="0" w:line="296" w:lineRule="auto"/>
        <w:rPr>
          <w:sz w:val="20"/>
          <w:szCs w:val="20"/>
          <w:color w:val="auto"/>
        </w:rPr>
      </w:pPr>
      <w:r>
        <w:rPr>
          <w:rFonts w:ascii="Arial" w:cs="Arial" w:eastAsia="Arial" w:hAnsi="Arial"/>
          <w:sz w:val="16"/>
          <w:szCs w:val="16"/>
          <w:color w:val="auto"/>
        </w:rPr>
        <w:t>We are also subject to laws and regulations in non-U.S. countries covering data privacy and the protection of health-related and other personal information. EU member states and other jurisdictions have adopted data protection laws and regulations, which impose significant compliance obligations. Laws and regulations in these jurisdictions apply broadly to the collection, use, storage, disclosure, processing and security of personal information that identifies or may be used to identify an individual, such as names, contact information and sensitive personal data such as health data. These laws and regulations are subject to frequent revisions and differing interpretations and have generally become more stringent over time.</w:t>
      </w:r>
    </w:p>
    <w:p>
      <w:pPr>
        <w:spacing w:after="0" w:line="161" w:lineRule="exact"/>
        <w:rPr>
          <w:sz w:val="20"/>
          <w:szCs w:val="20"/>
          <w:color w:val="auto"/>
        </w:rPr>
      </w:pPr>
    </w:p>
    <w:p>
      <w:pPr>
        <w:ind w:firstLine="1175"/>
        <w:spacing w:after="0" w:line="270" w:lineRule="auto"/>
        <w:rPr>
          <w:sz w:val="20"/>
          <w:szCs w:val="20"/>
          <w:color w:val="auto"/>
        </w:rPr>
      </w:pPr>
      <w:r>
        <w:rPr>
          <w:rFonts w:ascii="Arial" w:cs="Arial" w:eastAsia="Arial" w:hAnsi="Arial"/>
          <w:sz w:val="17"/>
          <w:szCs w:val="17"/>
          <w:color w:val="auto"/>
        </w:rPr>
        <w:t>As of May 25, 2018, Regulation 2016/676, known as the General Data Protection Regulation, or GDPR, replaced the Data Protection Directive with respect to the processing of personal data in the European Union. The GDPR imposes many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and secondary use of information, increased requirements pertaining to health data and pseudonymised (i.e., key-coded) data and additional obligations when we contract third-party processors in connection with the processing of the personal data. The GDPR allows EU member states to make new laws and regulations further limiting the processing of genetic, biometric, or health data. Failure to comply with the requirements of GDPR and the applicable national data protection laws of the EU member states may result in fines of up to €20,000,000 or up to 4% of the total worldwide annual turnover of the preceding financial year, whichever is higher, and other administrative penalties.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Employees &amp; Human Capital</w:t>
      </w:r>
    </w:p>
    <w:p>
      <w:pPr>
        <w:spacing w:after="0" w:line="229" w:lineRule="exact"/>
        <w:rPr>
          <w:sz w:val="20"/>
          <w:szCs w:val="20"/>
          <w:color w:val="auto"/>
        </w:rPr>
      </w:pPr>
    </w:p>
    <w:p>
      <w:pPr>
        <w:ind w:right="340" w:firstLine="1175"/>
        <w:spacing w:after="0" w:line="308" w:lineRule="auto"/>
        <w:rPr>
          <w:sz w:val="20"/>
          <w:szCs w:val="20"/>
          <w:color w:val="auto"/>
        </w:rPr>
      </w:pPr>
      <w:r>
        <w:rPr>
          <w:rFonts w:ascii="Arial" w:cs="Arial" w:eastAsia="Arial" w:hAnsi="Arial"/>
          <w:sz w:val="17"/>
          <w:szCs w:val="17"/>
          <w:color w:val="auto"/>
        </w:rPr>
        <w:t>As of December 31, 2020, we had 58 full-time employees, 15 of whom have Ph.D. degrees. None of our employees are represented by labor unions or covered by collective bargaining agreements. We consider our relationship with our employees to be good.</w:t>
      </w:r>
    </w:p>
    <w:p>
      <w:pPr>
        <w:spacing w:after="0" w:line="146" w:lineRule="exact"/>
        <w:rPr>
          <w:sz w:val="20"/>
          <w:szCs w:val="20"/>
          <w:color w:val="auto"/>
        </w:rPr>
      </w:pPr>
    </w:p>
    <w:p>
      <w:pPr>
        <w:ind w:right="140" w:firstLine="1175"/>
        <w:spacing w:after="0" w:line="286"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Information</w:t>
      </w:r>
    </w:p>
    <w:p>
      <w:pPr>
        <w:spacing w:after="0" w:line="229" w:lineRule="exact"/>
        <w:rPr>
          <w:sz w:val="20"/>
          <w:szCs w:val="20"/>
          <w:color w:val="auto"/>
        </w:rPr>
      </w:pPr>
    </w:p>
    <w:p>
      <w:pPr>
        <w:ind w:firstLine="1175"/>
        <w:spacing w:after="0" w:line="289" w:lineRule="auto"/>
        <w:rPr>
          <w:sz w:val="20"/>
          <w:szCs w:val="20"/>
          <w:color w:val="auto"/>
        </w:rPr>
      </w:pPr>
      <w:r>
        <w:rPr>
          <w:rFonts w:ascii="Arial" w:cs="Arial" w:eastAsia="Arial" w:hAnsi="Arial"/>
          <w:sz w:val="16"/>
          <w:szCs w:val="16"/>
          <w:color w:val="auto"/>
        </w:rPr>
        <w:t xml:space="preserve">We are headquartered in Foster City, California. We were incorporated in the state of Delaware on November 27, 2013 as Sutrovax, Inc. and we changed our name to Vaxcyte, Inc. in May 2020. Our website is located at </w:t>
      </w:r>
      <w:r>
        <w:rPr>
          <w:rFonts w:ascii="Arial" w:cs="Arial" w:eastAsia="Arial" w:hAnsi="Arial"/>
          <w:sz w:val="16"/>
          <w:szCs w:val="16"/>
          <w:u w:val="single" w:color="auto"/>
          <w:color w:val="auto"/>
        </w:rPr>
        <w:t>https://www.vaxcyte.com</w:t>
      </w:r>
      <w:r>
        <w:rPr>
          <w:rFonts w:ascii="Arial" w:cs="Arial" w:eastAsia="Arial" w:hAnsi="Arial"/>
          <w:sz w:val="16"/>
          <w:szCs w:val="16"/>
          <w:color w:val="auto"/>
        </w:rPr>
        <w:t xml:space="preserve">. Our Annual Reports on Form 10-K, Annual Reports on Form 10-K, Current Reports on Form 8-K including their exhibits, proxy and information statements, and amendments to those reports filed or furnished pursuant to Section 13(a), 14, and 15(d) of the Securities Exchange Act of 1934, as amended, or the Exchange Act, are available through the “Investors” portion of our website free of charge as soon as reasonably practicable after we electronically file such material with, or furnish it to, the SEC. Information on our website is not part of this Annual Report on Form 10-K or any of our other securities filings unless specifically incorporated herein or therein by reference. In addition, our filings with the SEC may be accessed through the SEC’s website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1175"/>
        <w:spacing w:after="0" w:line="270" w:lineRule="auto"/>
        <w:rPr>
          <w:sz w:val="20"/>
          <w:szCs w:val="20"/>
          <w:color w:val="auto"/>
        </w:rPr>
      </w:pPr>
      <w:r>
        <w:rPr>
          <w:rFonts w:ascii="Arial" w:cs="Arial" w:eastAsia="Arial" w:hAnsi="Arial"/>
          <w:sz w:val="17"/>
          <w:szCs w:val="17"/>
          <w:i w:val="1"/>
          <w:iCs w:val="1"/>
          <w:color w:val="auto"/>
        </w:rPr>
        <w:t>Our business involves significant risks, some of which are described below. You should carefully consider the risks described below, as well as the other information in this Annual Report on Form 10-K, including “Management’s Discussion and Analysis of Financial Condition and Results of Operations” and the financial statements and the related notes. Many of the following risks and uncertainties are, and will be, exacerbated by the COVID-19 pandemic and any worsening of the global business and economic environment as a result.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are in the early stages of vaccine development and have a very limited operating history and no products approved for commercial sale, which may make it difficult for you to evaluate the success of our business to date and to assess our future viability.</w:t>
      </w:r>
    </w:p>
    <w:p>
      <w:pPr>
        <w:spacing w:after="0" w:line="146" w:lineRule="exact"/>
        <w:rPr>
          <w:sz w:val="20"/>
          <w:szCs w:val="20"/>
          <w:color w:val="auto"/>
        </w:rPr>
      </w:pPr>
    </w:p>
    <w:p>
      <w:pPr>
        <w:ind w:right="200" w:firstLine="1175"/>
        <w:spacing w:after="0" w:line="272" w:lineRule="auto"/>
        <w:rPr>
          <w:sz w:val="20"/>
          <w:szCs w:val="20"/>
          <w:color w:val="auto"/>
        </w:rPr>
      </w:pPr>
      <w:r>
        <w:rPr>
          <w:rFonts w:ascii="Arial" w:cs="Arial" w:eastAsia="Arial" w:hAnsi="Arial"/>
          <w:sz w:val="17"/>
          <w:szCs w:val="17"/>
          <w:color w:val="auto"/>
        </w:rPr>
        <w:t>To date, we have devoted substantially all of our resources to performing research and development, undertaking preclinical studies and enabling manufacturing activities in support of our product development efforts, acquiring and developing our technology and vaccine candidates, organizing and staffing our company, performing business planning, establishing our intellectual property portfolio and raising capital to support and expand such activities. As an organization, we have not yet demonstrated an ability to successfully complete clinical development, obtain regulatory approvals, manufacture a commercial-scale product or conduct sales and marketing activities necessary for successful commercialization or arrange for a third party to conduct these activities on our behalf. Consequently, any predictions about our future success or viability may not be as accurate as they could be if we had a longer operating history.</w:t>
      </w:r>
    </w:p>
    <w:p>
      <w:pPr>
        <w:spacing w:after="0" w:line="177" w:lineRule="exact"/>
        <w:rPr>
          <w:sz w:val="20"/>
          <w:szCs w:val="20"/>
          <w:color w:val="auto"/>
        </w:rPr>
      </w:pPr>
    </w:p>
    <w:p>
      <w:pPr>
        <w:ind w:firstLine="1175"/>
        <w:spacing w:after="0" w:line="259" w:lineRule="auto"/>
        <w:rPr>
          <w:sz w:val="20"/>
          <w:szCs w:val="20"/>
          <w:color w:val="auto"/>
        </w:rPr>
      </w:pPr>
      <w:r>
        <w:rPr>
          <w:rFonts w:ascii="Arial" w:cs="Arial" w:eastAsia="Arial" w:hAnsi="Arial"/>
          <w:sz w:val="18"/>
          <w:szCs w:val="18"/>
          <w:color w:val="auto"/>
        </w:rPr>
        <w:t>Our current vaccine candidate pipeline includes four preclinical programs. We may encounter unforeseen expenses, difficulties, complications, delays and other known or unknown factors in achieving our business objectives, including with respect to our vaccine candidates. We will need to transition at some point from a company with a research and development focus to a company capable of supporting commercial activities. We may not be successful in such a transition.</w:t>
      </w:r>
    </w:p>
    <w:p>
      <w:pPr>
        <w:spacing w:after="0" w:line="18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have incurred significant net losses since inception and anticipate that we will continue to incur substantial net losses for the foreseeable future. We currently have no source of product revenue and may never achieve profitability. Our stock is a highly speculative investment.</w:t>
      </w:r>
    </w:p>
    <w:p>
      <w:pPr>
        <w:spacing w:after="0" w:line="124" w:lineRule="exact"/>
        <w:rPr>
          <w:sz w:val="20"/>
          <w:szCs w:val="20"/>
          <w:color w:val="auto"/>
        </w:rPr>
      </w:pPr>
    </w:p>
    <w:p>
      <w:pPr>
        <w:ind w:right="40" w:firstLine="1175"/>
        <w:spacing w:after="0" w:line="255" w:lineRule="auto"/>
        <w:rPr>
          <w:sz w:val="20"/>
          <w:szCs w:val="20"/>
          <w:color w:val="auto"/>
        </w:rPr>
      </w:pPr>
      <w:r>
        <w:rPr>
          <w:rFonts w:ascii="Arial" w:cs="Arial" w:eastAsia="Arial" w:hAnsi="Arial"/>
          <w:sz w:val="18"/>
          <w:szCs w:val="18"/>
          <w:color w:val="auto"/>
        </w:rPr>
        <w:t>We are a preclinical-stage biotechnology vaccine company that was incorporated in November 2013. Investment in preclinical-stage companies and vaccine development is highly speculative because it entails substantial upfront capital expenditures and significant risk that any potential vaccine candidate will not gain regulatory approval or become commercially viable. We do not have any products approved for sale and have not generated any revenue from product sales. As a result, we are not profitable and have incurred losses in each year since inception. Our net losses were $89.2 million and $50.3 million for the years ended December 31, 2020 and 2019, respectively. As of December 31, 2020, we had an accumulated deficit of $198.6 million.</w:t>
      </w:r>
    </w:p>
    <w:p>
      <w:pPr>
        <w:spacing w:after="0" w:line="192" w:lineRule="exact"/>
        <w:rPr>
          <w:sz w:val="20"/>
          <w:szCs w:val="20"/>
          <w:color w:val="auto"/>
        </w:rPr>
      </w:pPr>
    </w:p>
    <w:p>
      <w:pPr>
        <w:ind w:right="180" w:firstLine="1175"/>
        <w:spacing w:after="0" w:line="311" w:lineRule="auto"/>
        <w:rPr>
          <w:sz w:val="20"/>
          <w:szCs w:val="20"/>
          <w:color w:val="auto"/>
        </w:rPr>
      </w:pPr>
      <w:r>
        <w:rPr>
          <w:rFonts w:ascii="Arial" w:cs="Arial" w:eastAsia="Arial" w:hAnsi="Arial"/>
          <w:sz w:val="16"/>
          <w:szCs w:val="16"/>
          <w:color w:val="auto"/>
        </w:rPr>
        <w:t>We expect to continue to spend significant resources to fund research and development of, and seek regulatory approvals for, our vaccine candidates. We expect to incur substantial and increasing operating losses over the next several years as our research, development, manufacturing, preclinical testing and clinical trial activities increase. As a result, our accumulated deficit will also increase significantly. We may encounter unforeseen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line="273" w:lineRule="auto"/>
        <w:rPr>
          <w:sz w:val="20"/>
          <w:szCs w:val="20"/>
          <w:color w:val="auto"/>
        </w:rPr>
      </w:pPr>
      <w:r>
        <w:rPr>
          <w:rFonts w:ascii="Arial" w:cs="Arial" w:eastAsia="Arial" w:hAnsi="Arial"/>
          <w:sz w:val="17"/>
          <w:szCs w:val="17"/>
          <w:color w:val="auto"/>
        </w:rPr>
        <w:t>expenses, difficulties, complications, delays and other unknown factors that may adversely affect our business. The size of our future net losses will depend, in part, on the rate of future growth of our expenses and our ability to generate revenue. However, we do not expect to generate any revenue from commercial product sales unless and until we successfully complete development and obtain regulatory approval for one or more of our vaccine candidates, which we expect will take a number of years. Our prior losses and expected future losses have had and will continue to have an adverse effect on our stockholders’ equity and working capital. Even if we eventually generate revenue, we may never be profitable and, if we do achieve profitability, we may not be able to sustain or increase profitability on a quarterly or annual basis.</w:t>
      </w:r>
    </w:p>
    <w:p>
      <w:pPr>
        <w:spacing w:after="0" w:line="178"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which may not be available to us on acceptable terms, or at all. If we are unable to raise additional capital when needed, we could be forced to delay, reduce or terminate certain of our development programs or other operations.</w:t>
      </w:r>
    </w:p>
    <w:p>
      <w:pPr>
        <w:spacing w:after="0" w:line="184" w:lineRule="exact"/>
        <w:rPr>
          <w:sz w:val="20"/>
          <w:szCs w:val="20"/>
          <w:color w:val="auto"/>
        </w:rPr>
      </w:pPr>
    </w:p>
    <w:p>
      <w:pPr>
        <w:ind w:firstLine="1175"/>
        <w:spacing w:after="0" w:line="253" w:lineRule="auto"/>
        <w:rPr>
          <w:sz w:val="20"/>
          <w:szCs w:val="20"/>
          <w:color w:val="auto"/>
        </w:rPr>
      </w:pPr>
      <w:r>
        <w:rPr>
          <w:rFonts w:ascii="Arial" w:cs="Arial" w:eastAsia="Arial" w:hAnsi="Arial"/>
          <w:sz w:val="18"/>
          <w:szCs w:val="18"/>
          <w:color w:val="auto"/>
        </w:rPr>
        <w:t>As of December 31, 2020, we had cash and cash equivalents of $386.2 million. We believe our existing cash and cash equivalents will fund our current operating plans through at least the next 12 months from the date of this Annual Report on Form 10-K. However, our operating plan may change as a result of many factors currently unknown to us, and we may need to seek additional funds sooner than planned. We will need to raise additional capital before we can progress any of our vaccine candidates into a pivotal clinical trial. We expect to finance our cash needs through public or private equity or debt financings, third-party (including government) funding and marketing and distribution arrangements, as well as other collaborations, strategic alliances and licensing arrangements or any combination of these approaches. Our ability to raise additional capital may be adversely impacted by potential worsening global economic conditions and the recent disruptions to and volatility in the credit and financial markets in the United States and worldwide, including the trading price of common stock, resulting from the ongoing COVID-19 pandemic. Our future capital requirements will depend on many factors, including:</w:t>
      </w:r>
    </w:p>
    <w:p>
      <w:pPr>
        <w:spacing w:after="0" w:line="196" w:lineRule="exact"/>
        <w:rPr>
          <w:sz w:val="20"/>
          <w:szCs w:val="20"/>
          <w:color w:val="auto"/>
        </w:rPr>
      </w:pPr>
    </w:p>
    <w:p>
      <w:pPr>
        <w:ind w:left="1620" w:right="940" w:hanging="438"/>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scope, progress, results and costs of research and development, testing, screening, manufacturing, preclinical development and clinical trials;</w:t>
      </w:r>
    </w:p>
    <w:p>
      <w:pPr>
        <w:spacing w:after="0" w:line="170" w:lineRule="exact"/>
        <w:rPr>
          <w:rFonts w:ascii="Arial" w:cs="Arial" w:eastAsia="Arial" w:hAnsi="Arial"/>
          <w:sz w:val="18"/>
          <w:szCs w:val="18"/>
          <w:color w:val="auto"/>
        </w:rPr>
      </w:pPr>
    </w:p>
    <w:p>
      <w:pPr>
        <w:ind w:left="1620" w:right="200" w:hanging="438"/>
        <w:spacing w:after="0" w:line="279" w:lineRule="auto"/>
        <w:tabs>
          <w:tab w:leader="none" w:pos="1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U.S. Food and Drug Administration, or FDA, and comparable foreign regulatory authorities, including the potential for such authorities to require that we perform field efficacy studies for our pneumococcal conjugate vaccine, or PCV, candidates, require more studies than those that we currently expect or change their requirements regarding the data required to support a marketing application;</w:t>
      </w:r>
    </w:p>
    <w:p>
      <w:pPr>
        <w:spacing w:after="0" w:line="171" w:lineRule="exact"/>
        <w:rPr>
          <w:rFonts w:ascii="Arial" w:cs="Arial" w:eastAsia="Arial" w:hAnsi="Arial"/>
          <w:sz w:val="17"/>
          <w:szCs w:val="17"/>
          <w:color w:val="auto"/>
        </w:rPr>
      </w:pPr>
    </w:p>
    <w:p>
      <w:pPr>
        <w:ind w:left="1620" w:hanging="438"/>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any product commercialization;</w:t>
      </w:r>
    </w:p>
    <w:p>
      <w:pPr>
        <w:spacing w:after="0" w:line="252" w:lineRule="exact"/>
        <w:rPr>
          <w:rFonts w:ascii="Arial" w:cs="Arial" w:eastAsia="Arial" w:hAnsi="Arial"/>
          <w:sz w:val="18"/>
          <w:szCs w:val="18"/>
          <w:color w:val="auto"/>
        </w:rPr>
      </w:pPr>
    </w:p>
    <w:p>
      <w:pPr>
        <w:ind w:left="1620" w:right="20" w:hanging="438"/>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including product manufacturing, marketing, sales, royalties and distribution, for any of our vaccine candidates for which we receive marketing approval;</w:t>
      </w:r>
    </w:p>
    <w:p>
      <w:pPr>
        <w:spacing w:after="0" w:line="170" w:lineRule="exact"/>
        <w:rPr>
          <w:rFonts w:ascii="Arial" w:cs="Arial" w:eastAsia="Arial" w:hAnsi="Arial"/>
          <w:sz w:val="18"/>
          <w:szCs w:val="18"/>
          <w:color w:val="auto"/>
        </w:rPr>
      </w:pPr>
    </w:p>
    <w:p>
      <w:pPr>
        <w:ind w:left="1620" w:right="20" w:hanging="438"/>
        <w:spacing w:after="0" w:line="263"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83" w:lineRule="exact"/>
        <w:rPr>
          <w:rFonts w:ascii="Arial" w:cs="Arial" w:eastAsia="Arial" w:hAnsi="Arial"/>
          <w:sz w:val="18"/>
          <w:szCs w:val="18"/>
          <w:color w:val="auto"/>
        </w:rPr>
      </w:pPr>
    </w:p>
    <w:p>
      <w:pPr>
        <w:ind w:left="1620" w:hanging="438"/>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252" w:lineRule="exact"/>
        <w:rPr>
          <w:rFonts w:ascii="Arial" w:cs="Arial" w:eastAsia="Arial" w:hAnsi="Arial"/>
          <w:sz w:val="18"/>
          <w:szCs w:val="18"/>
          <w:color w:val="auto"/>
        </w:rPr>
      </w:pPr>
    </w:p>
    <w:p>
      <w:pPr>
        <w:ind w:left="1620" w:right="260" w:hanging="438"/>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or sales to foreign governments, of our vaccine candidates for which we may receive marketing approval;</w:t>
      </w:r>
    </w:p>
    <w:p>
      <w:pPr>
        <w:spacing w:after="0" w:line="170" w:lineRule="exact"/>
        <w:rPr>
          <w:rFonts w:ascii="Arial" w:cs="Arial" w:eastAsia="Arial" w:hAnsi="Arial"/>
          <w:sz w:val="18"/>
          <w:szCs w:val="18"/>
          <w:color w:val="auto"/>
        </w:rPr>
      </w:pPr>
    </w:p>
    <w:p>
      <w:pPr>
        <w:ind w:left="1620" w:right="20" w:hanging="438"/>
        <w:spacing w:after="0" w:line="263"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to establish, maintain, expand, enforce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183" w:lineRule="exact"/>
        <w:rPr>
          <w:rFonts w:ascii="Arial" w:cs="Arial" w:eastAsia="Arial" w:hAnsi="Arial"/>
          <w:sz w:val="18"/>
          <w:szCs w:val="18"/>
          <w:color w:val="auto"/>
        </w:rPr>
      </w:pPr>
    </w:p>
    <w:p>
      <w:pPr>
        <w:ind w:left="1620" w:hanging="438"/>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expenses needed to attract, hire and retain skilled personnel;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9" w:name="page50"/>
    <w:bookmarkEnd w:id="49"/>
    <w:p>
      <w:pPr>
        <w:ind w:left="1620" w:hanging="4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52" w:lineRule="exact"/>
        <w:rPr>
          <w:sz w:val="20"/>
          <w:szCs w:val="20"/>
          <w:color w:val="auto"/>
        </w:rPr>
      </w:pPr>
    </w:p>
    <w:p>
      <w:pPr>
        <w:ind w:firstLine="1175"/>
        <w:spacing w:after="0" w:line="291" w:lineRule="auto"/>
        <w:rPr>
          <w:sz w:val="20"/>
          <w:szCs w:val="20"/>
          <w:color w:val="auto"/>
        </w:rPr>
      </w:pPr>
      <w:r>
        <w:rPr>
          <w:rFonts w:ascii="Arial" w:cs="Arial" w:eastAsia="Arial" w:hAnsi="Arial"/>
          <w:sz w:val="16"/>
          <w:szCs w:val="16"/>
          <w:color w:val="auto"/>
        </w:rPr>
        <w:t>Our ability to raise additional funds will depend on financial, economic and other factors, many of which are beyond our control. 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vaccine candidates or other research and development initiatives. Our license agreements may also be terminated if we are unable to meet the payment obligations or milestones under the agreements. We could be required to seek collaborators for our vaccine candidates at an earlier stage than otherwise would be desirable or on terms that are less favorable than might otherwise be available, or relinquish or license on unfavorable terms our rights to our vaccine candidates in markets where we otherwise would seek to pursue development or commercialization ourselves.</w:t>
      </w:r>
    </w:p>
    <w:p>
      <w:pPr>
        <w:spacing w:after="0" w:line="166" w:lineRule="exact"/>
        <w:rPr>
          <w:sz w:val="20"/>
          <w:szCs w:val="20"/>
          <w:color w:val="auto"/>
        </w:rPr>
      </w:pPr>
    </w:p>
    <w:p>
      <w:pPr>
        <w:ind w:right="560"/>
        <w:spacing w:after="0" w:line="340" w:lineRule="auto"/>
        <w:rPr>
          <w:sz w:val="20"/>
          <w:szCs w:val="20"/>
          <w:color w:val="auto"/>
        </w:rPr>
      </w:pPr>
      <w:r>
        <w:rPr>
          <w:rFonts w:ascii="Arial" w:cs="Arial" w:eastAsia="Arial" w:hAnsi="Arial"/>
          <w:sz w:val="15"/>
          <w:szCs w:val="15"/>
          <w:b w:val="1"/>
          <w:bCs w:val="1"/>
          <w:i w:val="1"/>
          <w:iCs w:val="1"/>
          <w:color w:val="auto"/>
        </w:rPr>
        <w:t>Due to the significant resources required for the development of our vaccine candidates, and depending on our ability to access capital, we must prioritize development of certain vaccine candidates. Moreover, we may expend our limited resources on vaccine candidates that do not yield a successful vaccine and fail to capitalize on vaccine candidates that may be more profitable or for which there is a greater likelihood of success.</w:t>
      </w:r>
    </w:p>
    <w:p>
      <w:pPr>
        <w:spacing w:after="0" w:line="131" w:lineRule="exact"/>
        <w:rPr>
          <w:sz w:val="20"/>
          <w:szCs w:val="20"/>
          <w:color w:val="auto"/>
        </w:rPr>
      </w:pPr>
    </w:p>
    <w:p>
      <w:pPr>
        <w:ind w:firstLine="1175"/>
        <w:spacing w:after="0" w:line="288" w:lineRule="auto"/>
        <w:rPr>
          <w:sz w:val="20"/>
          <w:szCs w:val="20"/>
          <w:color w:val="auto"/>
        </w:rPr>
      </w:pPr>
      <w:r>
        <w:rPr>
          <w:rFonts w:ascii="Arial" w:cs="Arial" w:eastAsia="Arial" w:hAnsi="Arial"/>
          <w:sz w:val="16"/>
          <w:szCs w:val="16"/>
          <w:color w:val="auto"/>
        </w:rPr>
        <w:t>Due to the significant resources required for the development of our vaccine candidates, we must decide which vaccine candidates to pursue and advance and the amount of resources to allocate to each. Our decisions concerning the allocation of research, development, management and financial resources toward particular vaccine candidates may not lead to the development of any viable commercial vaccines and may divert resources away from better opportunities. Similarly, our potential decisions to delay, terminate, license or collaborate with third parties in respect of certain vaccine candidates may subsequently also prove to be less than optimal and could cause us to miss valuable opportunities. If we make incorrect determinations regarding the viability or market potential of any of our vaccine candidates or misread trends in the biopharmaceutical industry, in particular for vaccines, our business could be seriously harmed. As a result, we may fail to capitalize on viable commercial products or profitable market opportunities, be required to forego or delay pursuit of opportunities with other vaccine candidates that may later prove to have greater commercial potential than those we choose to pursue or relinquish valuable rights to such vaccine candidates through collaboration, licensing or other royalty arrangements in cases in which it would have been advantageous for us to invest additional resources to retain sole development and commercialization rights.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Our approach to the discovery and development of our vaccine candidates is based on novel technologies that are unproven, which may expose us to unforeseen risks, require us to modify processes, and make it difficult to predict the time and cost of vaccine candidate development and the timing to apply for and obtain regulatory approvals.</w:t>
      </w:r>
    </w:p>
    <w:p>
      <w:pPr>
        <w:spacing w:after="0" w:line="184" w:lineRule="exact"/>
        <w:rPr>
          <w:sz w:val="20"/>
          <w:szCs w:val="20"/>
          <w:color w:val="auto"/>
        </w:rPr>
      </w:pPr>
    </w:p>
    <w:p>
      <w:pPr>
        <w:ind w:firstLine="1175"/>
        <w:spacing w:after="0" w:line="290" w:lineRule="auto"/>
        <w:rPr>
          <w:sz w:val="20"/>
          <w:szCs w:val="20"/>
          <w:color w:val="auto"/>
        </w:rPr>
      </w:pPr>
      <w:r>
        <w:rPr>
          <w:rFonts w:ascii="Arial" w:cs="Arial" w:eastAsia="Arial" w:hAnsi="Arial"/>
          <w:sz w:val="16"/>
          <w:szCs w:val="16"/>
          <w:color w:val="auto"/>
        </w:rPr>
        <w:t>We are developing a pipeline of vaccine candidates utilizing our cell-free protein synthesis platform, which is comprised of the XpressCF platform exclusively licensed from Sutro Biopharma, and our proprietary know-how for vaccine applications against infectious disease, and our future success depends on the successful application of this approach to vaccine development. We are in the early stages of developing our vaccine candidates and there can be no assurance that any development problems we experience in the future will not cause significant delays or unanticipated costs, or that such development problems can be overcome. We may also experience delays in developing a sustainable, reproducible and scalable manufacturing process or transferring that process to manufacturing partners, which may prevent us from completing our clinical trials or commercializing our products on a timely or profitable basis, if at all. In addition, since we have not yet entered clinical development, we do not know the specific doses that may be effective in the clinic or, if approved, commercially. Finding a suitable dose may delay our anticipated clinical development timelines.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0" w:name="page51"/>
    <w:bookmarkEnd w:id="50"/>
    <w:p>
      <w:pPr>
        <w:ind w:right="20" w:firstLine="1175"/>
        <w:spacing w:after="0" w:line="269" w:lineRule="auto"/>
        <w:rPr>
          <w:sz w:val="20"/>
          <w:szCs w:val="20"/>
          <w:color w:val="auto"/>
        </w:rPr>
      </w:pPr>
      <w:r>
        <w:rPr>
          <w:rFonts w:ascii="Arial" w:cs="Arial" w:eastAsia="Arial" w:hAnsi="Arial"/>
          <w:sz w:val="17"/>
          <w:szCs w:val="17"/>
          <w:color w:val="auto"/>
        </w:rPr>
        <w:t>Furthermore, our expectations with regard to our scalability and costs of manufacturing may vary significantly as we develop our vaccine candidates and understand these critical factors. Conjugate vaccine development is highly complex, and development of broad-valency PCVs is further complicated by the number of components, analytical assays and potential for adjustments, including but not limited to changes in raw materials, composition, formulation, manufacturing methods and dosing, which could result in drug substances and/or drug product that may vary between preclinical and clinical studies over time. Over the course of the development and manufacturing of VAX-24, we have encountered process-related matters that have required us to make adjustments to our processes. Recently, we encountered such process-related matters during our drug substance manufacturing campaign for VAX-24 at Lonza. The cumulative impact of the time required to make adjustments to our processes led to a delay of our drug substance manufacturing campaign due to scheduling conflicts and capacity constraints at Lonza. Although Lonza has resumed manufacturing of VAX-24, there can be no assurance that we or Lonza will be able to successfully manufacture drug substances in a timely manner in the future, or at all, or that there will not be further delays due to additional process adjustments we are required to make or due to future scheduling conflicts at Lonza. Such process changes and manufacturing delays have caused a change in our IND timelines and future changes or delays could impact future timelines for VAX-24 or for our other product candidates.</w:t>
      </w:r>
    </w:p>
    <w:p>
      <w:pPr>
        <w:spacing w:after="0" w:line="179" w:lineRule="exact"/>
        <w:rPr>
          <w:sz w:val="20"/>
          <w:szCs w:val="20"/>
          <w:color w:val="auto"/>
        </w:rPr>
      </w:pPr>
    </w:p>
    <w:p>
      <w:pPr>
        <w:ind w:firstLine="1175"/>
        <w:spacing w:after="0" w:line="286" w:lineRule="auto"/>
        <w:rPr>
          <w:sz w:val="20"/>
          <w:szCs w:val="20"/>
          <w:color w:val="auto"/>
        </w:rPr>
      </w:pPr>
      <w:r>
        <w:rPr>
          <w:rFonts w:ascii="Arial" w:cs="Arial" w:eastAsia="Arial" w:hAnsi="Arial"/>
          <w:sz w:val="16"/>
          <w:szCs w:val="16"/>
          <w:color w:val="auto"/>
        </w:rPr>
        <w:t>In addition, the preclinical and clinical trial requirements of the FDA, European Medicines Agency, or EMA, and other regulatory agencies and the criteria these regulators use to determine the safety and efficacy of a vaccine candidate are determined according to the type, complexity, novelty and intended use and market of the potential products. Approvals by the FDA and EMA for existing pneumococcal vaccines, such as Prevnar 13 and Pneumovax 23, may not be indicative of what these regulators may require for approval of our vaccine candidates. For example, we expect to use opsonophagocytic activity, or OPA, titers as the primary immunogenicity surrogate endpoint for the VAX-24 program in adults because Prevnar 13 was approved based on the establishment of non-inferiority of serotype-specific OPA responses relative to Pneumovax 23; however, there can be no assurance that this streamlined non-inferiority approach will be sufficient for regulatory approval or that regulators will not require field efficacy trials. Furthermore, while there have been approvals granted for both pneumococcal conjugate vaccines and meningococcal conjugate vaccines based on surrogate immune endpoints rather than field efficacy studies, we will not be able to confirm this approach’s applicability for our vaccines until we complete our Phase 2 clinical development program. Additionally, novel aspects of our vaccine candidates and manufacturing processes may create further challenges in obtaining regulatory approval. The regulatory approval process for our novel vaccine candidates can be more complex and consequently more expensive and take longer than for other, better known or extensively studied pharmaceutical or other vaccine candidates. More generally, approvals by any regulatory agency may not be indicative of what any other regulatory agency may require for approval or what such regulatory agencies may require for approval in connection with new vaccine candidates. Moreover, our vaccine candidates may not perform successfully in clinical trials.</w:t>
      </w:r>
    </w:p>
    <w:p>
      <w:pPr>
        <w:spacing w:after="0" w:line="17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Our vaccine candidates have never been tested in human subjects and are in early, preclinical stages of development and may fail in development or suffer delays that materially and adversely affect their commercial viability. If we are unable to complete development of or commercialize our vaccine candidates or experience significant delays in doing so, our business would be materially harmed.</w:t>
      </w:r>
    </w:p>
    <w:p>
      <w:pPr>
        <w:spacing w:after="0" w:line="165" w:lineRule="exact"/>
        <w:rPr>
          <w:sz w:val="20"/>
          <w:szCs w:val="20"/>
          <w:color w:val="auto"/>
        </w:rPr>
      </w:pPr>
    </w:p>
    <w:p>
      <w:pPr>
        <w:ind w:right="100" w:firstLine="1175"/>
        <w:spacing w:after="0" w:line="288" w:lineRule="auto"/>
        <w:rPr>
          <w:sz w:val="20"/>
          <w:szCs w:val="20"/>
          <w:color w:val="auto"/>
        </w:rPr>
      </w:pPr>
      <w:r>
        <w:rPr>
          <w:rFonts w:ascii="Arial" w:cs="Arial" w:eastAsia="Arial" w:hAnsi="Arial"/>
          <w:sz w:val="16"/>
          <w:szCs w:val="16"/>
          <w:color w:val="auto"/>
        </w:rPr>
        <w:t>We have no vaccine candidates that have entered clinical trials or products that are on the market, and all of our vaccine candidates are in early discovery and preclinical stages of development. Vaccine development generally takes many years. In particular, our most advanced vaccine candidate, VAX-24, showed positive results in a preclinical proof-of-concept study in 2017, and we expect to submit an investigational new drug, or IND, application to the FDA between January and June 2022 and initiate our Phase 1/2 clinical proof-of-concept study in adults thereafter. We expect to announce topline data from this study between late 2022 and early 2023. Our other vaccine candidates are in earlier stages of discovery and preclinical development and may never advance to clinical-stage development. Our ability to achieve and sustain profitability depends on obtaining regulatory approvals for and successfully commercializing our vaccine candidates, either alone or with third parties, and we cannot guarantee that we will ever obtain regulatory approval for any of our vaccine candidates. We have limited experience in conducting and managing the clinical trials necessary to obtain regulatory approvals, including approval by the FDA. Before obtaining regulatory approval for the commercial distribution of our vaccine candidates, we must conduct extensive preclinical studies and clinical trials to demonstrate the safety and efficacy of our vaccine candidates.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right="360" w:firstLine="1175"/>
        <w:spacing w:after="0" w:line="308" w:lineRule="auto"/>
        <w:rPr>
          <w:sz w:val="20"/>
          <w:szCs w:val="20"/>
          <w:color w:val="auto"/>
        </w:rPr>
      </w:pPr>
      <w:r>
        <w:rPr>
          <w:rFonts w:ascii="Arial" w:cs="Arial" w:eastAsia="Arial" w:hAnsi="Arial"/>
          <w:sz w:val="17"/>
          <w:szCs w:val="17"/>
          <w:color w:val="auto"/>
        </w:rPr>
        <w:t>We may not have the financial resources to continue development of, or to enter into new collaborations for, a vaccine candidate if we experience any issues that delay or prevent regulatory approval of, or our ability to commercialize, vaccine candidates, including:</w:t>
      </w:r>
    </w:p>
    <w:p>
      <w:pPr>
        <w:spacing w:after="0" w:line="146" w:lineRule="exact"/>
        <w:rPr>
          <w:sz w:val="20"/>
          <w:szCs w:val="20"/>
          <w:color w:val="auto"/>
        </w:rPr>
      </w:pPr>
    </w:p>
    <w:p>
      <w:pPr>
        <w:ind w:left="1620" w:right="400" w:hanging="438"/>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or inconclusive results from our preclinical or clinical trials, leading to a decision or requirement to conduct additional preclinical studies or clinical trials or abandon a program;</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product-related adverse effects experienced by volunteers in our clinical trials;</w:t>
      </w:r>
    </w:p>
    <w:p>
      <w:pPr>
        <w:spacing w:after="0" w:line="252" w:lineRule="exact"/>
        <w:rPr>
          <w:rFonts w:ascii="Arial" w:cs="Arial" w:eastAsia="Arial" w:hAnsi="Arial"/>
          <w:sz w:val="18"/>
          <w:szCs w:val="18"/>
          <w:color w:val="auto"/>
        </w:rPr>
      </w:pPr>
    </w:p>
    <w:p>
      <w:pPr>
        <w:ind w:left="1620" w:right="140" w:hanging="438"/>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achieving successful development of our manufacturing processes, including process development and scale-up activities to supply products for preclinical studies, clinical trials and commercial sale, if approved;</w:t>
      </w:r>
    </w:p>
    <w:p>
      <w:pPr>
        <w:spacing w:after="0" w:line="170" w:lineRule="exact"/>
        <w:rPr>
          <w:rFonts w:ascii="Arial" w:cs="Arial" w:eastAsia="Arial" w:hAnsi="Arial"/>
          <w:sz w:val="18"/>
          <w:szCs w:val="18"/>
          <w:color w:val="auto"/>
        </w:rPr>
      </w:pPr>
    </w:p>
    <w:p>
      <w:pPr>
        <w:jc w:val="both"/>
        <w:ind w:left="1620" w:right="140" w:hanging="438"/>
        <w:spacing w:after="0" w:line="263"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timely completion of our preclinical studies and clinical trials, including any field efficacy studies that may be required, which may be significantly slower or cost more than we currently anticipate and will depend substantially upon the performance of third-party contractors;</w:t>
      </w:r>
    </w:p>
    <w:p>
      <w:pPr>
        <w:spacing w:after="0" w:line="183" w:lineRule="exact"/>
        <w:rPr>
          <w:rFonts w:ascii="Arial" w:cs="Arial" w:eastAsia="Arial" w:hAnsi="Arial"/>
          <w:sz w:val="18"/>
          <w:szCs w:val="18"/>
          <w:color w:val="auto"/>
        </w:rPr>
      </w:pPr>
    </w:p>
    <w:p>
      <w:pPr>
        <w:ind w:left="1620" w:right="240" w:hanging="438"/>
        <w:spacing w:after="0" w:line="263"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of us or any third-party contract manufacturer to scale up manufacturing of our vaccine candidates to supply the needs of preclinical studies, clinical trials and commercial sales, and to manufacture such products in conformity with regulatory requirements;</w:t>
      </w:r>
    </w:p>
    <w:p>
      <w:pPr>
        <w:spacing w:after="0" w:line="183" w:lineRule="exact"/>
        <w:rPr>
          <w:rFonts w:ascii="Arial" w:cs="Arial" w:eastAsia="Arial" w:hAnsi="Arial"/>
          <w:sz w:val="18"/>
          <w:szCs w:val="18"/>
          <w:color w:val="auto"/>
        </w:rPr>
      </w:pPr>
    </w:p>
    <w:p>
      <w:pPr>
        <w:ind w:left="1620" w:right="60" w:hanging="438"/>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submitting IND applications or compatible foreign applications or delays or failures in obtaining necessary approvals from regulators to commence a clinical trial, or suspension or termination of a clinical trial once commenced;</w:t>
      </w:r>
    </w:p>
    <w:p>
      <w:pPr>
        <w:spacing w:after="0" w:line="170" w:lineRule="exact"/>
        <w:rPr>
          <w:rFonts w:ascii="Arial" w:cs="Arial" w:eastAsia="Arial" w:hAnsi="Arial"/>
          <w:sz w:val="18"/>
          <w:szCs w:val="18"/>
          <w:color w:val="auto"/>
        </w:rPr>
      </w:pPr>
    </w:p>
    <w:p>
      <w:pPr>
        <w:ind w:left="1620" w:right="480" w:hanging="438"/>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conditions imposed by the FDA or similar foreign authorities regarding the scope or design of our clinical trials, including any requirements to perform field efficacy studies;</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enrolling subjects in our clinical trials;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inadequate supply or quality of vaccine candidate components or materials or other supplies necessary for conducting clinical trials;</w:t>
      </w:r>
    </w:p>
    <w:p>
      <w:pPr>
        <w:spacing w:after="0" w:line="275" w:lineRule="exact"/>
        <w:rPr>
          <w:rFonts w:ascii="Arial" w:cs="Arial" w:eastAsia="Arial" w:hAnsi="Arial"/>
          <w:sz w:val="16"/>
          <w:szCs w:val="16"/>
          <w:color w:val="auto"/>
        </w:rPr>
      </w:pPr>
    </w:p>
    <w:p>
      <w:pPr>
        <w:ind w:left="1620" w:hanging="438"/>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obtain alternative sources of supply for which we have a single source for vaccine candidate components;</w:t>
      </w:r>
    </w:p>
    <w:p>
      <w:pPr>
        <w:spacing w:after="0" w:line="252" w:lineRule="exact"/>
        <w:rPr>
          <w:rFonts w:ascii="Arial" w:cs="Arial" w:eastAsia="Arial" w:hAnsi="Arial"/>
          <w:sz w:val="18"/>
          <w:szCs w:val="18"/>
          <w:color w:val="auto"/>
        </w:rPr>
      </w:pPr>
    </w:p>
    <w:p>
      <w:pPr>
        <w:ind w:left="1620" w:hanging="438"/>
        <w:spacing w:after="0" w:line="263"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from third-party payors, including government authorities, pertaining to the vaccine candidate, once approved, and patients’ willingness to pay out-of-pocket if third-party payor reimbursement is limited or not available;</w:t>
      </w:r>
    </w:p>
    <w:p>
      <w:pPr>
        <w:spacing w:after="0" w:line="183" w:lineRule="exact"/>
        <w:rPr>
          <w:rFonts w:ascii="Arial" w:cs="Arial" w:eastAsia="Arial" w:hAnsi="Arial"/>
          <w:sz w:val="18"/>
          <w:szCs w:val="18"/>
          <w:color w:val="auto"/>
        </w:rPr>
      </w:pPr>
    </w:p>
    <w:p>
      <w:pPr>
        <w:ind w:left="1620" w:right="20" w:hanging="438"/>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than anticipated costs of our clinical trials, including chemistry, manufacturing and controls, or CMC, activities related to our clinical trials;</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harmful side effects or inability of our vaccine candidates to meet efficacy endpoints;</w:t>
      </w:r>
    </w:p>
    <w:p>
      <w:pPr>
        <w:spacing w:after="0" w:line="252" w:lineRule="exact"/>
        <w:rPr>
          <w:rFonts w:ascii="Arial" w:cs="Arial" w:eastAsia="Arial" w:hAnsi="Arial"/>
          <w:sz w:val="18"/>
          <w:szCs w:val="18"/>
          <w:color w:val="auto"/>
        </w:rPr>
      </w:pPr>
    </w:p>
    <w:p>
      <w:pPr>
        <w:ind w:left="1620" w:right="780" w:hanging="438"/>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one or more of our clinical trial sites or our contract manufacturers’ facilities;</w:t>
      </w:r>
    </w:p>
    <w:p>
      <w:pPr>
        <w:spacing w:after="0" w:line="170" w:lineRule="exact"/>
        <w:rPr>
          <w:rFonts w:ascii="Arial" w:cs="Arial" w:eastAsia="Arial" w:hAnsi="Arial"/>
          <w:sz w:val="18"/>
          <w:szCs w:val="18"/>
          <w:color w:val="auto"/>
        </w:rPr>
      </w:pPr>
    </w:p>
    <w:p>
      <w:pPr>
        <w:ind w:left="1620" w:right="60" w:hanging="438"/>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obligations in a timely manner, or at all;</w:t>
      </w:r>
    </w:p>
    <w:p>
      <w:pPr>
        <w:spacing w:after="0" w:line="170" w:lineRule="exact"/>
        <w:rPr>
          <w:rFonts w:ascii="Arial" w:cs="Arial" w:eastAsia="Arial" w:hAnsi="Arial"/>
          <w:sz w:val="18"/>
          <w:szCs w:val="18"/>
          <w:color w:val="auto"/>
        </w:rPr>
      </w:pPr>
    </w:p>
    <w:p>
      <w:pPr>
        <w:ind w:left="1620" w:right="300" w:hanging="438"/>
        <w:spacing w:after="0" w:line="308" w:lineRule="auto"/>
        <w:tabs>
          <w:tab w:leader="none" w:pos="1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delays and changes in regulatory requirements, policy and guidelines, including the imposition of additional regulatory oversight around clinical testing generally or with respect to our technology or vaccine candidates in particular; or</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2" w:name="page53"/>
    <w:bookmarkEnd w:id="52"/>
    <w:p>
      <w:pPr>
        <w:ind w:left="1620" w:hanging="438"/>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varying interpretations of our data by the FDA and comparable foreign regulatory authorities.</w:t>
      </w:r>
    </w:p>
    <w:p>
      <w:pPr>
        <w:spacing w:after="0" w:line="252" w:lineRule="exact"/>
        <w:rPr>
          <w:sz w:val="20"/>
          <w:szCs w:val="20"/>
          <w:color w:val="auto"/>
        </w:rPr>
      </w:pPr>
    </w:p>
    <w:p>
      <w:pPr>
        <w:jc w:val="both"/>
        <w:ind w:right="100" w:firstLine="1175"/>
        <w:spacing w:after="0" w:line="257" w:lineRule="auto"/>
        <w:rPr>
          <w:sz w:val="20"/>
          <w:szCs w:val="20"/>
          <w:color w:val="auto"/>
        </w:rPr>
      </w:pPr>
      <w:r>
        <w:rPr>
          <w:rFonts w:ascii="Arial" w:cs="Arial" w:eastAsia="Arial" w:hAnsi="Arial"/>
          <w:sz w:val="18"/>
          <w:szCs w:val="18"/>
          <w:color w:val="auto"/>
        </w:rPr>
        <w:t>In particular, while we believe our PCVs could receive regulatory approval based on well-defined surrogate immune endpoints, consistent with how other PCVs have obtained regulatory approval in the past, rather than requiring clinical field efficacy studies, there can be no assurance that the FDA or comparable foreign regulatory authorities will provide approvals on such basis. In addition, changes to the standard of care or the approval of new vaccines could change the threshold for achievement of non-inferiority using the established surrogate immune endpoints that our PCVs will need to meet in our clinical trials.</w:t>
      </w:r>
    </w:p>
    <w:p>
      <w:pPr>
        <w:spacing w:after="0" w:line="188" w:lineRule="exact"/>
        <w:rPr>
          <w:sz w:val="20"/>
          <w:szCs w:val="20"/>
          <w:color w:val="auto"/>
        </w:rPr>
      </w:pPr>
    </w:p>
    <w:p>
      <w:pPr>
        <w:jc w:val="both"/>
        <w:ind w:right="100" w:firstLine="1175"/>
        <w:spacing w:after="0" w:line="308" w:lineRule="auto"/>
        <w:rPr>
          <w:sz w:val="20"/>
          <w:szCs w:val="20"/>
          <w:color w:val="auto"/>
        </w:rPr>
      </w:pPr>
      <w:r>
        <w:rPr>
          <w:rFonts w:ascii="Arial" w:cs="Arial" w:eastAsia="Arial" w:hAnsi="Arial"/>
          <w:sz w:val="17"/>
          <w:szCs w:val="17"/>
          <w:color w:val="auto"/>
        </w:rPr>
        <w:t>Our inability to complete development of or commercialize our vaccine candidates, or significant delays in doing so due to one or more of these factors, could have a material and adverse effect on our business, financial condition, results of operations and prospects.</w:t>
      </w:r>
    </w:p>
    <w:p>
      <w:pPr>
        <w:spacing w:after="0" w:line="146" w:lineRule="exact"/>
        <w:rPr>
          <w:sz w:val="20"/>
          <w:szCs w:val="20"/>
          <w:color w:val="auto"/>
        </w:rPr>
      </w:pPr>
    </w:p>
    <w:p>
      <w:pPr>
        <w:ind w:right="20" w:firstLine="1175"/>
        <w:spacing w:after="0" w:line="291" w:lineRule="auto"/>
        <w:rPr>
          <w:sz w:val="20"/>
          <w:szCs w:val="20"/>
          <w:color w:val="auto"/>
        </w:rPr>
      </w:pPr>
      <w:r>
        <w:rPr>
          <w:rFonts w:ascii="Arial" w:cs="Arial" w:eastAsia="Arial" w:hAnsi="Arial"/>
          <w:sz w:val="16"/>
          <w:szCs w:val="16"/>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vaccine candidates.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business is highly dependent on the success of VAX-24, which is in the early stages of development. If we are unable to obtain approval for VAX-24 and effectively commercialize VAX-24, our business would be significantly harmed.</w:t>
      </w:r>
    </w:p>
    <w:p>
      <w:pPr>
        <w:spacing w:after="0" w:line="170" w:lineRule="exact"/>
        <w:rPr>
          <w:sz w:val="20"/>
          <w:szCs w:val="20"/>
          <w:color w:val="auto"/>
        </w:rPr>
      </w:pPr>
    </w:p>
    <w:p>
      <w:pPr>
        <w:ind w:right="20" w:firstLine="1175"/>
        <w:spacing w:after="0" w:line="272" w:lineRule="auto"/>
        <w:rPr>
          <w:sz w:val="20"/>
          <w:szCs w:val="20"/>
          <w:color w:val="auto"/>
        </w:rPr>
      </w:pPr>
      <w:r>
        <w:rPr>
          <w:rFonts w:ascii="Arial" w:cs="Arial" w:eastAsia="Arial" w:hAnsi="Arial"/>
          <w:sz w:val="17"/>
          <w:szCs w:val="17"/>
          <w:color w:val="auto"/>
        </w:rPr>
        <w:t>Our business and future success depends on our ability to obtain regulatory approval of, and then successfully commercialize, our most advanced vaccine candidate, VAX-24. VAX-24 is in the early stages of development, and to date has only completed preclinical proof-of-concept studies as compared to Prevnar 13 and polysaccharide/alum in rabbits. Although VAX-24 has produced successful results in animal studies, it may not demonstrate the same properties in humans and may interact with human biological systems in unforeseen, ineffective or harmful ways. VAX-24 will require additional clinical and non-clinical development, regulatory review and approval in multiple jurisdictions, substantial investment, access to sufficient preclinical, clinical and commercial manufacturing capacity and significant marketing efforts before we can generate any revenue from product sales. We cannot provide any assurance that we will be able to successfully advance VAX-24 through the development process.</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clinical and commercial success of VAX-24 and future vaccine candidates will depend on a number of factors, including the following:</w:t>
      </w:r>
    </w:p>
    <w:p>
      <w:pPr>
        <w:spacing w:after="0" w:line="225" w:lineRule="exact"/>
        <w:rPr>
          <w:sz w:val="20"/>
          <w:szCs w:val="20"/>
          <w:color w:val="auto"/>
        </w:rPr>
      </w:pPr>
    </w:p>
    <w:p>
      <w:pPr>
        <w:ind w:left="1620" w:hanging="438"/>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raise any additional required capital on acceptable terms, or at all;</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complete IND-enabling studies and successfully submit IND or comparable applications;</w:t>
      </w:r>
    </w:p>
    <w:p>
      <w:pPr>
        <w:spacing w:after="0" w:line="252" w:lineRule="exact"/>
        <w:rPr>
          <w:rFonts w:ascii="Arial" w:cs="Arial" w:eastAsia="Arial" w:hAnsi="Arial"/>
          <w:sz w:val="18"/>
          <w:szCs w:val="18"/>
          <w:color w:val="auto"/>
        </w:rPr>
      </w:pPr>
    </w:p>
    <w:p>
      <w:pPr>
        <w:ind w:left="1620" w:right="120" w:hanging="438"/>
        <w:spacing w:after="0" w:line="259"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third parties with whom we contract to manufacture adequate clinical study and commercial supplies of our lead vaccine candidates or any future vaccine candidates, remain in good standing with regulatory agencies and develop, validate and maintain commercially viable manufacturing processes that are compliant with current good manufacturing practices, or cGMP, and do so in a timely manner;</w:t>
      </w:r>
    </w:p>
    <w:p>
      <w:pPr>
        <w:spacing w:after="0" w:line="186" w:lineRule="exact"/>
        <w:rPr>
          <w:rFonts w:ascii="Arial" w:cs="Arial" w:eastAsia="Arial" w:hAnsi="Arial"/>
          <w:sz w:val="18"/>
          <w:szCs w:val="18"/>
          <w:color w:val="auto"/>
        </w:rPr>
      </w:pPr>
    </w:p>
    <w:p>
      <w:pPr>
        <w:ind w:left="1620" w:right="380" w:hanging="438"/>
        <w:spacing w:after="0" w:line="277"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timely completion of our preclinical studies and clinical trials, which may be significantly slower or cost more than we currently anticipate and will depend substantially upon the performance of third-party contractors;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left="500" w:right="160" w:hanging="438"/>
        <w:spacing w:after="0" w:line="263"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we are required by the FDA or similar foreign regulatory agencies to conduct additional clinical trials, including field efficacy studies, or other studies beyond those planned to support the approval and commercialization of our vaccine candidates or any future vaccine candidates;</w:t>
      </w:r>
    </w:p>
    <w:p>
      <w:pPr>
        <w:spacing w:after="0" w:line="183" w:lineRule="exact"/>
        <w:rPr>
          <w:rFonts w:ascii="Arial" w:cs="Arial" w:eastAsia="Arial" w:hAnsi="Arial"/>
          <w:sz w:val="18"/>
          <w:szCs w:val="18"/>
          <w:color w:val="auto"/>
        </w:rPr>
      </w:pPr>
    </w:p>
    <w:p>
      <w:pPr>
        <w:ind w:left="500" w:right="60" w:hanging="438"/>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acceptance of our proposed indications and primary surrogate endpoint assessments for our PCV candidates by the FDA and similar foreign regulatory authorities;</w:t>
      </w:r>
    </w:p>
    <w:p>
      <w:pPr>
        <w:spacing w:after="0" w:line="170" w:lineRule="exact"/>
        <w:rPr>
          <w:rFonts w:ascii="Arial" w:cs="Arial" w:eastAsia="Arial" w:hAnsi="Arial"/>
          <w:sz w:val="18"/>
          <w:szCs w:val="18"/>
          <w:color w:val="auto"/>
        </w:rPr>
      </w:pPr>
    </w:p>
    <w:p>
      <w:pPr>
        <w:ind w:left="500" w:right="120" w:hanging="438"/>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changes to the required threshold for the achievement of non-inferiority using established surrogate immune endpoints that our PCVs will need to meet in our clinical trials;</w:t>
      </w:r>
    </w:p>
    <w:p>
      <w:pPr>
        <w:spacing w:after="0" w:line="170" w:lineRule="exact"/>
        <w:rPr>
          <w:rFonts w:ascii="Arial" w:cs="Arial" w:eastAsia="Arial" w:hAnsi="Arial"/>
          <w:sz w:val="18"/>
          <w:szCs w:val="18"/>
          <w:color w:val="auto"/>
        </w:rPr>
      </w:pPr>
    </w:p>
    <w:p>
      <w:pPr>
        <w:ind w:left="500" w:right="600" w:hanging="438"/>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demonstrate to the satisfaction of the FDA or comparable foreign regulatory authorities the safety, efficacy and acceptable risk to benefit profile of VAX-24 or any future vaccine candidates;</w:t>
      </w:r>
    </w:p>
    <w:p>
      <w:pPr>
        <w:spacing w:after="0" w:line="170" w:lineRule="exact"/>
        <w:rPr>
          <w:rFonts w:ascii="Arial" w:cs="Arial" w:eastAsia="Arial" w:hAnsi="Arial"/>
          <w:sz w:val="18"/>
          <w:szCs w:val="18"/>
          <w:color w:val="auto"/>
        </w:rPr>
      </w:pPr>
    </w:p>
    <w:p>
      <w:pPr>
        <w:ind w:left="500" w:right="440" w:hanging="438"/>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pace and prevalence of serotype replacement following the introduction of VAX-24 or VAX-XP or other vaccines targeting pneumococcal disease;</w:t>
      </w:r>
    </w:p>
    <w:p>
      <w:pPr>
        <w:spacing w:after="0" w:line="170" w:lineRule="exact"/>
        <w:rPr>
          <w:rFonts w:ascii="Arial" w:cs="Arial" w:eastAsia="Arial" w:hAnsi="Arial"/>
          <w:sz w:val="18"/>
          <w:szCs w:val="18"/>
          <w:color w:val="auto"/>
        </w:rPr>
      </w:pPr>
    </w:p>
    <w:p>
      <w:pPr>
        <w:ind w:left="500" w:hanging="438"/>
        <w:spacing w:after="0"/>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vaccine-vaccine interference studies that may be required, particularly with the standard of care pediatric vaccine regimen;</w:t>
      </w:r>
    </w:p>
    <w:p>
      <w:pPr>
        <w:spacing w:after="0" w:line="263" w:lineRule="exact"/>
        <w:rPr>
          <w:rFonts w:ascii="Arial" w:cs="Arial" w:eastAsia="Arial" w:hAnsi="Arial"/>
          <w:sz w:val="17"/>
          <w:szCs w:val="17"/>
          <w:color w:val="auto"/>
        </w:rPr>
      </w:pPr>
    </w:p>
    <w:p>
      <w:pPr>
        <w:ind w:left="500" w:hanging="438"/>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vaccine candidates or future approved products, if any;</w:t>
      </w:r>
    </w:p>
    <w:p>
      <w:pPr>
        <w:spacing w:after="0" w:line="170" w:lineRule="exact"/>
        <w:rPr>
          <w:rFonts w:ascii="Arial" w:cs="Arial" w:eastAsia="Arial" w:hAnsi="Arial"/>
          <w:sz w:val="18"/>
          <w:szCs w:val="18"/>
          <w:color w:val="auto"/>
        </w:rPr>
      </w:pPr>
    </w:p>
    <w:p>
      <w:pPr>
        <w:ind w:left="500" w:hanging="438"/>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or comparable foreign regulatory authorities;</w:t>
      </w:r>
    </w:p>
    <w:p>
      <w:pPr>
        <w:spacing w:after="0" w:line="252" w:lineRule="exact"/>
        <w:rPr>
          <w:rFonts w:ascii="Arial" w:cs="Arial" w:eastAsia="Arial" w:hAnsi="Arial"/>
          <w:sz w:val="18"/>
          <w:szCs w:val="18"/>
          <w:color w:val="auto"/>
        </w:rPr>
      </w:pPr>
    </w:p>
    <w:p>
      <w:pPr>
        <w:ind w:left="500" w:right="240" w:hanging="438"/>
        <w:spacing w:after="0" w:line="263"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achieving, maintaining and, where applicable, ensuring that our third-party contractors achieve and maintain compliance with our contractual obligations and with all regulatory requirements applicable to our lead vaccine candidates or any future vaccine candidates or approved products, if any;</w:t>
      </w:r>
    </w:p>
    <w:p>
      <w:pPr>
        <w:spacing w:after="0" w:line="183" w:lineRule="exact"/>
        <w:rPr>
          <w:rFonts w:ascii="Arial" w:cs="Arial" w:eastAsia="Arial" w:hAnsi="Arial"/>
          <w:sz w:val="18"/>
          <w:szCs w:val="18"/>
          <w:color w:val="auto"/>
        </w:rPr>
      </w:pPr>
    </w:p>
    <w:p>
      <w:pPr>
        <w:ind w:left="500" w:right="100" w:hanging="438"/>
        <w:spacing w:after="0" w:line="311"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obtaining and maintaining an Advisory Committee on Immunization Practices, or ACIP, preferred recommendation or comparable foreign regulatory authority’s recommendation of our vaccine candidates and the willingness of physicians, operators of clinics and patients to utilize or adopt any of our future vaccine candidates to prevent or treat age-associated diseases;</w:t>
      </w:r>
    </w:p>
    <w:p>
      <w:pPr>
        <w:spacing w:after="0" w:line="148" w:lineRule="exact"/>
        <w:rPr>
          <w:rFonts w:ascii="Arial" w:cs="Arial" w:eastAsia="Arial" w:hAnsi="Arial"/>
          <w:sz w:val="16"/>
          <w:szCs w:val="16"/>
          <w:color w:val="auto"/>
        </w:rPr>
      </w:pPr>
    </w:p>
    <w:p>
      <w:pPr>
        <w:jc w:val="both"/>
        <w:ind w:left="500" w:right="40" w:hanging="438"/>
        <w:spacing w:after="0" w:line="263"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develop a commercial strategy and thereafter commercialize our vaccine candidates or any future vaccine candidates in the United States and internationally, if approved for marketing, reimbursement, sale and distribution in such countries and territories, whether alone or in collaboration with others;</w:t>
      </w:r>
    </w:p>
    <w:p>
      <w:pPr>
        <w:spacing w:after="0" w:line="183" w:lineRule="exact"/>
        <w:rPr>
          <w:rFonts w:ascii="Arial" w:cs="Arial" w:eastAsia="Arial" w:hAnsi="Arial"/>
          <w:sz w:val="18"/>
          <w:szCs w:val="18"/>
          <w:color w:val="auto"/>
        </w:rPr>
      </w:pPr>
    </w:p>
    <w:p>
      <w:pPr>
        <w:ind w:left="500" w:hanging="438"/>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convenience of our treatment or dosing regimen;</w:t>
      </w:r>
    </w:p>
    <w:p>
      <w:pPr>
        <w:spacing w:after="0" w:line="252" w:lineRule="exact"/>
        <w:rPr>
          <w:rFonts w:ascii="Arial" w:cs="Arial" w:eastAsia="Arial" w:hAnsi="Arial"/>
          <w:sz w:val="18"/>
          <w:szCs w:val="18"/>
          <w:color w:val="auto"/>
        </w:rPr>
      </w:pPr>
    </w:p>
    <w:p>
      <w:pPr>
        <w:ind w:left="500" w:right="300" w:hanging="438"/>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acceptance by physicians, payors and patients of the benefits, safety and efficacy of our vaccine candidates or any future vaccine candidates, if approved, including relative to alternative and competing treatments;</w:t>
      </w:r>
    </w:p>
    <w:p>
      <w:pPr>
        <w:spacing w:after="0" w:line="170" w:lineRule="exact"/>
        <w:rPr>
          <w:rFonts w:ascii="Arial" w:cs="Arial" w:eastAsia="Arial" w:hAnsi="Arial"/>
          <w:sz w:val="18"/>
          <w:szCs w:val="18"/>
          <w:color w:val="auto"/>
        </w:rPr>
      </w:pPr>
    </w:p>
    <w:p>
      <w:pPr>
        <w:ind w:left="500" w:hanging="438"/>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demand for our vaccine candidates, if approved;</w:t>
      </w:r>
    </w:p>
    <w:p>
      <w:pPr>
        <w:spacing w:after="0" w:line="252" w:lineRule="exact"/>
        <w:rPr>
          <w:rFonts w:ascii="Arial" w:cs="Arial" w:eastAsia="Arial" w:hAnsi="Arial"/>
          <w:sz w:val="18"/>
          <w:szCs w:val="18"/>
          <w:color w:val="auto"/>
        </w:rPr>
      </w:pPr>
    </w:p>
    <w:p>
      <w:pPr>
        <w:ind w:left="500" w:hanging="438"/>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establish and enforce intellectual property rights in and to our vaccine candidates or any future vaccine candidates;</w:t>
      </w:r>
    </w:p>
    <w:p>
      <w:pPr>
        <w:spacing w:after="0" w:line="275" w:lineRule="exact"/>
        <w:rPr>
          <w:rFonts w:ascii="Arial" w:cs="Arial" w:eastAsia="Arial" w:hAnsi="Arial"/>
          <w:sz w:val="16"/>
          <w:szCs w:val="16"/>
          <w:color w:val="auto"/>
        </w:rPr>
      </w:pPr>
    </w:p>
    <w:p>
      <w:pPr>
        <w:ind w:left="4420" w:right="100" w:hanging="4358"/>
        <w:spacing w:after="0" w:line="559"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avoid third-party patent interference, intellectual property challenges or intellectual property infringement claims; and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-118110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557" w:right="399" w:bottom="1440" w:gutter="0" w:footer="0" w:header="0"/>
        </w:sectPr>
      </w:pPr>
    </w:p>
    <w:bookmarkStart w:id="54" w:name="page55"/>
    <w:bookmarkEnd w:id="54"/>
    <w:p>
      <w:pPr>
        <w:ind w:left="1620" w:hanging="438"/>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52" w:lineRule="exact"/>
        <w:rPr>
          <w:sz w:val="20"/>
          <w:szCs w:val="20"/>
          <w:color w:val="auto"/>
        </w:rPr>
      </w:pPr>
    </w:p>
    <w:p>
      <w:pPr>
        <w:ind w:right="60" w:firstLine="1175"/>
        <w:spacing w:after="0" w:line="279" w:lineRule="auto"/>
        <w:rPr>
          <w:sz w:val="20"/>
          <w:szCs w:val="20"/>
          <w:color w:val="auto"/>
        </w:rPr>
      </w:pPr>
      <w:r>
        <w:rPr>
          <w:rFonts w:ascii="Arial" w:cs="Arial" w:eastAsia="Arial" w:hAnsi="Arial"/>
          <w:sz w:val="17"/>
          <w:szCs w:val="17"/>
          <w:color w:val="auto"/>
        </w:rPr>
        <w:t>These factors, many of which are beyond our control, could cause us to experience significant delays or an inability to obtain regulatory approvals or commercialize our vaccine candidates. Even if regulatory approvals are obtained, we may never be able to successfully commercialize any of our vaccine candidates. Accordingly, we cannot provide assurances that we will be able to generate sufficient revenue through the sale of our vaccine candidates or any future vaccine candidates to continue our business or achieve profitability.</w:t>
      </w:r>
    </w:p>
    <w:p>
      <w:pPr>
        <w:spacing w:after="0" w:line="17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Our primary competitors have significantly greater resources and experience than we do, which may make it difficult for us to successfully develop our vaccine candidates, or may result in others discovering, developing or commercializing products before or more successfully than us.</w:t>
      </w:r>
    </w:p>
    <w:p>
      <w:pPr>
        <w:spacing w:after="0" w:line="124" w:lineRule="exact"/>
        <w:rPr>
          <w:sz w:val="20"/>
          <w:szCs w:val="20"/>
          <w:color w:val="auto"/>
        </w:rPr>
      </w:pPr>
    </w:p>
    <w:p>
      <w:pPr>
        <w:ind w:right="80" w:firstLine="1175"/>
        <w:spacing w:after="0" w:line="275" w:lineRule="auto"/>
        <w:rPr>
          <w:sz w:val="20"/>
          <w:szCs w:val="20"/>
          <w:color w:val="auto"/>
        </w:rPr>
      </w:pPr>
      <w:r>
        <w:rPr>
          <w:rFonts w:ascii="Arial" w:cs="Arial" w:eastAsia="Arial" w:hAnsi="Arial"/>
          <w:sz w:val="17"/>
          <w:szCs w:val="17"/>
          <w:color w:val="auto"/>
        </w:rPr>
        <w:t>The vaccine market is intensely competitive and is dominated by a small number of multinational, globally established pharmaceutical corporations with significant resources; Pfizer, Merck, GlaxoSmithKline and Sanofi together control approximately 75% of the global vaccine market. We may also face competition from many different sources, including pharmaceutical and biotechnology companies, academic institutions, governmental agencies and public and private research institutions. For example, Sanofi and SK Chemicals have partnered to develop a PCV, and Affinivax and Astellas have partnered to develop an affinity-bound pneumococcal vaccine.</w:t>
      </w:r>
    </w:p>
    <w:p>
      <w:pPr>
        <w:spacing w:after="0" w:line="176" w:lineRule="exact"/>
        <w:rPr>
          <w:sz w:val="20"/>
          <w:szCs w:val="20"/>
          <w:color w:val="auto"/>
        </w:rPr>
      </w:pPr>
    </w:p>
    <w:p>
      <w:pPr>
        <w:ind w:right="80" w:firstLine="1175"/>
        <w:spacing w:after="0" w:line="286" w:lineRule="auto"/>
        <w:rPr>
          <w:sz w:val="20"/>
          <w:szCs w:val="20"/>
          <w:color w:val="auto"/>
        </w:rPr>
      </w:pPr>
      <w:r>
        <w:rPr>
          <w:rFonts w:ascii="Arial" w:cs="Arial" w:eastAsia="Arial" w:hAnsi="Arial"/>
          <w:sz w:val="16"/>
          <w:szCs w:val="16"/>
          <w:color w:val="auto"/>
        </w:rPr>
        <w:t>Vaccine candidates that we successfully develop and commercialize may compete with existing vaccines and new vaccines that may become available in the future. Many of our competitors have substantially greater financial, lobbying, technical, human and other resources than we do and may be better equipped to develop, manufacture and market technologically superior vaccines, including the potential that our competitors may develop chemical processes or utilize novel technologies for developing vaccines that may be superior to those we employ. In addition, many of these competitors have significantly greater experience than we have in undertaking preclinical studies and clinical trials of new products and in obtaining regulatory approvals, including for many vaccine franchises. Accordingly, our competitors may succeed in obtaining FDA approval or a preferred recommendation for their products. For example, Prevnar 13 obtained FDA approval for the prevention of invasive pneumococcal disease, or IPD, in infants based on non-inferior IgG antibody responses relative to Prevnar, using the surrogate immune endpoints established by the prior Prevnar field efficacy study. Pfizer is currently implementing a similar approach to development of its 20-valent PCV vaccine candidate, and may have a more efficient path to regulatory approval given Pfizer’s and the FDA’s previous experience with Prevnar 13. Many of our competitors have established distribution channels for the commercialization of their vaccine products, whereas we have no such established channels or capabilities. In addition, many competitors have greater name recognition, more extensive collaborative relationships or the ability to leverage a broader vaccine portfolio. Our commercial opportunity could be reduced or eliminated if our competitors develop and commercialize vaccines that are safer, more effective, more convenient, less expensive or with a more favorable label than any vaccine candidates that we may develop.</w:t>
      </w:r>
    </w:p>
    <w:p>
      <w:pPr>
        <w:spacing w:after="0" w:line="171" w:lineRule="exact"/>
        <w:rPr>
          <w:sz w:val="20"/>
          <w:szCs w:val="20"/>
          <w:color w:val="auto"/>
        </w:rPr>
      </w:pPr>
    </w:p>
    <w:p>
      <w:pPr>
        <w:ind w:firstLine="1175"/>
        <w:spacing w:after="0" w:line="275" w:lineRule="auto"/>
        <w:rPr>
          <w:sz w:val="20"/>
          <w:szCs w:val="20"/>
          <w:color w:val="auto"/>
        </w:rPr>
      </w:pPr>
      <w:r>
        <w:rPr>
          <w:rFonts w:ascii="Arial" w:cs="Arial" w:eastAsia="Arial" w:hAnsi="Arial"/>
          <w:sz w:val="17"/>
          <w:szCs w:val="17"/>
          <w:color w:val="auto"/>
        </w:rPr>
        <w:t>As a result of these factors, our competitors may obtain regulatory approval of their products before we are able to, which may limit our ability to develop or commercialize our vaccine candidates, or achieve a competitive position in the market. This would adversely affect our ability to generate revenue. Our competitors may also develop vaccines that are safer, more effective, more widely accepted or less expensive than ours, and may also be more successful than we are in manufacturing and marketing their products. These advantages could render our vaccine candidates obsolete or non-competitive before we can recover the costs of such vaccine candidates’ development and commercialization.</w:t>
      </w:r>
    </w:p>
    <w:p>
      <w:pPr>
        <w:spacing w:after="0" w:line="176" w:lineRule="exact"/>
        <w:rPr>
          <w:sz w:val="20"/>
          <w:szCs w:val="20"/>
          <w:color w:val="auto"/>
        </w:rPr>
      </w:pPr>
    </w:p>
    <w:p>
      <w:pPr>
        <w:ind w:right="40" w:firstLine="1175"/>
        <w:spacing w:after="0" w:line="257"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early-stage companies may also prove to be significant competitors, particularly through collaborative arrangements with large and established companies. These third parties compete with us in recruiting and retaining qualified scientific, management and commercial personnel, establishing clinical trial sites and subject enrollment for clinical trials, as well as in acquiring technologies complementary to, or necessary for, our programs.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5" w:name="page56"/>
    <w:bookmarkEnd w:id="55"/>
    <w:p>
      <w:pPr>
        <w:ind w:right="380"/>
        <w:spacing w:after="0" w:line="263" w:lineRule="auto"/>
        <w:rPr>
          <w:sz w:val="20"/>
          <w:szCs w:val="20"/>
          <w:color w:val="auto"/>
        </w:rPr>
      </w:pPr>
      <w:r>
        <w:rPr>
          <w:rFonts w:ascii="Arial" w:cs="Arial" w:eastAsia="Arial" w:hAnsi="Arial"/>
          <w:sz w:val="18"/>
          <w:szCs w:val="18"/>
          <w:b w:val="1"/>
          <w:bCs w:val="1"/>
          <w:i w:val="1"/>
          <w:iCs w:val="1"/>
          <w:color w:val="auto"/>
        </w:rPr>
        <w:t>We and our contract manufacturers may face difficulty satisfying chemistry, manufacturing and controls requirements imposed by the FDA and comparable foreign regulatory authorities. To date, no product developed using a cell-free manufacturing platform has received approval from the FDA or been commercialized.</w:t>
      </w:r>
    </w:p>
    <w:p>
      <w:pPr>
        <w:spacing w:after="0" w:line="184" w:lineRule="exact"/>
        <w:rPr>
          <w:sz w:val="20"/>
          <w:szCs w:val="20"/>
          <w:color w:val="auto"/>
        </w:rPr>
      </w:pPr>
    </w:p>
    <w:p>
      <w:pPr>
        <w:ind w:right="240" w:firstLine="1175"/>
        <w:spacing w:after="0" w:line="279" w:lineRule="auto"/>
        <w:rPr>
          <w:sz w:val="20"/>
          <w:szCs w:val="20"/>
          <w:color w:val="auto"/>
        </w:rPr>
      </w:pPr>
      <w:r>
        <w:rPr>
          <w:rFonts w:ascii="Arial" w:cs="Arial" w:eastAsia="Arial" w:hAnsi="Arial"/>
          <w:sz w:val="17"/>
          <w:szCs w:val="17"/>
          <w:color w:val="auto"/>
        </w:rPr>
        <w:t>While we are designing and developing a manufacturing process that we believe can scale to address clinical and commercial vaccine supply, we do not own or operate any manufacturing facilities. We rely on contract manufacturing organizations, or CMOs, including our strategic partnership with our contract manufacturer, Lonza, to access resources to facilitate the development and, if approved, commercialization of VAX-24 and our other vaccine candidates. Advancing our vaccine candidates may create significant challenges, including:</w:t>
      </w:r>
    </w:p>
    <w:p>
      <w:pPr>
        <w:spacing w:after="0" w:line="171" w:lineRule="exact"/>
        <w:rPr>
          <w:sz w:val="20"/>
          <w:szCs w:val="20"/>
          <w:color w:val="auto"/>
        </w:rPr>
      </w:pPr>
    </w:p>
    <w:p>
      <w:pPr>
        <w:ind w:left="1620" w:right="420" w:hanging="438"/>
        <w:spacing w:after="0" w:line="342" w:lineRule="auto"/>
        <w:tabs>
          <w:tab w:leader="none" w:pos="1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manufacturing our vaccine candidates to our specifications, including process development, analytical development and quality control testing, and in a timely manner to support our preclinical and clinical trials and, if approved, commercialization;</w:t>
      </w:r>
    </w:p>
    <w:p>
      <w:pPr>
        <w:spacing w:after="0" w:line="123" w:lineRule="exact"/>
        <w:rPr>
          <w:rFonts w:ascii="Arial" w:cs="Arial" w:eastAsia="Arial" w:hAnsi="Arial"/>
          <w:sz w:val="16"/>
          <w:szCs w:val="16"/>
          <w:color w:val="auto"/>
        </w:rPr>
      </w:pPr>
    </w:p>
    <w:p>
      <w:pPr>
        <w:ind w:left="1620" w:hanging="438"/>
        <w:spacing w:after="0" w:line="27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sourcing the raw materials used to manufacture our vaccine candidates for preclinical, clinical and, if approved, commercial supplies; and</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establishing sales and marketing capabilities upon obtaining any regulatory approval to gain market acceptance of our vaccines.</w:t>
      </w:r>
    </w:p>
    <w:p>
      <w:pPr>
        <w:spacing w:after="0" w:line="275" w:lineRule="exact"/>
        <w:rPr>
          <w:sz w:val="20"/>
          <w:szCs w:val="20"/>
          <w:color w:val="auto"/>
        </w:rPr>
      </w:pPr>
    </w:p>
    <w:p>
      <w:pPr>
        <w:ind w:right="180" w:firstLine="1175"/>
        <w:spacing w:after="0" w:line="254" w:lineRule="auto"/>
        <w:rPr>
          <w:sz w:val="20"/>
          <w:szCs w:val="20"/>
          <w:color w:val="auto"/>
        </w:rPr>
      </w:pPr>
      <w:r>
        <w:rPr>
          <w:rFonts w:ascii="Arial" w:cs="Arial" w:eastAsia="Arial" w:hAnsi="Arial"/>
          <w:sz w:val="18"/>
          <w:szCs w:val="18"/>
          <w:color w:val="auto"/>
        </w:rPr>
        <w:t>Before we can initiate a clinical trial or commercialize any of our vaccine candidates, we must demonstrate to the FDA that the CMC for our vaccine candidates meet applicable requirements, and prior to authorization in the EU, a manufacturing authorization must be obtained from the appropriate EU regulatory authorities. Because no product manufactured on a cell-free manufacturing platform has been approved in the United States, there is no manufacturing facility that has demonstrated the ability to comply with FDA requirements, and, therefore, the timeframe for demonstrating compliance to the FDA’s satisfaction is uncertain. Delays in establishing that our manufacturing process and the facilities we utilize for manufacturing comply with cGMP or disruptions in our manufacturing processes, implementation of novel technologies or scale-up activities, may delay or disrupt our development efforts.</w:t>
      </w:r>
    </w:p>
    <w:p>
      <w:pPr>
        <w:spacing w:after="0" w:line="19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Even if we obtain regulatory approval of our vaccine candidates, the products may not gain market acceptance among regulators, advisory boards, physicians, patients, third-party payors and others in the medical community necessary for commercial success.</w:t>
      </w:r>
    </w:p>
    <w:p>
      <w:pPr>
        <w:spacing w:after="0" w:line="146" w:lineRule="exact"/>
        <w:rPr>
          <w:sz w:val="20"/>
          <w:szCs w:val="20"/>
          <w:color w:val="auto"/>
        </w:rPr>
      </w:pPr>
    </w:p>
    <w:p>
      <w:pPr>
        <w:ind w:right="140" w:firstLine="1175"/>
        <w:spacing w:after="0" w:line="257" w:lineRule="auto"/>
        <w:rPr>
          <w:sz w:val="20"/>
          <w:szCs w:val="20"/>
          <w:color w:val="auto"/>
        </w:rPr>
      </w:pPr>
      <w:r>
        <w:rPr>
          <w:rFonts w:ascii="Arial" w:cs="Arial" w:eastAsia="Arial" w:hAnsi="Arial"/>
          <w:sz w:val="18"/>
          <w:szCs w:val="18"/>
          <w:color w:val="auto"/>
        </w:rPr>
        <w:t>Even if any of our vaccine candidates receive marketing approval, they may fail to receive recommendations for use by regulators or advisory boards that recommend vaccines, or gain market acceptance by physicians, patients, third-party payors and others in the medical community. If such vaccine candidates do not achieve an adequate level of acceptance, we may not generate significant product revenue and may not become profitable. The degree of market acceptance of any vaccine candidate, if approved for commercial sale, will depend on a number of factors, including but not limited to:</w:t>
      </w:r>
    </w:p>
    <w:p>
      <w:pPr>
        <w:spacing w:after="0" w:line="188" w:lineRule="exact"/>
        <w:rPr>
          <w:sz w:val="20"/>
          <w:szCs w:val="20"/>
          <w:color w:val="auto"/>
        </w:rPr>
      </w:pPr>
    </w:p>
    <w:p>
      <w:pPr>
        <w:ind w:left="1620" w:right="120" w:hanging="438"/>
        <w:spacing w:after="0" w:line="27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receiving Centers for Disease Control and Prevention, or CDC, and ACIP recommendations for use, as well as recommendations of comparable foreign regulatory and advisory bodies;</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prevalence and severity of the disease targets for which our vaccine candidates are approved;</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physicians, hospitals, third-party payors and patients considering our vaccine candidates as safe and effective;</w:t>
      </w:r>
    </w:p>
    <w:p>
      <w:pPr>
        <w:spacing w:after="0" w:line="252" w:lineRule="exact"/>
        <w:rPr>
          <w:rFonts w:ascii="Arial" w:cs="Arial" w:eastAsia="Arial" w:hAnsi="Arial"/>
          <w:sz w:val="18"/>
          <w:szCs w:val="18"/>
          <w:color w:val="auto"/>
        </w:rPr>
      </w:pPr>
    </w:p>
    <w:p>
      <w:pPr>
        <w:ind w:left="1620" w:right="20" w:hanging="438"/>
        <w:spacing w:after="0" w:line="27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and perceived advantages of our vaccine candidates over existing vaccines, including with respect to spectrum coverage or immunogenicity;</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ind w:left="1620" w:hanging="438"/>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comparable foreign regulatory and advisory bodies;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limitations or warnings contained in the labeling approved by the FDA or comparable foreign regulatory and advisory bodies;</w:t>
      </w:r>
    </w:p>
    <w:p>
      <w:pPr>
        <w:spacing w:after="0" w:line="263" w:lineRule="exact"/>
        <w:rPr>
          <w:rFonts w:ascii="Arial" w:cs="Arial" w:eastAsia="Arial" w:hAnsi="Arial"/>
          <w:sz w:val="17"/>
          <w:szCs w:val="17"/>
          <w:color w:val="auto"/>
        </w:rPr>
      </w:pPr>
    </w:p>
    <w:p>
      <w:pPr>
        <w:ind w:left="1620" w:hanging="438"/>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market introduction of our vaccine candidates as well as competitive products;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in relation to alternatives;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availability of coverage and adequate reimbursement and pricing by third-party payors, including government authorities;</w:t>
      </w:r>
    </w:p>
    <w:p>
      <w:pPr>
        <w:spacing w:after="0" w:line="263" w:lineRule="exact"/>
        <w:rPr>
          <w:rFonts w:ascii="Arial" w:cs="Arial" w:eastAsia="Arial" w:hAnsi="Arial"/>
          <w:sz w:val="17"/>
          <w:szCs w:val="17"/>
          <w:color w:val="auto"/>
        </w:rPr>
      </w:pPr>
    </w:p>
    <w:p>
      <w:pPr>
        <w:ind w:left="1620" w:right="540" w:hanging="438"/>
        <w:spacing w:after="0" w:line="277"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and adequate reimbursement by third-party payors, including government authorities;</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relative convenience and ease of administration, including as compared to competitive vaccines and alternative treatments; and</w:t>
      </w:r>
    </w:p>
    <w:p>
      <w:pPr>
        <w:spacing w:after="0" w:line="263" w:lineRule="exact"/>
        <w:rPr>
          <w:rFonts w:ascii="Arial" w:cs="Arial" w:eastAsia="Arial" w:hAnsi="Arial"/>
          <w:sz w:val="17"/>
          <w:szCs w:val="17"/>
          <w:color w:val="auto"/>
        </w:rPr>
      </w:pPr>
    </w:p>
    <w:p>
      <w:pPr>
        <w:ind w:left="1620" w:hanging="438"/>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52" w:lineRule="exact"/>
        <w:rPr>
          <w:sz w:val="20"/>
          <w:szCs w:val="20"/>
          <w:color w:val="auto"/>
        </w:rPr>
      </w:pPr>
    </w:p>
    <w:p>
      <w:pPr>
        <w:ind w:right="80" w:firstLine="1175"/>
        <w:spacing w:after="0" w:line="273" w:lineRule="auto"/>
        <w:rPr>
          <w:sz w:val="20"/>
          <w:szCs w:val="20"/>
          <w:color w:val="auto"/>
        </w:rPr>
      </w:pPr>
      <w:r>
        <w:rPr>
          <w:rFonts w:ascii="Arial" w:cs="Arial" w:eastAsia="Arial" w:hAnsi="Arial"/>
          <w:sz w:val="17"/>
          <w:szCs w:val="17"/>
          <w:color w:val="auto"/>
        </w:rPr>
        <w:t>In the United States, the CDC and ACIP develop vaccine recommendations for both children and adults, as do similar agencies around the world. To develop its recommendations, ACIP forms working groups that gather, analyze and prepare scientific information. The ACIP also considers many of the factors above, as well as myriad additional factors such as the value of vaccination for the target population regarding the outcomes, health economic data and implementation issues. ACIP recommendations are also made within categories, such as in an age group or a specified risk group. For example, the ACIP may determine that a preferred recommendation in a smaller child population may be more economical than recommending vaccinations for a larger adult population, which could adversely impact our market opportunity.</w:t>
      </w:r>
    </w:p>
    <w:p>
      <w:pPr>
        <w:spacing w:after="0" w:line="178" w:lineRule="exact"/>
        <w:rPr>
          <w:sz w:val="20"/>
          <w:szCs w:val="20"/>
          <w:color w:val="auto"/>
        </w:rPr>
      </w:pPr>
    </w:p>
    <w:p>
      <w:pPr>
        <w:jc w:val="both"/>
        <w:ind w:right="100" w:firstLine="1175"/>
        <w:spacing w:after="0" w:line="287" w:lineRule="auto"/>
        <w:rPr>
          <w:sz w:val="20"/>
          <w:szCs w:val="20"/>
          <w:color w:val="auto"/>
        </w:rPr>
      </w:pPr>
      <w:r>
        <w:rPr>
          <w:rFonts w:ascii="Arial" w:cs="Arial" w:eastAsia="Arial" w:hAnsi="Arial"/>
          <w:sz w:val="16"/>
          <w:szCs w:val="16"/>
          <w:color w:val="auto"/>
        </w:rPr>
        <w:t>New pediatric vaccines that receive an ACIP preferred recommendation are almost universally adopted, and adult vaccines that receive a preferred recommendation are widely adopted. For example, in 2014, the ACIP voted to recommend Prevnar 13 for routine use to help protect adults aged 65 years and older against pneumococcal disease, which caused Prevnar 13 to become the standard of care along with continued use of Pneumovax 23.</w:t>
      </w:r>
    </w:p>
    <w:p>
      <w:pPr>
        <w:spacing w:after="0" w:line="2"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ACIP can also modify its preferred recommendation. For instance, in June 2019, the ACIP voted to revise the pneumococcal vaccination guidelines and recommend Prevnar 13 for adults 65 and older based on the shared clinical decision making of the provider and patient, rather than a preferred use recommendation, which means the decision to vaccinate should be made at the individual level between health care providers and their patients. Pfizer noted that this revised recommendation is expected to have a negative effect on Prevnar 13 revenue.</w:t>
      </w:r>
    </w:p>
    <w:p>
      <w:pPr>
        <w:spacing w:after="0" w:line="176" w:lineRule="exact"/>
        <w:rPr>
          <w:sz w:val="20"/>
          <w:szCs w:val="20"/>
          <w:color w:val="auto"/>
        </w:rPr>
      </w:pPr>
    </w:p>
    <w:p>
      <w:pPr>
        <w:ind w:right="20" w:firstLine="1175"/>
        <w:spacing w:after="0" w:line="257" w:lineRule="auto"/>
        <w:rPr>
          <w:sz w:val="20"/>
          <w:szCs w:val="20"/>
          <w:color w:val="auto"/>
        </w:rPr>
      </w:pPr>
      <w:r>
        <w:rPr>
          <w:rFonts w:ascii="Arial" w:cs="Arial" w:eastAsia="Arial" w:hAnsi="Arial"/>
          <w:sz w:val="18"/>
          <w:szCs w:val="18"/>
          <w:color w:val="auto"/>
        </w:rPr>
        <w:t>If our vaccine candidates are approved but fail to receive CDC and ACIP recommendations, or recommendations of other comparable foreign regulatory and advisory bodies, or achieve market acceptance among physicians, healthcare providers, patients, third-party payors or others in the medical community, we will not be able to generate significant revenue. 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our cell-free protein synthesis platform to expand our pipeline of vaccine candidates and develop marketable products.</w:t>
      </w:r>
    </w:p>
    <w:p>
      <w:pPr>
        <w:spacing w:after="0" w:line="170" w:lineRule="exact"/>
        <w:rPr>
          <w:sz w:val="20"/>
          <w:szCs w:val="20"/>
          <w:color w:val="auto"/>
        </w:rPr>
      </w:pPr>
    </w:p>
    <w:p>
      <w:pPr>
        <w:ind w:firstLine="1175"/>
        <w:spacing w:after="0" w:line="259" w:lineRule="auto"/>
        <w:rPr>
          <w:sz w:val="20"/>
          <w:szCs w:val="20"/>
          <w:color w:val="auto"/>
        </w:rPr>
      </w:pPr>
      <w:r>
        <w:rPr>
          <w:rFonts w:ascii="Arial" w:cs="Arial" w:eastAsia="Arial" w:hAnsi="Arial"/>
          <w:sz w:val="18"/>
          <w:szCs w:val="18"/>
          <w:color w:val="auto"/>
        </w:rPr>
        <w:t>The success of our business depends in large part upon our ability to identify, develop and commercialize products based on our cell-free protein synthesis platform. We intend to pursue clinical development of additional vaccine candidates beyond VAX-24, including VAX-XP for PCV, VAX-A1 for Group A Strep and VAX-PG for periodontitis. Our research programs may fail to identify potential vaccine candidates for clinical development for a number of reasons or we may focus our efforts and resources on potential programs or vaccine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7" w:name="page58"/>
    <w:bookmarkEnd w:id="57"/>
    <w:p>
      <w:pPr>
        <w:ind w:right="240"/>
        <w:spacing w:after="0" w:line="277" w:lineRule="auto"/>
        <w:rPr>
          <w:sz w:val="20"/>
          <w:szCs w:val="20"/>
          <w:color w:val="auto"/>
        </w:rPr>
      </w:pPr>
      <w:r>
        <w:rPr>
          <w:rFonts w:ascii="Arial" w:cs="Arial" w:eastAsia="Arial" w:hAnsi="Arial"/>
          <w:sz w:val="18"/>
          <w:szCs w:val="18"/>
          <w:color w:val="auto"/>
        </w:rPr>
        <w:t>candidates that ultimately prove to be unsuccessful. In addition, we cannot provide any assurance that we will be able to successfully advance any of our existing or future vaccine candidates through the development process.</w:t>
      </w:r>
    </w:p>
    <w:p>
      <w:pPr>
        <w:spacing w:after="0" w:line="170" w:lineRule="exact"/>
        <w:rPr>
          <w:sz w:val="20"/>
          <w:szCs w:val="20"/>
          <w:color w:val="auto"/>
        </w:rPr>
      </w:pPr>
    </w:p>
    <w:p>
      <w:pPr>
        <w:jc w:val="both"/>
        <w:ind w:right="120" w:firstLine="1175"/>
        <w:spacing w:after="0" w:line="286" w:lineRule="auto"/>
        <w:rPr>
          <w:sz w:val="20"/>
          <w:szCs w:val="20"/>
          <w:color w:val="auto"/>
        </w:rPr>
      </w:pPr>
      <w:r>
        <w:rPr>
          <w:rFonts w:ascii="Arial" w:cs="Arial" w:eastAsia="Arial" w:hAnsi="Arial"/>
          <w:sz w:val="17"/>
          <w:szCs w:val="17"/>
          <w:color w:val="auto"/>
        </w:rPr>
        <w:t>Our potential vaccine candidates may be shown to have harmful side effects or may have other characteristics that may make the products unmarketable or unlikely to receive marketing approval. If any of these events occur, we may be forced to abandon our development efforts for a program or for multiple programs, which would materially harm our business and could potentially cause us to cease operations.</w:t>
      </w:r>
    </w:p>
    <w:p>
      <w:pPr>
        <w:spacing w:after="0" w:line="165" w:lineRule="exact"/>
        <w:rPr>
          <w:sz w:val="20"/>
          <w:szCs w:val="20"/>
          <w:color w:val="auto"/>
        </w:rPr>
      </w:pPr>
    </w:p>
    <w:p>
      <w:pPr>
        <w:ind w:firstLine="1175"/>
        <w:spacing w:after="0" w:line="254" w:lineRule="auto"/>
        <w:rPr>
          <w:sz w:val="20"/>
          <w:szCs w:val="20"/>
          <w:color w:val="auto"/>
        </w:rPr>
      </w:pPr>
      <w:r>
        <w:rPr>
          <w:rFonts w:ascii="Arial" w:cs="Arial" w:eastAsia="Arial" w:hAnsi="Arial"/>
          <w:sz w:val="18"/>
          <w:szCs w:val="18"/>
          <w:color w:val="auto"/>
        </w:rPr>
        <w:t>Even if we receive FDA approval to market additional vaccine candidates, we cannot provide assurance that any such vaccine candidates will be successfully commercialized, widely accepted in the marketplace or more effective than other commercially available alternatives. In addition, current PCVs do not address the majority of circulating strains causing pneumococcal disease. There has been a decrease in the incidence of disease attributable to the strains covered by existing vaccines but an increase in incidence attributable to non-covered strains that now cause most residual disease. Such change is driven by the void created when strains are taken out of circulation after widespread vaccination, which is a phenomenon known as serotype replacement. As a result of such change, broader spectrum PCVs are required to maintain protection against historically pathogenic strains while expanding coverage to current circulating and emerging strains. There can be no assurance that we will be able to develop higher-valent vaccines to address serotype replacement.</w:t>
      </w:r>
    </w:p>
    <w:p>
      <w:pPr>
        <w:spacing w:after="0" w:line="192" w:lineRule="exact"/>
        <w:rPr>
          <w:sz w:val="20"/>
          <w:szCs w:val="20"/>
          <w:color w:val="auto"/>
        </w:rPr>
      </w:pPr>
    </w:p>
    <w:p>
      <w:pPr>
        <w:ind w:right="80" w:firstLine="1175"/>
        <w:spacing w:after="0" w:line="263" w:lineRule="auto"/>
        <w:rPr>
          <w:sz w:val="20"/>
          <w:szCs w:val="20"/>
          <w:color w:val="auto"/>
        </w:rPr>
      </w:pPr>
      <w:r>
        <w:rPr>
          <w:rFonts w:ascii="Arial" w:cs="Arial" w:eastAsia="Arial" w:hAnsi="Arial"/>
          <w:sz w:val="18"/>
          <w:szCs w:val="18"/>
          <w:color w:val="auto"/>
        </w:rPr>
        <w:t>In addition, because VAX-24 is our most advanced vaccine candidate, and because our other vaccine candidates are also based on our cell-free protein synthesis platform, if VAX-24 encounters safety or efficacy problems, manufacturing problems, developmental delays, regulatory issues or other problems, our development plans and business would be significantly harmed.</w:t>
      </w:r>
    </w:p>
    <w:p>
      <w:pPr>
        <w:spacing w:after="0" w:line="18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i w:val="1"/>
          <w:iCs w:val="1"/>
          <w:color w:val="auto"/>
        </w:rPr>
        <w:t>We currently rely on third-party manufacturing and supply partners, including Lonza and Sutro Biopharma, to supply raw materials and components for, and manufacture of, our preclinical and clinical supplies as well as our vaccine candidates. Our inability to procure necessary raw materials or to have sufficient quantities of preclinical and clinical supplies or the inability to have our vaccine candidates manufactured, including delays or interruptions at our third-party manufacturers, or our failure to comply with applicable regulatory requirements or to supply sufficient quantities at acceptable quality levels or prices, or at all, would materially and adversely affect our business.</w:t>
      </w:r>
    </w:p>
    <w:p>
      <w:pPr>
        <w:spacing w:after="0" w:line="161" w:lineRule="exact"/>
        <w:rPr>
          <w:sz w:val="20"/>
          <w:szCs w:val="20"/>
          <w:color w:val="auto"/>
        </w:rPr>
      </w:pPr>
    </w:p>
    <w:p>
      <w:pPr>
        <w:ind w:right="40" w:firstLine="1175"/>
        <w:spacing w:after="0" w:line="275" w:lineRule="auto"/>
        <w:rPr>
          <w:sz w:val="20"/>
          <w:szCs w:val="20"/>
          <w:color w:val="auto"/>
        </w:rPr>
      </w:pPr>
      <w:r>
        <w:rPr>
          <w:rFonts w:ascii="Arial" w:cs="Arial" w:eastAsia="Arial" w:hAnsi="Arial"/>
          <w:sz w:val="17"/>
          <w:szCs w:val="17"/>
          <w:color w:val="auto"/>
        </w:rPr>
        <w:t>Efficient and scalable manufacturing and supply is a vital component of our business strategy. We currently do not own or operate any manufacturing facilities. We are designing and developing a manufacturing process that we believe can scale to address clinical and commercial vaccine supply. However, our assumptions as to our ability and our CMOs’ ability to produce vaccines at the scale needed for clinical development and commercial demand, in particular for our PCVs, may prove to be wrong. If we encounter substantial problems in our manufacturing processes or in our ability to scale to address commercial vaccine supply, our business would be materially adversely affected.</w:t>
      </w:r>
    </w:p>
    <w:p>
      <w:pPr>
        <w:spacing w:after="0" w:line="176" w:lineRule="exact"/>
        <w:rPr>
          <w:sz w:val="20"/>
          <w:szCs w:val="20"/>
          <w:color w:val="auto"/>
        </w:rPr>
      </w:pPr>
    </w:p>
    <w:p>
      <w:pPr>
        <w:ind w:right="60" w:firstLine="1175"/>
        <w:spacing w:after="0" w:line="287" w:lineRule="auto"/>
        <w:rPr>
          <w:sz w:val="20"/>
          <w:szCs w:val="20"/>
          <w:color w:val="auto"/>
        </w:rPr>
      </w:pPr>
      <w:r>
        <w:rPr>
          <w:rFonts w:ascii="Arial" w:cs="Arial" w:eastAsia="Arial" w:hAnsi="Arial"/>
          <w:sz w:val="16"/>
          <w:szCs w:val="16"/>
          <w:color w:val="auto"/>
        </w:rPr>
        <w:t>We rely on third-party contract manufacturers to manufacture preclinical and clinical trial product materials and supplies for our needs. There can be no assurance that our preclinical and clinical development product supplies will not be limited or interrupted or be of satisfactory quality or continue to be available on acceptable terms. Over the course of the development and manufacturing of VAX-24, we have encountered process-related matters that have required us to make adjustments to our processes. Recently, we encountered such process-related matters during our drug substance manufacturing campaign for VAX-24 at Lonza. The cumulative impact of the time required to make adjustments to our processes led to a delay of our drug substance manufacturing campaign due to scheduling conflicts and capacity constraints at Lonza. Although Lonza has resumed manufacturing of VAX-24, there can be no assurance that we or Lonza will be able to successfully manufacture drug substances in a timely manner in the future, or at all, or that there will not be further delays due to additional process adjustments we are required to make or due to future scheduling conflicts at Lonza. Such process changes and manufacturing delays have caused a change in our IND timelines and future changes or delays could impact future timelines for VAX-24 or for our other product candidates. As a third-party manufacturer, we are also subject to Lonza’s scheduling commitments for its other clients. Scheduling conflicts with Lonza’s other clients have contributed to manufacturing delays in the past, and there is no guarantee that future scheduling conflicts or related capacity constraints will not affect our manufacturing campaigns and related timelines. In addition, certain aspects of our manufacturing process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ind w:right="40"/>
        <w:spacing w:after="0" w:line="293" w:lineRule="auto"/>
        <w:rPr>
          <w:sz w:val="20"/>
          <w:szCs w:val="20"/>
          <w:color w:val="auto"/>
        </w:rPr>
      </w:pPr>
      <w:r>
        <w:rPr>
          <w:rFonts w:ascii="Arial" w:cs="Arial" w:eastAsia="Arial" w:hAnsi="Arial"/>
          <w:sz w:val="16"/>
          <w:szCs w:val="16"/>
          <w:color w:val="auto"/>
        </w:rPr>
        <w:t>for our clinical trial product materials and supplies were adversely affected by the COVID-19 pandemic, and could be adversely affected by the ongoing COVID-19 pandemic, earthquakes and other natural or man-made disasters, equipment failures, labor shortages, power failures and numerous other factors in the future. Please see the risk factor titled “</w:t>
      </w:r>
      <w:r>
        <w:rPr>
          <w:rFonts w:ascii="Arial" w:cs="Arial" w:eastAsia="Arial" w:hAnsi="Arial"/>
          <w:sz w:val="16"/>
          <w:szCs w:val="16"/>
          <w:i w:val="1"/>
          <w:iCs w:val="1"/>
          <w:color w:val="auto"/>
        </w:rPr>
        <w:t>Our business could be adversely affected by the effects of health epidemics, including the evolving effects of</w:t>
      </w:r>
      <w:r>
        <w:rPr>
          <w:rFonts w:ascii="Arial" w:cs="Arial" w:eastAsia="Arial" w:hAnsi="Arial"/>
          <w:sz w:val="16"/>
          <w:szCs w:val="16"/>
          <w:color w:val="auto"/>
        </w:rPr>
        <w:t xml:space="preserve"> </w:t>
      </w:r>
      <w:r>
        <w:rPr>
          <w:rFonts w:ascii="Arial" w:cs="Arial" w:eastAsia="Arial" w:hAnsi="Arial"/>
          <w:sz w:val="16"/>
          <w:szCs w:val="16"/>
          <w:i w:val="1"/>
          <w:iCs w:val="1"/>
          <w:color w:val="auto"/>
        </w:rPr>
        <w:t>the COVID-19 pandemic, in regions where we or third parties on which we rely have significant manufacturing facilities, concentrations of potential clinical trial sites or other business operations. The COVID-19 pandemic could materially affect our operations, including at our headquarters in the San Francisco Bay Area, as well as the business or operations of our contract manufacturers or other third parties with whom we conduct business</w:t>
      </w:r>
      <w:r>
        <w:rPr>
          <w:rFonts w:ascii="Arial" w:cs="Arial" w:eastAsia="Arial" w:hAnsi="Arial"/>
          <w:sz w:val="16"/>
          <w:szCs w:val="16"/>
          <w:color w:val="auto"/>
        </w:rPr>
        <w:t>.”</w:t>
      </w:r>
    </w:p>
    <w:p>
      <w:pPr>
        <w:spacing w:after="0" w:line="164" w:lineRule="exact"/>
        <w:rPr>
          <w:sz w:val="20"/>
          <w:szCs w:val="20"/>
          <w:color w:val="auto"/>
        </w:rPr>
      </w:pPr>
    </w:p>
    <w:p>
      <w:pPr>
        <w:ind w:right="20" w:firstLine="1175"/>
        <w:spacing w:after="0" w:line="285" w:lineRule="auto"/>
        <w:rPr>
          <w:sz w:val="20"/>
          <w:szCs w:val="20"/>
          <w:color w:val="auto"/>
        </w:rPr>
      </w:pPr>
      <w:r>
        <w:rPr>
          <w:rFonts w:ascii="Arial" w:cs="Arial" w:eastAsia="Arial" w:hAnsi="Arial"/>
          <w:sz w:val="16"/>
          <w:szCs w:val="16"/>
          <w:color w:val="auto"/>
        </w:rPr>
        <w:t>The manufacturing process for a vaccine candidate is subject to FDA or comparable foreign regulatory authority review. Our suppliers and manufacturers must meet applicable manufacturing requirements and undergo rigorous facility and process validation tests required by regulatory authorities in order to comply with regulatory standards, such as cGMPs. If our contract manufacturers cannot successfully manufacture material that conforms to our specifications and the strict regulatory requirements of the FDA or comparable foreign regulatory authorities, we may not be able to rely on their manufacturing facilities for the manufacture of elements of our vaccine candidates. Moreover, we do not control the manufacturing process at our contract manufacturers and are completely dependent on them for compliance with current regulatory requirements. In the event that any of our manufacturers fails to comply with such requirements or to perform its obligations in relation to quality, timing or otherwise, or if our supply of components or other materials becomes limited or interrupted for other reasons, we may be forced to manufacture the materials ourselves or enter into an agreement with another third party, which we may not be able to do on reasonable terms, if at all. In some cases, the technical skills, raw materials or technology required to manufacture our vaccine candidates may be unique or proprietary to the original manufacturer or supplier, and we may have difficulty applying such skills or technology or sourcing such raw materials ourselves, or in transferring such skills, technology or raw materials to another third party. These factors would increase our reliance on such manufacturer or require us to obtain a license from such manufacturer in order to enable us, or to have another third party, manufacture our vaccine candidates. If we are required to change manufacturers for any reason, we will be required to verify that the new manufacturer maintains facilities and procedures that comply with quality standards and with all applicable regulations and guidelines, and we may be required to repeat some of the development program. The delays associated with the verification of a new manufacturer could negatively affect our ability to develop vaccine candidates in a timely manner or within budget.</w:t>
      </w:r>
    </w:p>
    <w:p>
      <w:pPr>
        <w:spacing w:after="0" w:line="176" w:lineRule="exact"/>
        <w:rPr>
          <w:sz w:val="20"/>
          <w:szCs w:val="20"/>
          <w:color w:val="auto"/>
        </w:rPr>
      </w:pPr>
    </w:p>
    <w:p>
      <w:pPr>
        <w:ind w:right="20" w:firstLine="1175"/>
        <w:spacing w:after="0" w:line="293" w:lineRule="auto"/>
        <w:rPr>
          <w:sz w:val="20"/>
          <w:szCs w:val="20"/>
          <w:color w:val="auto"/>
        </w:rPr>
      </w:pPr>
      <w:r>
        <w:rPr>
          <w:rFonts w:ascii="Arial" w:cs="Arial" w:eastAsia="Arial" w:hAnsi="Arial"/>
          <w:sz w:val="16"/>
          <w:szCs w:val="16"/>
          <w:color w:val="auto"/>
        </w:rPr>
        <w:t>We expect to continue to rely on third-party manufacturers and suppliers, including Lonza and Sutro Biopharma, if we receive regulatory approval for any PCV or any other vaccine candidates.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vaccine candidates, or to do so on commercially reasonable terms, we may not be able to develop and commercialize our vaccine candidates successfully. Our or a third party’s failure to execute on our manufacturing requirements and comply with cGMPs could adversely affect our business in a number of ways, including:</w:t>
      </w:r>
    </w:p>
    <w:p>
      <w:pPr>
        <w:spacing w:after="0" w:line="164" w:lineRule="exact"/>
        <w:rPr>
          <w:sz w:val="20"/>
          <w:szCs w:val="20"/>
          <w:color w:val="auto"/>
        </w:rPr>
      </w:pPr>
    </w:p>
    <w:p>
      <w:pPr>
        <w:ind w:left="1620" w:hanging="438"/>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inability to initiate or complete clinical trials of vaccine candidates under development;</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our vaccine candidates;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subjecting third-party manufacturing facilities to additional inspections by regulatory authorities;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vaccine candidates; and</w:t>
      </w:r>
    </w:p>
    <w:p>
      <w:pPr>
        <w:spacing w:after="0" w:line="252" w:lineRule="exact"/>
        <w:rPr>
          <w:rFonts w:ascii="Arial" w:cs="Arial" w:eastAsia="Arial" w:hAnsi="Arial"/>
          <w:sz w:val="18"/>
          <w:szCs w:val="18"/>
          <w:color w:val="auto"/>
        </w:rPr>
      </w:pPr>
    </w:p>
    <w:p>
      <w:pPr>
        <w:ind w:left="5540" w:hanging="4358"/>
        <w:spacing w:after="0" w:line="559"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a vaccine candidate, an inability to meet commercial demands for our products.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9" w:name="page60"/>
    <w:bookmarkEnd w:id="59"/>
    <w:p>
      <w:pPr>
        <w:ind w:right="60" w:firstLine="1175"/>
        <w:spacing w:after="0" w:line="263" w:lineRule="auto"/>
        <w:rPr>
          <w:sz w:val="20"/>
          <w:szCs w:val="20"/>
          <w:color w:val="auto"/>
        </w:rPr>
      </w:pPr>
      <w:r>
        <w:rPr>
          <w:rFonts w:ascii="Arial" w:cs="Arial" w:eastAsia="Arial" w:hAnsi="Arial"/>
          <w:sz w:val="18"/>
          <w:szCs w:val="18"/>
          <w:color w:val="auto"/>
        </w:rPr>
        <w:t>In addition, because VAX-24 is our most advanced vaccine candidate, and because our other vaccine candidates are also based on our cell-free protein synthesis platform, if VAX-24 encounters safety or efficacy problems, manufacturing problems, developmental delays, regulatory issues or other problems, our development plans and business would be significantly harmed.</w:t>
      </w:r>
    </w:p>
    <w:p>
      <w:pPr>
        <w:spacing w:after="0" w:line="184" w:lineRule="exact"/>
        <w:rPr>
          <w:sz w:val="20"/>
          <w:szCs w:val="20"/>
          <w:color w:val="auto"/>
        </w:rPr>
      </w:pPr>
    </w:p>
    <w:p>
      <w:pPr>
        <w:ind w:right="340" w:firstLine="1175"/>
        <w:spacing w:after="0" w:line="275" w:lineRule="auto"/>
        <w:rPr>
          <w:sz w:val="20"/>
          <w:szCs w:val="20"/>
          <w:color w:val="auto"/>
        </w:rPr>
      </w:pPr>
      <w:r>
        <w:rPr>
          <w:rFonts w:ascii="Arial" w:cs="Arial" w:eastAsia="Arial" w:hAnsi="Arial"/>
          <w:sz w:val="17"/>
          <w:szCs w:val="17"/>
          <w:color w:val="auto"/>
        </w:rPr>
        <w:t>Additionally, we and our contract manufacturers may experience manufacturing difficulties due to limited vaccine manufacturing experience, resource constraints or as a result of labor disputes or unstable political environments. In December 2019, we exercised our right to require Sutro Biopharma to establish a second supplier for extract and custom reagents to support our anticipated clinical and commercial needs. If we or our contract manufacturers were to encounter any of these difficulties, our ability to manufacture sufficient vaccine supply for our preclinical studies and clinical trials, or to provide product for patients once approved, would be jeopardized.</w:t>
      </w:r>
    </w:p>
    <w:p>
      <w:pPr>
        <w:spacing w:after="0" w:line="176"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Our vaccine candidates may cause undesirable side effects or have other properties, including interactions with existing vaccine regimens, that could halt their clinical development, prevent their regulatory approval, limit their commercial potential or result in significant negative consequences.</w:t>
      </w:r>
    </w:p>
    <w:p>
      <w:pPr>
        <w:spacing w:after="0" w:line="100" w:lineRule="exact"/>
        <w:rPr>
          <w:sz w:val="20"/>
          <w:szCs w:val="20"/>
          <w:color w:val="auto"/>
        </w:rPr>
      </w:pPr>
    </w:p>
    <w:p>
      <w:pPr>
        <w:ind w:right="20" w:firstLine="1175"/>
        <w:spacing w:after="0" w:line="268" w:lineRule="auto"/>
        <w:rPr>
          <w:sz w:val="20"/>
          <w:szCs w:val="20"/>
          <w:color w:val="auto"/>
        </w:rPr>
      </w:pPr>
      <w:r>
        <w:rPr>
          <w:rFonts w:ascii="Arial" w:cs="Arial" w:eastAsia="Arial" w:hAnsi="Arial"/>
          <w:sz w:val="17"/>
          <w:szCs w:val="17"/>
          <w:color w:val="auto"/>
        </w:rPr>
        <w:t>Adverse effects or other undesirable or unacceptable side effects caused by our vaccine candidates could cause us or regulatory authorities to interrupt, delay or halt clinical trials and could result in a more restrictive label or the delay or denial of regulatory approval by the FDA or other comparable foreign regulatory authorities. We have not yet initiated any clinical trials of our vaccine candidates. Results of our clinical trials could reveal a high and unacceptable severity and prevalence of side effects or unexpected characteristics. In such an event, our clinical trials could be suspended or terminated, and the FDA or comparable foreign regulatory authorities could order us to cease further development of or deny approval of our vaccine candidates. Such side effects could also affect trial recruitment or the ability of enrolled subjects to complete the clinical trial or result in potential product liability claims. A data safety monitoring board may also suspend or terminate a clinical trial at any time on various grounds, including a finding that the research volunteers are being exposed to an unacceptable health risk. Vaccine-related side effects could also affect recruitment or the ability of enrolled subjects to complete the trial or result in potential product liability claims. In addition, any vaccine to be approved in pediatric populations may need to undergo extensive vaccine-vaccine interference studies with the standard of care pediatric vaccine regimen. Further, to the extent field efficacy studies are required, prophylactic vaccines typically require clinical testing in thousands to tens of thousands of healthy volunteers to define an approvable benefit-risk profile. The need to show a high degree of safety and tolerability when dosing healthy individuals could result in rare and even spurious safety findings, negatively impacting a program prior to or after commercial launch. Any of these occurrences may harm our business, financial condition and prospects significantly.</w:t>
      </w:r>
    </w:p>
    <w:p>
      <w:pPr>
        <w:spacing w:after="0" w:line="18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Negative developments and negative public opinion of new technologies on which we rely may damage public perception of our vaccine candidates or adversely affect our ability to conduct our business or obtain regulatory approvals for our vaccine candidates.</w:t>
      </w:r>
    </w:p>
    <w:p>
      <w:pPr>
        <w:spacing w:after="0" w:line="146" w:lineRule="exact"/>
        <w:rPr>
          <w:sz w:val="20"/>
          <w:szCs w:val="20"/>
          <w:color w:val="auto"/>
        </w:rPr>
      </w:pPr>
    </w:p>
    <w:p>
      <w:pPr>
        <w:ind w:right="40" w:firstLine="1175"/>
        <w:spacing w:after="0" w:line="291" w:lineRule="auto"/>
        <w:rPr>
          <w:sz w:val="20"/>
          <w:szCs w:val="20"/>
          <w:color w:val="auto"/>
        </w:rPr>
      </w:pPr>
      <w:r>
        <w:rPr>
          <w:rFonts w:ascii="Arial" w:cs="Arial" w:eastAsia="Arial" w:hAnsi="Arial"/>
          <w:sz w:val="16"/>
          <w:szCs w:val="16"/>
          <w:color w:val="auto"/>
        </w:rPr>
        <w:t>Negative developments and negative public opinion of new or existing technologies on which we rely may damage public perception of our vaccine candidates or adversely affect our ability to conduct our business or obtain regulatory approvals for our vaccine candidates. Public perception may be influenced by claims that vaccines are unsafe, and products incorporating new vaccine technology may not gain the acceptance of the public or the medical community. Adverse public attitudes may negatively impact our ability to enroll subjects in clinical trials. Moreover, our success will depend upon physicians prescribing, and their patients being willing to receive, our vaccine candidates in lieu of, or in addition to, existing, more familiar vaccines for which greater clinical data may be available. Any increase in negative perceptions of the technologies that we rely on may result in fewer physicians prescribing our products or may reduce the willingness of patients to utilize our products or participate in clinical trials for our vaccine candidates.</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not be able to file IND applications to commence clinical trials on the timelines we expect, and even if we are able to, the FDA may not permit us to proceed.</w:t>
      </w:r>
    </w:p>
    <w:p>
      <w:pPr>
        <w:spacing w:after="0" w:line="170" w:lineRule="exact"/>
        <w:rPr>
          <w:sz w:val="20"/>
          <w:szCs w:val="20"/>
          <w:color w:val="auto"/>
        </w:rPr>
      </w:pPr>
    </w:p>
    <w:p>
      <w:pPr>
        <w:ind w:firstLine="1175"/>
        <w:spacing w:after="0" w:line="263" w:lineRule="auto"/>
        <w:rPr>
          <w:sz w:val="20"/>
          <w:szCs w:val="20"/>
          <w:color w:val="auto"/>
        </w:rPr>
      </w:pPr>
      <w:r>
        <w:rPr>
          <w:rFonts w:ascii="Arial" w:cs="Arial" w:eastAsia="Arial" w:hAnsi="Arial"/>
          <w:sz w:val="18"/>
          <w:szCs w:val="18"/>
          <w:color w:val="auto"/>
        </w:rPr>
        <w:t>We recently announced changes to our anticipated timing to submit an IND application to the FDA to initiate a clinical trial of VAX-24 due to delays of our drug substance manufacturing campaign at Lonza. Our timing of submitting the IND application for VAX-24 is dependent on further preclinical and manufacturing success, and if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0" w:name="page61"/>
    <w:bookmarkEnd w:id="60"/>
    <w:p>
      <w:pPr>
        <w:ind w:right="80"/>
        <w:spacing w:after="0" w:line="257" w:lineRule="auto"/>
        <w:rPr>
          <w:sz w:val="20"/>
          <w:szCs w:val="20"/>
          <w:color w:val="auto"/>
        </w:rPr>
      </w:pPr>
      <w:r>
        <w:rPr>
          <w:rFonts w:ascii="Arial" w:cs="Arial" w:eastAsia="Arial" w:hAnsi="Arial"/>
          <w:sz w:val="18"/>
          <w:szCs w:val="18"/>
          <w:color w:val="auto"/>
        </w:rPr>
        <w:t>we experience additional drug substance manufacturing campaign or other delays, we may fail to meet our anticipated timelines. In addition, we cannot be sure that submission of an IND application or IND application amendment will result in the FDA allowing testing and clinical trials to begin, or that, once begun, issues will not arise that suspend or terminate such clinical trials. Additionally, even if such regulatory authorities agree with the design and implementation of the clinical trials set forth in an IND or clinical trial application, we cannot guarantee that such regulatory authorities will not change their requirements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our trials on the timelines we expect.</w:t>
      </w:r>
    </w:p>
    <w:p>
      <w:pPr>
        <w:spacing w:after="0" w:line="225" w:lineRule="exact"/>
        <w:rPr>
          <w:sz w:val="20"/>
          <w:szCs w:val="20"/>
          <w:color w:val="auto"/>
        </w:rPr>
      </w:pPr>
    </w:p>
    <w:p>
      <w:pPr>
        <w:ind w:right="40" w:firstLine="1175"/>
        <w:spacing w:after="0" w:line="259"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studies will be conducted as planned or completed on schedule, if at all. Even if these trials begin as planned, issues may arise that could suspend or terminate such clinical trials. A failure of one or more clinical studies can occur at any stage of testing, and our future clinical studies may not be successful. Events that may prevent successful or timely completion of clinical development include:</w:t>
      </w:r>
    </w:p>
    <w:p>
      <w:pPr>
        <w:spacing w:after="0" w:line="187" w:lineRule="exact"/>
        <w:rPr>
          <w:sz w:val="20"/>
          <w:szCs w:val="20"/>
          <w:color w:val="auto"/>
        </w:rPr>
      </w:pPr>
    </w:p>
    <w:p>
      <w:pPr>
        <w:ind w:left="1620" w:hanging="438"/>
        <w:spacing w:after="0"/>
        <w:tabs>
          <w:tab w:leader="none" w:pos="1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inability to generate sufficient preclinical, toxicology or other in vivo or in vitro data to support the initiation of clinical trials;</w:t>
      </w:r>
    </w:p>
    <w:p>
      <w:pPr>
        <w:spacing w:after="0" w:line="263" w:lineRule="exact"/>
        <w:rPr>
          <w:rFonts w:ascii="Arial" w:cs="Arial" w:eastAsia="Arial" w:hAnsi="Arial"/>
          <w:sz w:val="17"/>
          <w:szCs w:val="17"/>
          <w:color w:val="auto"/>
        </w:rPr>
      </w:pPr>
    </w:p>
    <w:p>
      <w:pPr>
        <w:ind w:left="1620" w:hanging="438"/>
        <w:spacing w:after="0"/>
        <w:tabs>
          <w:tab w:leader="none" w:pos="1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delays in sufficiently developing, characterizing or controlling a manufacturing process suitable for advanced clinical trials;</w:t>
      </w:r>
    </w:p>
    <w:p>
      <w:pPr>
        <w:spacing w:after="0" w:line="263" w:lineRule="exact"/>
        <w:rPr>
          <w:rFonts w:ascii="Arial" w:cs="Arial" w:eastAsia="Arial" w:hAnsi="Arial"/>
          <w:sz w:val="17"/>
          <w:szCs w:val="17"/>
          <w:color w:val="auto"/>
        </w:rPr>
      </w:pPr>
    </w:p>
    <w:p>
      <w:pPr>
        <w:ind w:left="1620" w:hanging="438"/>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252" w:lineRule="exact"/>
        <w:rPr>
          <w:rFonts w:ascii="Arial" w:cs="Arial" w:eastAsia="Arial" w:hAnsi="Arial"/>
          <w:sz w:val="18"/>
          <w:szCs w:val="18"/>
          <w:color w:val="auto"/>
        </w:rPr>
      </w:pPr>
    </w:p>
    <w:p>
      <w:pPr>
        <w:jc w:val="both"/>
        <w:ind w:left="1620" w:right="20" w:hanging="438"/>
        <w:spacing w:after="0" w:line="342" w:lineRule="auto"/>
        <w:tabs>
          <w:tab w:leader="none" w:pos="1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delays in reaching agreement on acceptable terms with prospective contract research organizations, or CROs, and clinical study sites, the terms of which can be subject to extensive negotiation and may vary significantly among different CROs and clinical study sites;</w:t>
      </w:r>
    </w:p>
    <w:p>
      <w:pPr>
        <w:spacing w:after="0" w:line="123" w:lineRule="exact"/>
        <w:rPr>
          <w:rFonts w:ascii="Arial" w:cs="Arial" w:eastAsia="Arial" w:hAnsi="Arial"/>
          <w:sz w:val="16"/>
          <w:szCs w:val="16"/>
          <w:color w:val="auto"/>
        </w:rPr>
      </w:pPr>
    </w:p>
    <w:p>
      <w:pPr>
        <w:ind w:left="1620" w:hanging="438"/>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study site;</w:t>
      </w:r>
    </w:p>
    <w:p>
      <w:pPr>
        <w:spacing w:after="0" w:line="252" w:lineRule="exact"/>
        <w:rPr>
          <w:rFonts w:ascii="Arial" w:cs="Arial" w:eastAsia="Arial" w:hAnsi="Arial"/>
          <w:sz w:val="18"/>
          <w:szCs w:val="18"/>
          <w:color w:val="auto"/>
        </w:rPr>
      </w:pPr>
    </w:p>
    <w:p>
      <w:pPr>
        <w:ind w:left="1620" w:right="240" w:hanging="438"/>
        <w:spacing w:after="0" w:line="296" w:lineRule="auto"/>
        <w:tabs>
          <w:tab w:leader="none" w:pos="1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imposition of a temporary or permanent clinical hold by regulatory agencies for a number of reasons, including after review of an IND application or amendment, or equivalent application or amendment; as a result of a new safety finding that presents unreasonable risk to clinical trial participants; a negative finding from an inspection of our clinical study operations or study sites; developments on trials conducted by competitors for related technology that raise FDA concerns about risk to patients of the technology broadly; or if the FDA finds that the investigational protocol or plan is clearly deficient to meet its stated objectives;</w:t>
      </w:r>
    </w:p>
    <w:p>
      <w:pPr>
        <w:spacing w:after="0" w:line="161" w:lineRule="exact"/>
        <w:rPr>
          <w:rFonts w:ascii="Arial" w:cs="Arial" w:eastAsia="Arial" w:hAnsi="Arial"/>
          <w:sz w:val="16"/>
          <w:szCs w:val="16"/>
          <w:color w:val="auto"/>
        </w:rPr>
      </w:pPr>
    </w:p>
    <w:p>
      <w:pPr>
        <w:ind w:left="1620" w:hanging="438"/>
        <w:spacing w:after="0" w:line="27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disruptions caused by the COVID-19 pandemic may increase the likelihood that we encounter such difficulties or delays in initiating, enrolling, conducting or completing our planned clinical trials;</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adding a sufficient number of trial sites and recruiting volunteers to participate in our clinical trials;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252" w:lineRule="exact"/>
        <w:rPr>
          <w:rFonts w:ascii="Arial" w:cs="Arial" w:eastAsia="Arial" w:hAnsi="Arial"/>
          <w:sz w:val="18"/>
          <w:szCs w:val="18"/>
          <w:color w:val="auto"/>
        </w:rPr>
      </w:pPr>
    </w:p>
    <w:p>
      <w:pPr>
        <w:ind w:left="1620" w:right="180" w:hanging="438"/>
        <w:spacing w:after="0" w:line="27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perform in accordance with the FDA’s good clinical practice, or GCP, requirements or applicable regulatory guidelines in other jurisdictions;</w:t>
      </w:r>
    </w:p>
    <w:p>
      <w:pPr>
        <w:spacing w:after="0" w:line="170" w:lineRule="exact"/>
        <w:rPr>
          <w:rFonts w:ascii="Arial" w:cs="Arial" w:eastAsia="Arial" w:hAnsi="Arial"/>
          <w:sz w:val="18"/>
          <w:szCs w:val="18"/>
          <w:color w:val="auto"/>
        </w:rPr>
      </w:pPr>
    </w:p>
    <w:p>
      <w:pPr>
        <w:ind w:left="1620" w:right="1060" w:hanging="438"/>
        <w:spacing w:after="0" w:line="27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transfer of manufacturing processes to any new CMO or our own manufacturing facilities or any other development or commercialization partner for the manufacture of vaccine candidates;</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having subjects complete participation in a study or return for post-injection follow-up;</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1" w:name="page62"/>
    <w:bookmarkEnd w:id="61"/>
    <w:p>
      <w:pPr>
        <w:ind w:left="1620" w:hanging="438"/>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subjects dropping out of a study;</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occurrence of side effects associated with our vaccine candidates that are viewed to outweigh their potential benefits;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the standard of care on which a clinical development plan was based, which may require new or additional trials;</w:t>
      </w:r>
    </w:p>
    <w:p>
      <w:pPr>
        <w:spacing w:after="0" w:line="263" w:lineRule="exact"/>
        <w:rPr>
          <w:rFonts w:ascii="Arial" w:cs="Arial" w:eastAsia="Arial" w:hAnsi="Arial"/>
          <w:sz w:val="17"/>
          <w:szCs w:val="17"/>
          <w:color w:val="auto"/>
        </w:rPr>
      </w:pPr>
    </w:p>
    <w:p>
      <w:pPr>
        <w:ind w:left="1620" w:hanging="438"/>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clinical trials of our vaccine candidates being greater than we anticipate;</w:t>
      </w:r>
    </w:p>
    <w:p>
      <w:pPr>
        <w:spacing w:after="0" w:line="252" w:lineRule="exact"/>
        <w:rPr>
          <w:rFonts w:ascii="Arial" w:cs="Arial" w:eastAsia="Arial" w:hAnsi="Arial"/>
          <w:sz w:val="18"/>
          <w:szCs w:val="18"/>
          <w:color w:val="auto"/>
        </w:rPr>
      </w:pPr>
    </w:p>
    <w:p>
      <w:pPr>
        <w:ind w:left="1620" w:right="100" w:hanging="438"/>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studies of our vaccine candidates producing negative or inconclusive results, which may result in our deciding, or regulators requiring us, to conduct additional clinical studies or abandon product development programs;</w:t>
      </w:r>
    </w:p>
    <w:p>
      <w:pPr>
        <w:spacing w:after="0" w:line="170" w:lineRule="exact"/>
        <w:rPr>
          <w:rFonts w:ascii="Arial" w:cs="Arial" w:eastAsia="Arial" w:hAnsi="Arial"/>
          <w:sz w:val="18"/>
          <w:szCs w:val="18"/>
          <w:color w:val="auto"/>
        </w:rPr>
      </w:pPr>
    </w:p>
    <w:p>
      <w:pPr>
        <w:ind w:left="1620" w:hanging="438"/>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failure to secure supply agreements with suitable raw material suppliers, or any failures by suppliers to meet our quantity or quality requirements for necessary raw materials; and</w:t>
      </w:r>
    </w:p>
    <w:p>
      <w:pPr>
        <w:spacing w:after="0" w:line="170" w:lineRule="exact"/>
        <w:rPr>
          <w:rFonts w:ascii="Arial" w:cs="Arial" w:eastAsia="Arial" w:hAnsi="Arial"/>
          <w:sz w:val="18"/>
          <w:szCs w:val="18"/>
          <w:color w:val="auto"/>
        </w:rPr>
      </w:pPr>
    </w:p>
    <w:p>
      <w:pPr>
        <w:ind w:left="1620" w:hanging="438"/>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vaccine candidates for use in clinical studies or the inability to do any of the foregoing.</w:t>
      </w:r>
    </w:p>
    <w:p>
      <w:pPr>
        <w:spacing w:after="0" w:line="170" w:lineRule="exact"/>
        <w:rPr>
          <w:sz w:val="20"/>
          <w:szCs w:val="20"/>
          <w:color w:val="auto"/>
        </w:rPr>
      </w:pPr>
    </w:p>
    <w:p>
      <w:pPr>
        <w:ind w:firstLine="1175"/>
        <w:spacing w:after="0" w:line="275" w:lineRule="auto"/>
        <w:rPr>
          <w:sz w:val="20"/>
          <w:szCs w:val="20"/>
          <w:color w:val="auto"/>
        </w:rPr>
      </w:pPr>
      <w:r>
        <w:rPr>
          <w:rFonts w:ascii="Arial" w:cs="Arial" w:eastAsia="Arial" w:hAnsi="Arial"/>
          <w:sz w:val="17"/>
          <w:szCs w:val="17"/>
          <w:color w:val="auto"/>
        </w:rPr>
        <w:t>Any inability to successfully complete preclinical and clinical development could result in additional costs to us or impair our ability to generate revenue. In addition, if we make manufacturing or formulation changes to our vaccine candidates, we may be required to or we may elect to conduct additional studies to bridge our modified vaccine candidates to earlier versions. Clinical trial delays could also shorten any periods during which our products have patent protection and may allow our competitors to bring products to market before we do, which could impair our ability to successfully commercialize our vaccine candidates and may harm our business and results of operations.</w:t>
      </w:r>
    </w:p>
    <w:p>
      <w:pPr>
        <w:spacing w:after="0" w:line="1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subjects in any clinical trials we may conduct, including any field efficacy trials that may be required, our clinical development activities could be delayed or otherwise adversely affected.</w:t>
      </w:r>
    </w:p>
    <w:p>
      <w:pPr>
        <w:spacing w:after="0" w:line="170" w:lineRule="exact"/>
        <w:rPr>
          <w:sz w:val="20"/>
          <w:szCs w:val="20"/>
          <w:color w:val="auto"/>
        </w:rPr>
      </w:pPr>
    </w:p>
    <w:p>
      <w:pPr>
        <w:jc w:val="both"/>
        <w:ind w:right="160" w:firstLine="1175"/>
        <w:spacing w:after="0" w:line="263" w:lineRule="auto"/>
        <w:rPr>
          <w:sz w:val="20"/>
          <w:szCs w:val="20"/>
          <w:color w:val="auto"/>
        </w:rPr>
      </w:pPr>
      <w:r>
        <w:rPr>
          <w:rFonts w:ascii="Arial" w:cs="Arial" w:eastAsia="Arial" w:hAnsi="Arial"/>
          <w:sz w:val="18"/>
          <w:szCs w:val="18"/>
          <w:color w:val="auto"/>
        </w:rPr>
        <w:t>We may experience difficulties in enrolling subjects in any clinical trials we may conduct for a variety of reasons. The timely completion of clinical trials in accordance with their protocols depends, among other things, on our ability to enroll a sufficient number of subjects who remain in the study until its conclusion. The enrollment of subjects depends on many factors, including:</w:t>
      </w:r>
    </w:p>
    <w:p>
      <w:pPr>
        <w:spacing w:after="0" w:line="184" w:lineRule="exact"/>
        <w:rPr>
          <w:sz w:val="20"/>
          <w:szCs w:val="20"/>
          <w:color w:val="auto"/>
        </w:rPr>
      </w:pPr>
    </w:p>
    <w:p>
      <w:pPr>
        <w:ind w:left="1620" w:hanging="438"/>
        <w:spacing w:after="0"/>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eligibility and exclusion criteria defined in the protocol;</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size of the population required for analysis of the trial’s primary endpoints;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proximity of volunteers to study sites;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our ability to obtain and maintain subject consents;</w:t>
      </w:r>
    </w:p>
    <w:p>
      <w:pPr>
        <w:spacing w:after="0" w:line="252" w:lineRule="exact"/>
        <w:rPr>
          <w:rFonts w:ascii="Arial" w:cs="Arial" w:eastAsia="Arial" w:hAnsi="Arial"/>
          <w:sz w:val="18"/>
          <w:szCs w:val="18"/>
          <w:color w:val="auto"/>
        </w:rPr>
      </w:pPr>
    </w:p>
    <w:p>
      <w:pPr>
        <w:ind w:left="1600" w:hanging="431"/>
        <w:spacing w:after="0"/>
        <w:tabs>
          <w:tab w:leader="none" w:pos="1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to monitor volunteers adequately during and after injection;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2" w:name="page63"/>
    <w:bookmarkEnd w:id="62"/>
    <w:p>
      <w:pPr>
        <w:ind w:left="1620" w:right="480" w:hanging="438"/>
        <w:spacing w:after="0" w:line="277"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 that volunteers enrolled in clinical trials will drop out of the trials before the injection of our vaccine candidates or trial completion; and</w:t>
      </w:r>
    </w:p>
    <w:p>
      <w:pPr>
        <w:spacing w:after="0" w:line="170" w:lineRule="exact"/>
        <w:rPr>
          <w:rFonts w:ascii="Arial" w:cs="Arial" w:eastAsia="Arial" w:hAnsi="Arial"/>
          <w:sz w:val="18"/>
          <w:szCs w:val="18"/>
          <w:color w:val="auto"/>
        </w:rPr>
      </w:pPr>
    </w:p>
    <w:p>
      <w:pPr>
        <w:ind w:left="1620" w:right="180" w:hanging="438"/>
        <w:spacing w:after="0" w:line="277"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risks and disruptions caused by the COVID-19 pandemic related to patient and physician investigator recruitment and retention and study site initiation and clinical trial activities.</w:t>
      </w:r>
    </w:p>
    <w:p>
      <w:pPr>
        <w:spacing w:after="0" w:line="170" w:lineRule="exact"/>
        <w:rPr>
          <w:sz w:val="20"/>
          <w:szCs w:val="20"/>
          <w:color w:val="auto"/>
        </w:rPr>
      </w:pPr>
    </w:p>
    <w:p>
      <w:pPr>
        <w:ind w:right="40" w:firstLine="1175"/>
        <w:spacing w:after="0" w:line="257" w:lineRule="auto"/>
        <w:rPr>
          <w:sz w:val="20"/>
          <w:szCs w:val="20"/>
          <w:color w:val="auto"/>
        </w:rPr>
      </w:pPr>
      <w:r>
        <w:rPr>
          <w:rFonts w:ascii="Arial" w:cs="Arial" w:eastAsia="Arial" w:hAnsi="Arial"/>
          <w:sz w:val="18"/>
          <w:szCs w:val="18"/>
          <w:color w:val="auto"/>
        </w:rPr>
        <w:t>To the extent we are required to conduct any field efficacy studies, enrollment of a sufficient number of subjects may require additional time and resources given widespread vaccination rates in the United States, particularly in the pediatric population. As a result, we may be required to conduct any such trials outside the United States, which could cause additional complexity and delay. Delays in enrollment may result in increased costs or may affect the timing or outcome of any clinical trials we may conduct, which could prevent completion of these trials and adversely affect our ability to advance the development of our vaccine candidates.</w:t>
      </w:r>
    </w:p>
    <w:p>
      <w:pPr>
        <w:spacing w:after="0" w:line="18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6" w:lineRule="exact"/>
        <w:rPr>
          <w:sz w:val="20"/>
          <w:szCs w:val="20"/>
          <w:color w:val="auto"/>
        </w:rPr>
      </w:pPr>
    </w:p>
    <w:p>
      <w:pPr>
        <w:ind w:right="140" w:firstLine="1175"/>
        <w:spacing w:after="0" w:line="290" w:lineRule="auto"/>
        <w:rPr>
          <w:sz w:val="20"/>
          <w:szCs w:val="20"/>
          <w:color w:val="auto"/>
        </w:rPr>
      </w:pPr>
      <w:r>
        <w:rPr>
          <w:rFonts w:ascii="Arial" w:cs="Arial" w:eastAsia="Arial" w:hAnsi="Arial"/>
          <w:sz w:val="16"/>
          <w:szCs w:val="16"/>
          <w:color w:val="auto"/>
        </w:rPr>
        <w:t>From time to time, we may publish interim topline or preliminary data from our preclinical or clinical trials. Interim data from clinical trials that we may complete are subject to the risk that one or more of the clinical outcomes may materially change as patient enrollment continues and more patient data become available. We also make assumptions, estimations, calculations and conclusions as part of our analyses of data, and we may not have received or had the opportunity to fully and carefully evaluate all data when we publish such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may publish. As a result, interim and preliminary data should be viewed with caution until the final data are available. Adverse differences between preliminary or interim data and final data could significantly harm our business prospects.</w:t>
      </w:r>
    </w:p>
    <w:p>
      <w:pPr>
        <w:spacing w:after="0" w:line="165" w:lineRule="exact"/>
        <w:rPr>
          <w:sz w:val="20"/>
          <w:szCs w:val="20"/>
          <w:color w:val="auto"/>
        </w:rPr>
      </w:pPr>
    </w:p>
    <w:p>
      <w:pPr>
        <w:ind w:right="20" w:firstLine="1175"/>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vaccine candidate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vaccine candidate or our business. If the topline data that we report differ from final results, or if others, including regulatory authorities, disagree with the conclusions reached, our ability to obtain approval for, and commercialize, vaccine candidates may be harmed, which could significantly harm our business prospects.</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designation or fast track designation by the FDA for one or more of our vaccine candidates, but we may not receive such designation, and even if we do, such designation may not lead to a faster development or regulatory review or approval process and it does not increase the likelihood that our vaccine candidates will receive marketing approval.</w:t>
      </w:r>
    </w:p>
    <w:p>
      <w:pPr>
        <w:spacing w:after="0" w:line="184" w:lineRule="exact"/>
        <w:rPr>
          <w:sz w:val="20"/>
          <w:szCs w:val="20"/>
          <w:color w:val="auto"/>
        </w:rPr>
      </w:pPr>
    </w:p>
    <w:p>
      <w:pPr>
        <w:ind w:right="100" w:firstLine="1175"/>
        <w:spacing w:after="0" w:line="254" w:lineRule="auto"/>
        <w:rPr>
          <w:sz w:val="20"/>
          <w:szCs w:val="20"/>
          <w:color w:val="auto"/>
        </w:rPr>
      </w:pPr>
      <w:r>
        <w:rPr>
          <w:rFonts w:ascii="Arial" w:cs="Arial" w:eastAsia="Arial" w:hAnsi="Arial"/>
          <w:sz w:val="18"/>
          <w:szCs w:val="18"/>
          <w:color w:val="auto"/>
        </w:rPr>
        <w:t>We may seek breakthrough therapy or fast track designation for some of our vaccine candidates. A sponsor may seek FDA designation of its vaccine candidate as a breakthrough therapy if the vaccine candidate is intended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vaccines that have been designated as breakthrough therapies, the FDA may take actions to expedite the development and review of the application, and interaction and communication between the FDA and the sponsor of the trial can help to identify the most efficient path for clinical development while minimizing the number of patients placed in ineffective control regimens.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3" w:name="page64"/>
    <w:bookmarkEnd w:id="63"/>
    <w:p>
      <w:pPr>
        <w:ind w:right="60" w:firstLine="1175"/>
        <w:spacing w:after="0" w:line="301" w:lineRule="auto"/>
        <w:rPr>
          <w:sz w:val="20"/>
          <w:szCs w:val="20"/>
          <w:color w:val="auto"/>
        </w:rPr>
      </w:pPr>
      <w:r>
        <w:rPr>
          <w:rFonts w:ascii="Arial" w:cs="Arial" w:eastAsia="Arial" w:hAnsi="Arial"/>
          <w:sz w:val="16"/>
          <w:szCs w:val="16"/>
          <w:color w:val="auto"/>
        </w:rPr>
        <w:t>A vaccine designated as a breakthrough therapy by the FDA may also be eligible for expedited review and approval. If a vaccine candidate is intended for the treatment of a serious or life-threatening condition and clinical or preclinical data demonstrate the potential to address unmet medical needs for this condition, the sponsor may apply for fast track designation. The FDA has broad discretion whether or not to grant this designation, so even if we believe a particular vaccine candidate is eligible for this designation, we cannot assure you that the FDA would decide to grant it.</w:t>
      </w:r>
    </w:p>
    <w:p>
      <w:pPr>
        <w:spacing w:after="0" w:line="157" w:lineRule="exact"/>
        <w:rPr>
          <w:sz w:val="20"/>
          <w:szCs w:val="20"/>
          <w:color w:val="auto"/>
        </w:rPr>
      </w:pPr>
    </w:p>
    <w:p>
      <w:pPr>
        <w:ind w:right="220" w:firstLine="1175"/>
        <w:spacing w:after="0" w:line="311" w:lineRule="auto"/>
        <w:rPr>
          <w:sz w:val="20"/>
          <w:szCs w:val="20"/>
          <w:color w:val="auto"/>
        </w:rPr>
      </w:pPr>
      <w:r>
        <w:rPr>
          <w:rFonts w:ascii="Arial" w:cs="Arial" w:eastAsia="Arial" w:hAnsi="Arial"/>
          <w:sz w:val="16"/>
          <w:szCs w:val="16"/>
          <w:color w:val="auto"/>
        </w:rPr>
        <w:t>Even if we obtain fast track designation for one or more of our vaccine candidates, we may not experience a faster development process, review or approval compared to non-expedited FDA review procedures. In addition, the FDA may withdraw fast track designation if it believes that the designation is no longer supported. Fast track designation alone does not guarantee qualification for the FDA’s priority review procedures.</w:t>
      </w:r>
    </w:p>
    <w:p>
      <w:pPr>
        <w:spacing w:after="0" w:line="149" w:lineRule="exact"/>
        <w:rPr>
          <w:sz w:val="20"/>
          <w:szCs w:val="20"/>
          <w:color w:val="auto"/>
        </w:rPr>
      </w:pPr>
    </w:p>
    <w:p>
      <w:pPr>
        <w:ind w:firstLine="1175"/>
        <w:spacing w:after="0" w:line="255" w:lineRule="auto"/>
        <w:rPr>
          <w:sz w:val="20"/>
          <w:szCs w:val="20"/>
          <w:color w:val="auto"/>
        </w:rPr>
      </w:pPr>
      <w:r>
        <w:rPr>
          <w:rFonts w:ascii="Arial" w:cs="Arial" w:eastAsia="Arial" w:hAnsi="Arial"/>
          <w:sz w:val="18"/>
          <w:szCs w:val="18"/>
          <w:color w:val="auto"/>
        </w:rPr>
        <w:t>Whether to grant breakthrough therapy or fast track designation is within the discretion of the FDA. Accordingly, even if we believe one of our vaccine candidates meets the criteria for these designations, the FDA may disagree and instead determine not to make such designation. In any event, the receipt of either of these designations for a vaccine candidate may not result in a faster development process, review or approval compared to vaccine candidates considered for approval under non-expedited FDA review procedures and does not assure ultimate approval by the FDA. In addition, even if one or more of our vaccine candidates qualify for either of these designations, the FDA may later decide that the vaccine candidate no longer meets the conditions for qualification.</w:t>
      </w:r>
    </w:p>
    <w:p>
      <w:pPr>
        <w:spacing w:after="0" w:line="1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currently have no marketing and sales organization, and as an organization have no experience in marketing products. If we are unable to establish marketing and sales capabilities or enter into agreements with third parties to market and sell our vaccine candidates, we may not be able to generate product revenue.</w:t>
      </w:r>
    </w:p>
    <w:p>
      <w:pPr>
        <w:spacing w:after="0" w:line="184" w:lineRule="exact"/>
        <w:rPr>
          <w:sz w:val="20"/>
          <w:szCs w:val="20"/>
          <w:color w:val="auto"/>
        </w:rPr>
      </w:pPr>
    </w:p>
    <w:p>
      <w:pPr>
        <w:jc w:val="both"/>
        <w:ind w:right="140" w:firstLine="1175"/>
        <w:spacing w:after="0" w:line="311" w:lineRule="auto"/>
        <w:rPr>
          <w:sz w:val="20"/>
          <w:szCs w:val="20"/>
          <w:color w:val="auto"/>
        </w:rPr>
      </w:pPr>
      <w:r>
        <w:rPr>
          <w:rFonts w:ascii="Arial" w:cs="Arial" w:eastAsia="Arial" w:hAnsi="Arial"/>
          <w:sz w:val="16"/>
          <w:szCs w:val="16"/>
          <w:color w:val="auto"/>
        </w:rPr>
        <w:t>We currently have no sales, marketing or distribution capabilities and as an organization have no experience in marketing products. If we develop an in-house marketing organization and sales force, we will require significant capital expenditures, management resources and time, and we will have to compete with other pharmaceutical and biotechnology companies to recruit, hire, train and retain marketing and sales personnel.</w:t>
      </w:r>
    </w:p>
    <w:p>
      <w:pPr>
        <w:spacing w:after="0" w:line="149" w:lineRule="exact"/>
        <w:rPr>
          <w:sz w:val="20"/>
          <w:szCs w:val="20"/>
          <w:color w:val="auto"/>
        </w:rPr>
      </w:pPr>
    </w:p>
    <w:p>
      <w:pPr>
        <w:ind w:right="40" w:firstLine="1175"/>
        <w:spacing w:after="0" w:line="255" w:lineRule="auto"/>
        <w:rPr>
          <w:sz w:val="20"/>
          <w:szCs w:val="20"/>
          <w:color w:val="auto"/>
        </w:rPr>
      </w:pPr>
      <w:r>
        <w:rPr>
          <w:rFonts w:ascii="Arial" w:cs="Arial" w:eastAsia="Arial" w:hAnsi="Arial"/>
          <w:sz w:val="18"/>
          <w:szCs w:val="18"/>
          <w:color w:val="auto"/>
        </w:rPr>
        <w:t>If we are unable or decide not to establish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We may have little or no control over the marketing and sales efforts of such third parties and our revenue from product sales may be lower than if we had commercialized our vaccine candidates ourselves. We also face competition in our search for third parties to assist us with the sales and marketing efforts of our vaccine candidates.</w:t>
      </w:r>
    </w:p>
    <w:p>
      <w:pPr>
        <w:spacing w:after="0" w:line="192" w:lineRule="exact"/>
        <w:rPr>
          <w:sz w:val="20"/>
          <w:szCs w:val="20"/>
          <w:color w:val="auto"/>
        </w:rPr>
      </w:pPr>
    </w:p>
    <w:p>
      <w:pPr>
        <w:ind w:right="100" w:firstLine="1175"/>
        <w:spacing w:after="0" w:line="296" w:lineRule="auto"/>
        <w:rPr>
          <w:sz w:val="20"/>
          <w:szCs w:val="20"/>
          <w:color w:val="auto"/>
        </w:rPr>
      </w:pPr>
      <w:r>
        <w:rPr>
          <w:rFonts w:ascii="Arial" w:cs="Arial" w:eastAsia="Arial" w:hAnsi="Arial"/>
          <w:sz w:val="16"/>
          <w:szCs w:val="16"/>
          <w:color w:val="auto"/>
        </w:rPr>
        <w:t>There can be no assurance that we will be able to develop in-house sales and distribution capabilities or establish or maintain relationships with third-party collaborators to commercialize any product that receives regulatory approval in the United States or overseas. If we are unable to develop in-house sales and distribution capabilities or enter into relationships with third-party collaborators on acceptable terms or at all, we may not be able to successfully commercialize our products. If we are not successful in commercializing our products or any future products, either on our own or through arrangements with one or more third parties, we may not be able to generate any future product revenue and we would incur significant additional losses.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ind w:right="20"/>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potentially conducting research and clinical trials abroad and marketing our vaccine candidates internationally could materially adversely affect our business.</w:t>
      </w:r>
    </w:p>
    <w:p>
      <w:pPr>
        <w:spacing w:after="0" w:line="170" w:lineRule="exact"/>
        <w:rPr>
          <w:sz w:val="20"/>
          <w:szCs w:val="20"/>
          <w:color w:val="auto"/>
        </w:rPr>
      </w:pPr>
    </w:p>
    <w:p>
      <w:pPr>
        <w:ind w:right="240" w:firstLine="1175"/>
        <w:spacing w:after="0" w:line="277" w:lineRule="auto"/>
        <w:rPr>
          <w:sz w:val="20"/>
          <w:szCs w:val="20"/>
          <w:color w:val="auto"/>
        </w:rPr>
      </w:pPr>
      <w:r>
        <w:rPr>
          <w:rFonts w:ascii="Arial" w:cs="Arial" w:eastAsia="Arial" w:hAnsi="Arial"/>
          <w:sz w:val="18"/>
          <w:szCs w:val="18"/>
          <w:color w:val="auto"/>
        </w:rPr>
        <w:t>As we pursue approval and commercialization for our vaccine candidates overseas and conduct CMC and other operations overseas, we will be subject to additional risks related to operating in foreign countries, including:</w:t>
      </w:r>
    </w:p>
    <w:p>
      <w:pPr>
        <w:spacing w:after="0" w:line="170" w:lineRule="exact"/>
        <w:rPr>
          <w:sz w:val="20"/>
          <w:szCs w:val="20"/>
          <w:color w:val="auto"/>
        </w:rPr>
      </w:pPr>
    </w:p>
    <w:p>
      <w:pPr>
        <w:ind w:left="1620" w:hanging="438"/>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difficulties in managing the logistics and transportation of storing and shipping vaccine candidates abroad;</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import and export requirements and restrictions;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and changing data protection and privacy regimes and requirements;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52" w:lineRule="exact"/>
        <w:rPr>
          <w:rFonts w:ascii="Arial" w:cs="Arial" w:eastAsia="Arial" w:hAnsi="Arial"/>
          <w:sz w:val="18"/>
          <w:szCs w:val="18"/>
          <w:color w:val="auto"/>
        </w:rPr>
      </w:pPr>
    </w:p>
    <w:p>
      <w:pPr>
        <w:ind w:left="1620" w:hanging="438"/>
        <w:spacing w:after="0" w:line="27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liability under the U.S. Foreign Corrupt Practices Act of 1977, as amended, or comparable foreign regulations;</w:t>
      </w:r>
    </w:p>
    <w:p>
      <w:pPr>
        <w:spacing w:after="0" w:line="252" w:lineRule="exact"/>
        <w:rPr>
          <w:rFonts w:ascii="Arial" w:cs="Arial" w:eastAsia="Arial" w:hAnsi="Arial"/>
          <w:sz w:val="18"/>
          <w:szCs w:val="18"/>
          <w:color w:val="auto"/>
        </w:rPr>
      </w:pPr>
    </w:p>
    <w:p>
      <w:pPr>
        <w:ind w:left="1620" w:right="360" w:hanging="438"/>
        <w:spacing w:after="0" w:line="27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52" w:lineRule="exact"/>
        <w:rPr>
          <w:sz w:val="20"/>
          <w:szCs w:val="20"/>
          <w:color w:val="auto"/>
        </w:rPr>
      </w:pPr>
    </w:p>
    <w:p>
      <w:pPr>
        <w:ind w:right="40" w:firstLine="1175"/>
        <w:spacing w:after="0" w:line="277" w:lineRule="auto"/>
        <w:rPr>
          <w:sz w:val="20"/>
          <w:szCs w:val="20"/>
          <w:color w:val="auto"/>
        </w:rPr>
      </w:pPr>
      <w:r>
        <w:rPr>
          <w:rFonts w:ascii="Arial" w:cs="Arial" w:eastAsia="Arial" w:hAnsi="Arial"/>
          <w:sz w:val="18"/>
          <w:szCs w:val="18"/>
          <w:color w:val="auto"/>
        </w:rPr>
        <w:t>These and other risks associated with our international operations and our collaborations with Lonza, based in Switzerland, may materially adversely affect our ability to attain or maintain profitable operations.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5" w:name="page66"/>
    <w:bookmarkEnd w:id="65"/>
    <w:p>
      <w:pPr>
        <w:ind w:right="30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able to retain these members of our management team or recruit and retain highly qualified personnel, we may not be able to successfully implement our business strategy.</w:t>
      </w:r>
    </w:p>
    <w:p>
      <w:pPr>
        <w:spacing w:after="0" w:line="170" w:lineRule="exact"/>
        <w:rPr>
          <w:sz w:val="20"/>
          <w:szCs w:val="20"/>
          <w:color w:val="auto"/>
        </w:rPr>
      </w:pPr>
    </w:p>
    <w:p>
      <w:pPr>
        <w:jc w:val="both"/>
        <w:ind w:firstLine="1175"/>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Executive Officer, our President and Chief Financial Officer, our Vice President of Research and our Chief Operating Officer. The loss of the services of any of our executive officers, other key employees and other scientific and medical advisors, and our inability to find suitable replacements, could result in delays in product development and harm our business.</w:t>
      </w:r>
    </w:p>
    <w:p>
      <w:pPr>
        <w:spacing w:after="0" w:line="188" w:lineRule="exact"/>
        <w:rPr>
          <w:sz w:val="20"/>
          <w:szCs w:val="20"/>
          <w:color w:val="auto"/>
        </w:rPr>
      </w:pPr>
    </w:p>
    <w:p>
      <w:pPr>
        <w:jc w:val="both"/>
        <w:ind w:right="240" w:firstLine="1175"/>
        <w:spacing w:after="0" w:line="263" w:lineRule="auto"/>
        <w:rPr>
          <w:sz w:val="20"/>
          <w:szCs w:val="20"/>
          <w:color w:val="auto"/>
        </w:rPr>
      </w:pPr>
      <w:r>
        <w:rPr>
          <w:rFonts w:ascii="Arial" w:cs="Arial" w:eastAsia="Arial" w:hAnsi="Arial"/>
          <w:sz w:val="18"/>
          <w:szCs w:val="18"/>
          <w:color w:val="auto"/>
        </w:rPr>
        <w:t>We conduct substantially all of our operations at our facilities in the San Francisco Bay Area. This region is headquarters to many other biopharmaceutical companies and many academic and research institutions. Competition for skilled personnel in our market is intense and may limit our ability to hire and retain highly qualified personnel on acceptable terms or at all.</w:t>
      </w:r>
    </w:p>
    <w:p>
      <w:pPr>
        <w:spacing w:after="0" w:line="184" w:lineRule="exact"/>
        <w:rPr>
          <w:sz w:val="20"/>
          <w:szCs w:val="20"/>
          <w:color w:val="auto"/>
        </w:rPr>
      </w:pPr>
    </w:p>
    <w:p>
      <w:pPr>
        <w:ind w:firstLine="1175"/>
        <w:spacing w:after="0" w:line="271"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and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grown rapidly and will need to continue to grow the size of our organization, and we may experience difficulties in managing this growth.</w:t>
      </w:r>
    </w:p>
    <w:p>
      <w:pPr>
        <w:spacing w:after="0" w:line="248" w:lineRule="exact"/>
        <w:rPr>
          <w:sz w:val="20"/>
          <w:szCs w:val="20"/>
          <w:color w:val="auto"/>
        </w:rPr>
      </w:pPr>
    </w:p>
    <w:p>
      <w:pPr>
        <w:ind w:right="300" w:firstLine="1175"/>
        <w:spacing w:after="0" w:line="263" w:lineRule="auto"/>
        <w:rPr>
          <w:sz w:val="20"/>
          <w:szCs w:val="20"/>
          <w:color w:val="auto"/>
        </w:rPr>
      </w:pPr>
      <w:r>
        <w:rPr>
          <w:rFonts w:ascii="Arial" w:cs="Arial" w:eastAsia="Arial" w:hAnsi="Arial"/>
          <w:sz w:val="18"/>
          <w:szCs w:val="18"/>
          <w:color w:val="auto"/>
        </w:rPr>
        <w:t>As our discovery, development and commercialization plans and strategies develop, we have rapidly expanded our employee base and expect to continue to add managerial, operational, sales, research and development, marketing, financial and other personnel. Current and future growth imposes significant added responsibilities on members of management, including:</w:t>
      </w:r>
    </w:p>
    <w:p>
      <w:pPr>
        <w:spacing w:after="0" w:line="184" w:lineRule="exact"/>
        <w:rPr>
          <w:sz w:val="20"/>
          <w:szCs w:val="20"/>
          <w:color w:val="auto"/>
        </w:rPr>
      </w:pPr>
    </w:p>
    <w:p>
      <w:pPr>
        <w:ind w:left="1620" w:hanging="438"/>
        <w:spacing w:after="0"/>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52" w:lineRule="exact"/>
        <w:rPr>
          <w:rFonts w:ascii="Arial" w:cs="Arial" w:eastAsia="Arial" w:hAnsi="Arial"/>
          <w:sz w:val="18"/>
          <w:szCs w:val="18"/>
          <w:color w:val="auto"/>
        </w:rPr>
      </w:pPr>
    </w:p>
    <w:p>
      <w:pPr>
        <w:ind w:left="1620" w:right="340" w:hanging="438"/>
        <w:spacing w:after="0" w:line="277"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vaccine candidates, while complying with our contractual obligations to contractors and other third parties; and</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52" w:lineRule="exact"/>
        <w:rPr>
          <w:sz w:val="20"/>
          <w:szCs w:val="20"/>
          <w:color w:val="auto"/>
        </w:rPr>
      </w:pPr>
    </w:p>
    <w:p>
      <w:pPr>
        <w:jc w:val="both"/>
        <w:ind w:right="100" w:firstLine="1175"/>
        <w:spacing w:after="0" w:line="263" w:lineRule="auto"/>
        <w:rPr>
          <w:sz w:val="20"/>
          <w:szCs w:val="20"/>
          <w:color w:val="auto"/>
        </w:rPr>
      </w:pPr>
      <w:r>
        <w:rPr>
          <w:rFonts w:ascii="Arial" w:cs="Arial" w:eastAsia="Arial" w:hAnsi="Arial"/>
          <w:sz w:val="18"/>
          <w:szCs w:val="18"/>
          <w:color w:val="auto"/>
        </w:rPr>
        <w:t>Our future financial performance and our ability to commercialize our vaccine candidates will depend, in part, on our ability to effectively manage our growth. Our management may also have to divert a disproportionate amount of its attention away from day-to-day activities in order to devote a substantial amount of time to managing these growth activities.</w:t>
      </w:r>
    </w:p>
    <w:p>
      <w:pPr>
        <w:spacing w:after="0" w:line="184" w:lineRule="exact"/>
        <w:rPr>
          <w:sz w:val="20"/>
          <w:szCs w:val="20"/>
          <w:color w:val="auto"/>
        </w:rPr>
      </w:pPr>
    </w:p>
    <w:p>
      <w:pPr>
        <w:jc w:val="both"/>
        <w:ind w:right="820" w:firstLine="1175"/>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vaccine candidates and, accordingly, may not achieve our research, development and commercialization goals.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right="36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vaccine candidates in one jurisdiction does not mean that we will be successful in obtaining regulatory approval of our vaccine candidates in other jurisdictions.</w:t>
      </w:r>
    </w:p>
    <w:p>
      <w:pPr>
        <w:spacing w:after="0" w:line="170" w:lineRule="exact"/>
        <w:rPr>
          <w:sz w:val="20"/>
          <w:szCs w:val="20"/>
          <w:color w:val="auto"/>
        </w:rPr>
      </w:pPr>
    </w:p>
    <w:p>
      <w:pPr>
        <w:ind w:firstLine="1175"/>
        <w:spacing w:after="0" w:line="290" w:lineRule="auto"/>
        <w:rPr>
          <w:sz w:val="20"/>
          <w:szCs w:val="20"/>
          <w:color w:val="auto"/>
        </w:rPr>
      </w:pPr>
      <w:r>
        <w:rPr>
          <w:rFonts w:ascii="Arial" w:cs="Arial" w:eastAsia="Arial" w:hAnsi="Arial"/>
          <w:sz w:val="16"/>
          <w:szCs w:val="16"/>
          <w:color w:val="auto"/>
        </w:rPr>
        <w:t>Obtaining and maintaining regulatory approval of our vaccine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vaccine candidate, comparable regulatory authorities in foreign jurisdictions must also approve the manufacturing, marketing and promotion of the vaccine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vaccine candidate must be approved for reimbursement before it can be approved for sale in that jurisdiction. In some cases, the price that we intend to charge for our products is also subject to approval.</w:t>
      </w:r>
    </w:p>
    <w:p>
      <w:pPr>
        <w:spacing w:after="0" w:line="165" w:lineRule="exact"/>
        <w:rPr>
          <w:sz w:val="20"/>
          <w:szCs w:val="20"/>
          <w:color w:val="auto"/>
        </w:rPr>
      </w:pPr>
    </w:p>
    <w:p>
      <w:pPr>
        <w:ind w:firstLine="1175"/>
        <w:spacing w:after="0" w:line="296" w:lineRule="auto"/>
        <w:rPr>
          <w:sz w:val="20"/>
          <w:szCs w:val="20"/>
          <w:color w:val="auto"/>
        </w:rPr>
      </w:pPr>
      <w:r>
        <w:rPr>
          <w:rFonts w:ascii="Arial" w:cs="Arial" w:eastAsia="Arial" w:hAnsi="Arial"/>
          <w:sz w:val="16"/>
          <w:szCs w:val="16"/>
          <w:color w:val="auto"/>
        </w:rPr>
        <w:t>We may also submit marketing applications in other countries. Regulatory authorities in jurisdictions outside of the United States have requirements for approval of vaccine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vaccine candidates will be harmed.</w:t>
      </w:r>
    </w:p>
    <w:p>
      <w:pPr>
        <w:spacing w:after="0" w:line="16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form or seek strategic alliances or enter into additional licensing arrangements in the future, and we may not realize the benefits of such alliances or licensing arrangements.</w:t>
      </w:r>
    </w:p>
    <w:p>
      <w:pPr>
        <w:spacing w:after="0" w:line="170" w:lineRule="exact"/>
        <w:rPr>
          <w:sz w:val="20"/>
          <w:szCs w:val="20"/>
          <w:color w:val="auto"/>
        </w:rPr>
      </w:pPr>
    </w:p>
    <w:p>
      <w:pPr>
        <w:ind w:right="20" w:firstLine="1175"/>
        <w:spacing w:after="0" w:line="269" w:lineRule="auto"/>
        <w:rPr>
          <w:sz w:val="20"/>
          <w:szCs w:val="20"/>
          <w:color w:val="auto"/>
        </w:rPr>
      </w:pPr>
      <w:r>
        <w:rPr>
          <w:rFonts w:ascii="Arial" w:cs="Arial" w:eastAsia="Arial" w:hAnsi="Arial"/>
          <w:sz w:val="17"/>
          <w:szCs w:val="17"/>
          <w:color w:val="auto"/>
        </w:rPr>
        <w:t>We may form or seek strategic alliances, create joint ventures or collaborations or enter into additional licensing arrangements with third parties that we believe will complement or augment our discovery, development and commercialization efforts with respect to our vaccine candidates and any future vaccine candidates that we may seek to develop.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vaccine candidates because they may be deemed to be at too early of a stage of development for collaborative effort, and third parties may not view our vaccine candidates as having the requisite potential to demonstrate safety and efficacy. Any delays in entering into new strategic partnership agreements related to our vaccine candidates could delay the development and commercialization of our vaccine candidates in certain geographies for certain indications, which would harm our business prospects, financial condition and results of operations.</w:t>
      </w:r>
    </w:p>
    <w:p>
      <w:pPr>
        <w:spacing w:after="0" w:line="185" w:lineRule="exact"/>
        <w:rPr>
          <w:sz w:val="20"/>
          <w:szCs w:val="20"/>
          <w:color w:val="auto"/>
        </w:rPr>
      </w:pPr>
    </w:p>
    <w:p>
      <w:pPr>
        <w:ind w:firstLine="1175"/>
        <w:spacing w:after="0" w:line="263" w:lineRule="auto"/>
        <w:rPr>
          <w:sz w:val="20"/>
          <w:szCs w:val="20"/>
          <w:color w:val="auto"/>
        </w:rPr>
      </w:pPr>
      <w:r>
        <w:rPr>
          <w:rFonts w:ascii="Arial" w:cs="Arial" w:eastAsia="Arial" w:hAnsi="Arial"/>
          <w:sz w:val="18"/>
          <w:szCs w:val="18"/>
          <w:color w:val="auto"/>
        </w:rPr>
        <w:t>If we license products or businesses, we may not be able to realize the benefit of such transactions if we are unable to successfully integrate them with our existing operations and company culture. We cannot be certain that, following a strategic transaction or license, we will achieve the results, revenue or specific net income that justifies such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any “catch up” opportunity may decline over time as more of the patient population is vaccinated.</w:t>
      </w:r>
    </w:p>
    <w:p>
      <w:pPr>
        <w:spacing w:after="0" w:line="225" w:lineRule="exact"/>
        <w:rPr>
          <w:sz w:val="20"/>
          <w:szCs w:val="20"/>
          <w:color w:val="auto"/>
        </w:rPr>
      </w:pPr>
    </w:p>
    <w:p>
      <w:pPr>
        <w:ind w:right="160" w:firstLine="1175"/>
        <w:spacing w:after="0" w:line="279" w:lineRule="auto"/>
        <w:rPr>
          <w:sz w:val="20"/>
          <w:szCs w:val="20"/>
          <w:color w:val="auto"/>
        </w:rPr>
      </w:pPr>
      <w:r>
        <w:rPr>
          <w:rFonts w:ascii="Arial" w:cs="Arial" w:eastAsia="Arial" w:hAnsi="Arial"/>
          <w:sz w:val="17"/>
          <w:szCs w:val="17"/>
          <w:color w:val="auto"/>
        </w:rPr>
        <w:t>We intend to initially seek approval of our VAX-24 vaccine candidate in adults. If approved, we believe it may have the potential to serve as a “catch up” or booster to those adults who have previously received Pneumovax 23 or a lower-valent PCV. Previous vaccines with a “catch up” opportunity have seen a high initial capture rate, but sales may decline over time as the number of individuals who remain unvaccinated with the new vaccine, and eligible for “catch up” opportunities, declines. Such decline could adversely affect our revenue over time.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i w:val="1"/>
          <w:iCs w:val="1"/>
          <w:color w:val="auto"/>
        </w:rPr>
        <w:t>Our internal computer systems, or those used by our CROs or other contractors or consultants, may fail or suffer security breaches.</w:t>
      </w:r>
    </w:p>
    <w:p>
      <w:pPr>
        <w:spacing w:after="0" w:line="237" w:lineRule="exact"/>
        <w:rPr>
          <w:sz w:val="20"/>
          <w:szCs w:val="20"/>
          <w:color w:val="auto"/>
        </w:rPr>
      </w:pPr>
    </w:p>
    <w:p>
      <w:pPr>
        <w:ind w:right="20" w:firstLine="1175"/>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the systems of our CROs, contractors and consultants are vulnerable to damage from computer viruses and unauthorized access. Additionally, the increased usage of computers operated on home networks due to the shelter-in-place or similar restrictions related to the COVID-19 pandemic may make our systems more susceptible to security breaches. While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and commercialization of our vaccine candidates could be delayed.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right="60" w:firstLine="1175"/>
        <w:spacing w:after="0" w:line="296" w:lineRule="auto"/>
        <w:rPr>
          <w:sz w:val="20"/>
          <w:szCs w:val="20"/>
          <w:color w:val="auto"/>
        </w:rPr>
      </w:pPr>
      <w:r>
        <w:rPr>
          <w:rFonts w:ascii="Arial" w:cs="Arial" w:eastAsia="Arial" w:hAnsi="Arial"/>
          <w:sz w:val="16"/>
          <w:szCs w:val="16"/>
          <w:color w:val="auto"/>
        </w:rPr>
        <w:t>Our operations, and those of our CMOs,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impact of climate change may increase these risks due to changes in weather patterns, such as increases in storm intensity, sea-level rise, melting of permafrost and temperature extremes on facilities or operations. The occurrence of any of these business disruptions could seriously harm our operations and financial condition and increase our costs and expenses.</w:t>
      </w:r>
    </w:p>
    <w:p>
      <w:pPr>
        <w:spacing w:after="0" w:line="161" w:lineRule="exact"/>
        <w:rPr>
          <w:sz w:val="20"/>
          <w:szCs w:val="20"/>
          <w:color w:val="auto"/>
        </w:rPr>
      </w:pPr>
    </w:p>
    <w:p>
      <w:pPr>
        <w:ind w:right="20" w:firstLine="1175"/>
        <w:spacing w:after="0" w:line="257" w:lineRule="auto"/>
        <w:rPr>
          <w:sz w:val="20"/>
          <w:szCs w:val="20"/>
          <w:color w:val="auto"/>
        </w:rPr>
      </w:pPr>
      <w:r>
        <w:rPr>
          <w:rFonts w:ascii="Arial" w:cs="Arial" w:eastAsia="Arial" w:hAnsi="Arial"/>
          <w:sz w:val="18"/>
          <w:szCs w:val="18"/>
          <w:color w:val="auto"/>
        </w:rPr>
        <w:t>Our ability to manufacture our vaccine candidates could be disrupted if our operations or those of our suppliers are affected by a man-made or natural disaster or other business interruption, including the COVID-19 pandemic.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i w:val="1"/>
          <w:iCs w:val="1"/>
          <w:color w:val="auto"/>
        </w:rPr>
        <w:t>Our business could be adversely affected by the effects of health epidemics, including the ongoing effects of the COVID-19 pandemic, in regions where we or third parties on which we rely have significant manufacturing facilities, concentrations of potential clinical trial sites or other business operations. The COVID-19 pandemic could materially affect our operations, including at our headquarters in the San Francisco Bay Area, as well as the business or operations of our contract manufacturers or other third parties with whom we conduct business.</w:t>
      </w:r>
    </w:p>
    <w:p>
      <w:pPr>
        <w:spacing w:after="0" w:line="157" w:lineRule="exact"/>
        <w:rPr>
          <w:sz w:val="20"/>
          <w:szCs w:val="20"/>
          <w:color w:val="auto"/>
        </w:rPr>
      </w:pPr>
    </w:p>
    <w:p>
      <w:pPr>
        <w:ind w:firstLine="1175"/>
        <w:spacing w:after="0" w:line="283" w:lineRule="auto"/>
        <w:rPr>
          <w:sz w:val="20"/>
          <w:szCs w:val="20"/>
          <w:color w:val="auto"/>
        </w:rPr>
      </w:pPr>
      <w:r>
        <w:rPr>
          <w:rFonts w:ascii="Arial" w:cs="Arial" w:eastAsia="Arial" w:hAnsi="Arial"/>
          <w:sz w:val="16"/>
          <w:szCs w:val="16"/>
          <w:color w:val="auto"/>
        </w:rPr>
        <w:t>Health epidemics in regions where we have concentrations of potential clinical trial sites or other business operations could adversely affect our business, including by causing significant disruption in the operations of our contract manufacturer and other third parties upon whom we rely. For example, the COVID-19 pandemic has presented a substantial public health and economic challenge around the world and is affecting employees, patients, communities and business operations, as well as the U.S. economy and financial markets. Our headquarters is located in the San Francisco Bay Area, and our contract manufacturer, Lonza, is located in Switzerland. In March 2020, the U.S. government imposed travel restrictions on travel between the United States, Europe and certain other countries. Further, the President of the United States declared the COVID-19 pandemic a national emergency, invoking powers under the Stafford Act, the legislation that directs federal emergency disaster response. Similarly, the State of California declared a state of emergency related to the spread of COVID-19, and county public health departments announced aggressive recommendations to reduce the spread of the disease. On March 16, 2020, the health officers of six San Francisco Bay Area counties, including San Mateo County where our headquarters are located, issued shelter-in-place orders, which (i) direct all individuals living in those counties to shelter at their places of residence (subject to limited exceptions),</w:t>
      </w:r>
    </w:p>
    <w:p>
      <w:pPr>
        <w:spacing w:after="0" w:line="5" w:lineRule="exact"/>
        <w:rPr>
          <w:sz w:val="20"/>
          <w:szCs w:val="20"/>
          <w:color w:val="auto"/>
        </w:rPr>
      </w:pPr>
    </w:p>
    <w:p>
      <w:pPr>
        <w:ind w:right="160" w:firstLine="8"/>
        <w:spacing w:after="0" w:line="255" w:lineRule="auto"/>
        <w:tabs>
          <w:tab w:leader="none" w:pos="2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 all businesses and governmental agencies to cease non-essential operations at physical locations in those counties, (iii) prohibit all non-essential gatherings of any number of individuals, and (iv) order cessation of all non-essential travel. The initial shelter-in-place orders took effect on March 17, 2020, were subsequently revised, and have now been superseded with the current reopening orders for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spacing w:after="0" w:line="254" w:lineRule="auto"/>
        <w:rPr>
          <w:sz w:val="20"/>
          <w:szCs w:val="20"/>
          <w:color w:val="auto"/>
        </w:rPr>
      </w:pPr>
      <w:r>
        <w:rPr>
          <w:rFonts w:ascii="Arial" w:cs="Arial" w:eastAsia="Arial" w:hAnsi="Arial"/>
          <w:sz w:val="18"/>
          <w:szCs w:val="18"/>
          <w:color w:val="auto"/>
        </w:rPr>
        <w:t>California and the various San Francisco Bay Area counties. As a result, we have implemented work-from-home policies for all of our non-lab employees. The effects of these orders and our work-from-home policies may negatively impact productivity, disrupt our business and delay our clinical programs and timelines, the magnitude of which will depend, in part, on the length and severity of the restrictions and other limitations on our ability to conduct our business in the ordinary course. In connection with these measures, we may be subject to claims based upon, arising out of or related to COVID-19 and our actions and responses thereto, including any determinations that we may make to continue to operate or to re-open our facilities where permitted by applicable law. These and similar, and perhaps more severe, disruptions in our operations could negatively impact our business, financial condition, results of operations and growth prospects.</w:t>
      </w:r>
    </w:p>
    <w:p>
      <w:pPr>
        <w:spacing w:after="0" w:line="195" w:lineRule="exact"/>
        <w:rPr>
          <w:sz w:val="20"/>
          <w:szCs w:val="20"/>
          <w:color w:val="auto"/>
        </w:rPr>
      </w:pPr>
    </w:p>
    <w:p>
      <w:pPr>
        <w:ind w:right="100" w:firstLine="1175"/>
        <w:spacing w:after="0" w:line="255" w:lineRule="auto"/>
        <w:rPr>
          <w:sz w:val="20"/>
          <w:szCs w:val="20"/>
          <w:color w:val="auto"/>
        </w:rPr>
      </w:pPr>
      <w:r>
        <w:rPr>
          <w:rFonts w:ascii="Arial" w:cs="Arial" w:eastAsia="Arial" w:hAnsi="Arial"/>
          <w:sz w:val="18"/>
          <w:szCs w:val="18"/>
          <w:color w:val="auto"/>
        </w:rPr>
        <w:t>Moreover, we rely on third parties to supply raw materials and manufacture our preclinical and clinical product supplies of our vaccine candidates, and we cannot guarantee that they will continue to perform their contractual duties in a timely and satisfactory manner as a result of the COVID-19 pandemic. In addition, quarantines, shelter-in-place and similar government orders could impact personnel at third-party manufacturing facilities in the United States and other countries, or the availability or cost of materials, which would disrupt our supply chain. For example, the COVID-19 pandemic slowed raw material supply chains and travel restrictions delayed the qualification of key analytical equipment used in manufacturing and curtailed in-person CMO oversight of manufacturing.</w:t>
      </w:r>
    </w:p>
    <w:p>
      <w:pPr>
        <w:spacing w:after="0" w:line="192" w:lineRule="exact"/>
        <w:rPr>
          <w:sz w:val="20"/>
          <w:szCs w:val="20"/>
          <w:color w:val="auto"/>
        </w:rPr>
      </w:pPr>
    </w:p>
    <w:p>
      <w:pPr>
        <w:ind w:right="40" w:firstLine="1175"/>
        <w:spacing w:after="0" w:line="275" w:lineRule="auto"/>
        <w:rPr>
          <w:sz w:val="20"/>
          <w:szCs w:val="20"/>
          <w:color w:val="auto"/>
        </w:rPr>
      </w:pPr>
      <w:r>
        <w:rPr>
          <w:rFonts w:ascii="Arial" w:cs="Arial" w:eastAsia="Arial" w:hAnsi="Arial"/>
          <w:sz w:val="17"/>
          <w:szCs w:val="17"/>
          <w:color w:val="auto"/>
        </w:rPr>
        <w:t>Some of our suppliers of certain materials used in the production of our vaccine candidates are located in Europe. Any manufacturing supply interruption at Lonza’s facilities in Switzerland could adversely affect our ability to produce our vaccine candidates for use in the conduct of our preclinical studies or clinical trials. In any event, if the COVID-19 pandemic continues and persists for an extended period of time or more acutely impacts geographies with particular impact on our business, we could experience significant disruptions to our preclinical and clinical development timelines, which would adversely affect our business, financial condition, results of operations and growth prospects.</w:t>
      </w:r>
    </w:p>
    <w:p>
      <w:pPr>
        <w:spacing w:after="0" w:line="176" w:lineRule="exact"/>
        <w:rPr>
          <w:sz w:val="20"/>
          <w:szCs w:val="20"/>
          <w:color w:val="auto"/>
        </w:rPr>
      </w:pPr>
    </w:p>
    <w:p>
      <w:pPr>
        <w:ind w:right="100" w:firstLine="1175"/>
        <w:spacing w:after="0" w:line="301" w:lineRule="auto"/>
        <w:rPr>
          <w:sz w:val="20"/>
          <w:szCs w:val="20"/>
          <w:color w:val="auto"/>
        </w:rPr>
      </w:pPr>
      <w:r>
        <w:rPr>
          <w:rFonts w:ascii="Arial" w:cs="Arial" w:eastAsia="Arial" w:hAnsi="Arial"/>
          <w:sz w:val="16"/>
          <w:szCs w:val="16"/>
          <w:color w:val="auto"/>
        </w:rPr>
        <w:t>In addition, our planned clinical trials may be affected by the COVID-19 pandemic. Site initiation and subject enrollment may be delayed due to prioritization of hospital resources toward the COVID-19 pandemic. Some subjects may not be able to comply with clinical trial protocols if quarantines impede their movement or interrupt healthcare services. Similarly, our ability to recruit and retain subjects and principal investigators and site staff who, as healthcare providers, may have heightened exposure to COVID-19, may adversely impact our planned clinical trial operations.</w:t>
      </w:r>
    </w:p>
    <w:p>
      <w:pPr>
        <w:spacing w:after="0" w:line="157" w:lineRule="exact"/>
        <w:rPr>
          <w:sz w:val="20"/>
          <w:szCs w:val="20"/>
          <w:color w:val="auto"/>
        </w:rPr>
      </w:pPr>
    </w:p>
    <w:p>
      <w:pPr>
        <w:ind w:right="40" w:firstLine="1175"/>
        <w:spacing w:after="0" w:line="259" w:lineRule="auto"/>
        <w:rPr>
          <w:sz w:val="20"/>
          <w:szCs w:val="20"/>
          <w:color w:val="auto"/>
        </w:rPr>
      </w:pPr>
      <w:r>
        <w:rPr>
          <w:rFonts w:ascii="Arial" w:cs="Arial" w:eastAsia="Arial" w:hAnsi="Arial"/>
          <w:sz w:val="18"/>
          <w:szCs w:val="18"/>
          <w:color w:val="auto"/>
        </w:rPr>
        <w:t>Furthermore, while the potential economic impact brought by, and the duration of, the COVID-19 pandemic may be difficult to assess or predict, the pandemic could result in significant and prolonged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87" w:lineRule="exact"/>
        <w:rPr>
          <w:sz w:val="20"/>
          <w:szCs w:val="20"/>
          <w:color w:val="auto"/>
        </w:rPr>
      </w:pPr>
    </w:p>
    <w:p>
      <w:pPr>
        <w:ind w:right="20" w:firstLine="1175"/>
        <w:spacing w:after="0" w:line="273" w:lineRule="auto"/>
        <w:rPr>
          <w:sz w:val="20"/>
          <w:szCs w:val="20"/>
          <w:color w:val="auto"/>
        </w:rPr>
      </w:pPr>
      <w:r>
        <w:rPr>
          <w:rFonts w:ascii="Arial" w:cs="Arial" w:eastAsia="Arial" w:hAnsi="Arial"/>
          <w:sz w:val="17"/>
          <w:szCs w:val="17"/>
          <w:color w:val="auto"/>
        </w:rPr>
        <w:t>While we expect the COVID-19 pandemic to continue to adversely affect our business operations, the extent of the impact on our development and regulatory efforts and the future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in the United States and in other countries, and the effectiveness of actions taken globally to contain and treat COVID-19. In addition, to the extent the evolving effects of the COVID-19 pandemic adversely affects our business and results of operations, it may also have the effect of heightening many of the other risks and uncertainties described elsewhere in this “Risk Factors” section.</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vaccine candidates.</w:t>
      </w:r>
    </w:p>
    <w:p>
      <w:pPr>
        <w:spacing w:after="0" w:line="170" w:lineRule="exact"/>
        <w:rPr>
          <w:sz w:val="20"/>
          <w:szCs w:val="20"/>
          <w:color w:val="auto"/>
        </w:rPr>
      </w:pPr>
    </w:p>
    <w:p>
      <w:pPr>
        <w:jc w:val="both"/>
        <w:ind w:right="20" w:firstLine="1175"/>
        <w:spacing w:after="0" w:line="311" w:lineRule="auto"/>
        <w:rPr>
          <w:sz w:val="20"/>
          <w:szCs w:val="20"/>
          <w:color w:val="auto"/>
        </w:rPr>
      </w:pPr>
      <w:r>
        <w:rPr>
          <w:rFonts w:ascii="Arial" w:cs="Arial" w:eastAsia="Arial" w:hAnsi="Arial"/>
          <w:sz w:val="16"/>
          <w:szCs w:val="16"/>
          <w:color w:val="auto"/>
        </w:rPr>
        <w:t>We face an inherent risk of product liability as a result of the clinical testing of our vaccine candidates and will face an even greater risk if we commercialize any products. For example, we may be sued if our vaccine candidates cause or are perceived to cause injury or are found to be otherwise unsuitable during clinical testing, manufacturing, marketing or sale. Any such product liability claims may include allegations of defects in</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9" w:name="page70"/>
    <w:bookmarkEnd w:id="69"/>
    <w:p>
      <w:pPr>
        <w:ind w:right="20"/>
        <w:spacing w:after="0" w:line="259" w:lineRule="auto"/>
        <w:rPr>
          <w:sz w:val="20"/>
          <w:szCs w:val="20"/>
          <w:color w:val="auto"/>
        </w:rPr>
      </w:pPr>
      <w:r>
        <w:rPr>
          <w:rFonts w:ascii="Arial" w:cs="Arial" w:eastAsia="Arial" w:hAnsi="Arial"/>
          <w:sz w:val="18"/>
          <w:szCs w:val="18"/>
          <w:color w:val="auto"/>
        </w:rPr>
        <w:t>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vaccine candidates. Even successful defense would require significant financial and management resources. Regardless of the merits or eventual outcome, liability claims may result in:</w:t>
      </w:r>
    </w:p>
    <w:p>
      <w:pPr>
        <w:spacing w:after="0" w:line="187" w:lineRule="exact"/>
        <w:rPr>
          <w:sz w:val="20"/>
          <w:szCs w:val="20"/>
          <w:color w:val="auto"/>
        </w:rPr>
      </w:pPr>
    </w:p>
    <w:p>
      <w:pPr>
        <w:ind w:left="1620" w:hanging="438"/>
        <w:spacing w:after="0"/>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decreased demand for our vaccine candidates;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commercialize any vaccine candidate; and</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52" w:lineRule="exact"/>
        <w:rPr>
          <w:sz w:val="20"/>
          <w:szCs w:val="20"/>
          <w:color w:val="auto"/>
        </w:rPr>
      </w:pPr>
    </w:p>
    <w:p>
      <w:pPr>
        <w:ind w:firstLine="1175"/>
        <w:spacing w:after="0" w:line="273"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Assuming we obtain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7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70" w:lineRule="exact"/>
        <w:rPr>
          <w:sz w:val="20"/>
          <w:szCs w:val="20"/>
          <w:color w:val="auto"/>
        </w:rPr>
      </w:pPr>
    </w:p>
    <w:p>
      <w:pPr>
        <w:ind w:right="40" w:firstLine="1175"/>
        <w:spacing w:after="0" w:line="289"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reckless and/or negligent conduct or unauthorized activities that violate (i) the laws and regulations of the FDA and other regulatory authorities, including those laws requiring the reporting of true, complete and accurate information to such authorities, (ii) manufacturing standards, (iii) federal and state data privacy, security, fraud and abuse and other healthcare laws and regulations in the United States and abroad and (iv)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individually identifiable information, including, without limitation, information obtained in the course of clinical trials, creating fraudulent data in our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0" w:name="page71"/>
    <w:bookmarkEnd w:id="70"/>
    <w:p>
      <w:pPr>
        <w:spacing w:after="0" w:line="269" w:lineRule="auto"/>
        <w:rPr>
          <w:sz w:val="20"/>
          <w:szCs w:val="20"/>
          <w:color w:val="auto"/>
        </w:rPr>
      </w:pPr>
      <w:r>
        <w:rPr>
          <w:rFonts w:ascii="Arial" w:cs="Arial" w:eastAsia="Arial" w:hAnsi="Arial"/>
          <w:sz w:val="17"/>
          <w:szCs w:val="17"/>
          <w:color w:val="auto"/>
        </w:rPr>
        <w:t>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tax rulings could affect our financial position.</w:t>
      </w:r>
    </w:p>
    <w:p>
      <w:pPr>
        <w:spacing w:after="0" w:line="225" w:lineRule="exact"/>
        <w:rPr>
          <w:sz w:val="20"/>
          <w:szCs w:val="20"/>
          <w:color w:val="auto"/>
        </w:rPr>
      </w:pPr>
    </w:p>
    <w:p>
      <w:pPr>
        <w:ind w:right="20" w:firstLine="1175"/>
        <w:spacing w:after="0" w:line="254" w:lineRule="auto"/>
        <w:rPr>
          <w:sz w:val="20"/>
          <w:szCs w:val="20"/>
          <w:color w:val="auto"/>
        </w:rPr>
      </w:pPr>
      <w:r>
        <w:rPr>
          <w:rFonts w:ascii="Arial" w:cs="Arial" w:eastAsia="Arial" w:hAnsi="Arial"/>
          <w:sz w:val="18"/>
          <w:szCs w:val="18"/>
          <w:color w:val="auto"/>
        </w:rPr>
        <w:t>In December 2017, the Tax Act was signed into law. The Tax Act, among other things, contains significant changes to corporate taxation, including (i) reduction of the corporate tax rate from a top marginal rate of 35% to a flat rate of 21%, (ii) limitation of the tax deduction for interest expense to 30% of adjusted earnings (with certain exceptions, including for certain small businesses), (iii) limitation of the deduction for post-2017 net operating losses, or NOLs, to 80% of current-year taxable income and elimination of net operating loss carrybacks for post-2017 NOLs, (iv) immediate deductions for certain new investments instead of deductions for depreciation expense over time and (v) modifying or repealing many business deductions and credits (including reducing the business tax credit for certain clinical testing expenses incurred in the testing of certain drugs for rare diseases or conditions generally referred to as “orphan drugs”).</w:t>
      </w:r>
    </w:p>
    <w:p>
      <w:pPr>
        <w:spacing w:after="0" w:line="195" w:lineRule="exact"/>
        <w:rPr>
          <w:sz w:val="20"/>
          <w:szCs w:val="20"/>
          <w:color w:val="auto"/>
        </w:rPr>
      </w:pPr>
    </w:p>
    <w:p>
      <w:pPr>
        <w:ind w:right="120" w:firstLine="1175"/>
        <w:spacing w:after="0" w:line="270" w:lineRule="auto"/>
        <w:rPr>
          <w:sz w:val="20"/>
          <w:szCs w:val="20"/>
          <w:color w:val="auto"/>
        </w:rPr>
      </w:pPr>
      <w:r>
        <w:rPr>
          <w:rFonts w:ascii="Arial" w:cs="Arial" w:eastAsia="Arial" w:hAnsi="Arial"/>
          <w:sz w:val="17"/>
          <w:szCs w:val="17"/>
          <w:color w:val="auto"/>
        </w:rPr>
        <w:t xml:space="preserve">In March 2020, the Coronavirus Aid, Relief, and Economic Security, or CARES, Act was signed into law. The CARES Act changed certain provisions of the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eliminated the limitation on the deduction of NOLs to 80% of current year taxable income for taxable years beginning before January 1, 2021, and increased the amount of interest expense that may be deducted to 50% of adjusted taxable income for taxable years beginning in 2019 or 2020. </w:t>
      </w:r>
      <w:r>
        <w:rPr>
          <w:rFonts w:ascii="Arial" w:cs="Arial" w:eastAsia="Arial" w:hAnsi="Arial"/>
          <w:sz w:val="16"/>
          <w:szCs w:val="16"/>
          <w:color w:val="auto"/>
        </w:rPr>
        <w:t>We continue to examine the impact the Tax Act</w:t>
      </w:r>
      <w:r>
        <w:rPr>
          <w:rFonts w:ascii="Arial" w:cs="Arial" w:eastAsia="Arial" w:hAnsi="Arial"/>
          <w:sz w:val="17"/>
          <w:szCs w:val="17"/>
          <w:color w:val="auto"/>
        </w:rPr>
        <w:t xml:space="preserve"> may have on our business. Notwithstanding the reduction in the corporate income tax rate, the overall impact of the Tax Act is uncertain and our business, financial condition, results of operations and prospects could be adversely affected. We urge our stockholders to consult with their legal and tax advisors with respect to the Tax Act and the tax consequences of investing in our common stock.</w:t>
      </w:r>
    </w:p>
    <w:p>
      <w:pPr>
        <w:spacing w:after="0" w:line="181" w:lineRule="exact"/>
        <w:rPr>
          <w:sz w:val="20"/>
          <w:szCs w:val="20"/>
          <w:color w:val="auto"/>
        </w:rPr>
      </w:pPr>
    </w:p>
    <w:p>
      <w:pPr>
        <w:ind w:right="100" w:firstLine="1175"/>
        <w:spacing w:after="0" w:line="259" w:lineRule="auto"/>
        <w:rPr>
          <w:sz w:val="20"/>
          <w:szCs w:val="20"/>
          <w:color w:val="auto"/>
        </w:rPr>
      </w:pPr>
      <w:r>
        <w:rPr>
          <w:rFonts w:ascii="Arial" w:cs="Arial" w:eastAsia="Arial" w:hAnsi="Arial"/>
          <w:sz w:val="18"/>
          <w:szCs w:val="18"/>
          <w:color w:val="auto"/>
        </w:rPr>
        <w:t>On June 29, 2020, California Assembly Bill 85 (AB 85) was signed into law, which suspends the use of net operating losses and limits the use of research tax credits for 2020, 2021 and 2022. There may be periods during which the use of NOLs is suspended or otherwise limited, and limitation on the use of certain tax credits to offset California income and tax liabilities could accelerate or permanently increase state taxes owed. The Company continues to examine the impact this may have on our business.</w:t>
      </w:r>
    </w:p>
    <w:p>
      <w:pPr>
        <w:spacing w:after="0" w:line="187" w:lineRule="exact"/>
        <w:rPr>
          <w:sz w:val="20"/>
          <w:szCs w:val="20"/>
          <w:color w:val="auto"/>
        </w:rPr>
      </w:pPr>
    </w:p>
    <w:p>
      <w:pPr>
        <w:ind w:right="200" w:firstLine="1175"/>
        <w:spacing w:after="0" w:line="275" w:lineRule="auto"/>
        <w:rPr>
          <w:sz w:val="20"/>
          <w:szCs w:val="20"/>
          <w:color w:val="auto"/>
        </w:rPr>
      </w:pPr>
      <w:r>
        <w:rPr>
          <w:rFonts w:ascii="Arial" w:cs="Arial" w:eastAsia="Arial" w:hAnsi="Arial"/>
          <w:sz w:val="17"/>
          <w:szCs w:val="17"/>
          <w:color w:val="auto"/>
        </w:rPr>
        <w:t>On December 21, 2020, the President of the United States signed into law the “Consolidated Appropriations Act, 2021,” which includes further COVID-19 economic relief and extension of certain expiring tax provisions. The relief package includes a tax provision clarifying that businesses with forgiven Paycheck Protection Program, or PPP, loans can deduct regular business expenses that are paid for with the loan proceeds. Additional pandemic relief tax measures include an expansion of the employee retention credit, enhanced charitable contribution deductions and a temporary full deduction for business expenses for food and beverages provided by a restaurant.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ind w:right="160" w:firstLine="1175"/>
        <w:spacing w:after="0" w:line="277" w:lineRule="auto"/>
        <w:rPr>
          <w:sz w:val="20"/>
          <w:szCs w:val="20"/>
          <w:color w:val="auto"/>
        </w:rPr>
      </w:pPr>
      <w:r>
        <w:rPr>
          <w:rFonts w:ascii="Arial" w:cs="Arial" w:eastAsia="Arial" w:hAnsi="Arial"/>
          <w:sz w:val="18"/>
          <w:szCs w:val="18"/>
          <w:color w:val="auto"/>
        </w:rPr>
        <w:t>We have incurred substantial losses since inception and do not expect to become profitable in the near future, if ever. As of December 31, 2020, we had federal and state NOL carryforwards of $186.5 million and $148.8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spacing w:after="0" w:line="287" w:lineRule="auto"/>
        <w:rPr>
          <w:sz w:val="20"/>
          <w:szCs w:val="20"/>
          <w:color w:val="auto"/>
        </w:rPr>
      </w:pPr>
      <w:r>
        <w:rPr>
          <w:rFonts w:ascii="Arial" w:cs="Arial" w:eastAsia="Arial" w:hAnsi="Arial"/>
          <w:sz w:val="16"/>
          <w:szCs w:val="16"/>
          <w:color w:val="auto"/>
        </w:rPr>
        <w:t>million, respectively. The federal and state loss carryforwards, except the federal loss carryforward arising in tax years beginning after December 31, 2017, begin to expire in 2034 unless previously utilized. Federal NOLs arising in tax years beginning after December 31, 2017 have an indefinite carryforward period and do not expire. As of December 31, 2020, we also had federal and state research credit carryforwards of $0.8 million and $0.9 million, respectively. The federal research and development tax credit carryforwards expire beginning in 2039 unless previously utilized, and the state research and development tax credits can be carried forward indefinitely. In general, under Sections 382 and 383 of the U.S. Internal Revenue Code of 1986, as amended, a corporation that undergoes an “ownership change” (generally defined as a greater than 50 percentage point change (by value) in its equity ownership by certain stockholders over a rolling three-year period) is subject to limitations on its ability to utilize its pre-change NOLs to offset future taxable income. We have experienced ownership changes in the past. As a result of the ownership changes, we have determined that approximately $1.3 million of our federal research credits will expire unutilized, and such amounts are excluded from our research carryforwards as of December 31, 2020. We do not expect any ownership changes during the year ended December 31, 2020 to result in a limitation that would materially reduce the total amount of net operating loss carryforwards and credits that can be utilized. Subsequent ownership changes may affect the limitation in future years. As a result, if, and to the extent that we earn net taxable income, our ability to use our pre-change NOLs to offset such taxable income may be subject to limitations.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policies may be inadequate and potentially expose us to unrecoverable risks.</w:t>
      </w:r>
    </w:p>
    <w:p>
      <w:pPr>
        <w:spacing w:after="0" w:line="225" w:lineRule="exact"/>
        <w:rPr>
          <w:sz w:val="20"/>
          <w:szCs w:val="20"/>
          <w:color w:val="auto"/>
        </w:rPr>
      </w:pPr>
    </w:p>
    <w:p>
      <w:pPr>
        <w:ind w:right="40" w:firstLine="1175"/>
        <w:spacing w:after="0" w:line="291" w:lineRule="auto"/>
        <w:rPr>
          <w:sz w:val="20"/>
          <w:szCs w:val="20"/>
          <w:color w:val="auto"/>
        </w:rPr>
      </w:pPr>
      <w:r>
        <w:rPr>
          <w:rFonts w:ascii="Arial" w:cs="Arial" w:eastAsia="Arial" w:hAnsi="Arial"/>
          <w:sz w:val="16"/>
          <w:szCs w:val="16"/>
          <w:color w:val="auto"/>
        </w:rPr>
        <w:t>Although we intend to maintain product liability insurance coverage, such insurance may not be adequate to cover all liabilities that we may incur. We anticipate that we will need to increase our insurance coverage each time we commence a clinical trial and if we successfully commercialize any vaccine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Conditions in the insurance markets relating to nearly all areas of traditional corporate insurance change rapidly and may result in higher premium costs, higher policy deductibles and lower coverage limits. For some risks, we may not have or maintain insurance coverage because of cost or availability.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We rely and will continue to rely on third parties to conduct our preclinical studies and clinical trials. If these third parties do not successfully carry out their contractual duties or meet expected deadlines, we may not be able to obtain regulatory approval of or commercialize our vaccine candidates.</w:t>
      </w:r>
    </w:p>
    <w:p>
      <w:pPr>
        <w:spacing w:after="0" w:line="100" w:lineRule="exact"/>
        <w:rPr>
          <w:sz w:val="20"/>
          <w:szCs w:val="20"/>
          <w:color w:val="auto"/>
        </w:rPr>
      </w:pPr>
    </w:p>
    <w:p>
      <w:pPr>
        <w:ind w:right="40" w:firstLine="1175"/>
        <w:spacing w:after="0" w:line="296" w:lineRule="auto"/>
        <w:rPr>
          <w:sz w:val="20"/>
          <w:szCs w:val="20"/>
          <w:color w:val="auto"/>
        </w:rPr>
      </w:pPr>
      <w:r>
        <w:rPr>
          <w:rFonts w:ascii="Arial" w:cs="Arial" w:eastAsia="Arial" w:hAnsi="Arial"/>
          <w:sz w:val="16"/>
          <w:szCs w:val="16"/>
          <w:color w:val="auto"/>
        </w:rPr>
        <w:t>We currently do not have the ability to independently conduct preclinical or clinical studies that comply with the regulatory requirements known as good laboratory practices and GCP. The FDA and regulatory authorities in other jurisdictions require us to comply with GCP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independent investigators and collaborators, such as universities, medical institutions, CROs and strategic partners, to conduct our preclinical and clinical trials under agreements with us.</w:t>
      </w:r>
    </w:p>
    <w:p>
      <w:pPr>
        <w:spacing w:after="0" w:line="161" w:lineRule="exact"/>
        <w:rPr>
          <w:sz w:val="20"/>
          <w:szCs w:val="20"/>
          <w:color w:val="auto"/>
        </w:rPr>
      </w:pPr>
    </w:p>
    <w:p>
      <w:pPr>
        <w:ind w:right="40" w:firstLine="1175"/>
        <w:spacing w:after="0" w:line="270" w:lineRule="auto"/>
        <w:rPr>
          <w:sz w:val="20"/>
          <w:szCs w:val="20"/>
          <w:color w:val="auto"/>
        </w:rPr>
      </w:pPr>
      <w:r>
        <w:rPr>
          <w:rFonts w:ascii="Arial" w:cs="Arial" w:eastAsia="Arial" w:hAnsi="Arial"/>
          <w:sz w:val="17"/>
          <w:szCs w:val="17"/>
          <w:color w:val="auto"/>
        </w:rPr>
        <w:t>We will need to negotiate budgets and contracts with CROs and study sites, which may result in delays to our development timelines and increased costs. We will rely heavily on these third parties over the course of our clinical trials, and we control only certain aspects of their activities. Nevertheless, we are responsible for ensuring that each of our studies is conducted in accordance with applicable protocol and legal, regulatory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vaccine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There can be no assurance that, upon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2" w:name="page73"/>
    <w:bookmarkEnd w:id="72"/>
    <w:p>
      <w:pPr>
        <w:ind w:right="20"/>
        <w:spacing w:after="0" w:line="257" w:lineRule="auto"/>
        <w:rPr>
          <w:sz w:val="20"/>
          <w:szCs w:val="20"/>
          <w:color w:val="auto"/>
        </w:rPr>
      </w:pPr>
      <w:r>
        <w:rPr>
          <w:rFonts w:ascii="Arial" w:cs="Arial" w:eastAsia="Arial" w:hAnsi="Arial"/>
          <w:sz w:val="18"/>
          <w:szCs w:val="18"/>
          <w:color w:val="auto"/>
        </w:rPr>
        <w:t>inspection, such regulatory authorities will determine that any of our clinical trials comply with the GCP regulations. In addition, our clinical trials must be conducted with biologic product produced under cGMPs and will require a large number of test subjects. Our failure or any failure by these third parties to comply with these regulations or to recruit a sufficient number of subjects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8" w:lineRule="exact"/>
        <w:rPr>
          <w:sz w:val="20"/>
          <w:szCs w:val="20"/>
          <w:color w:val="auto"/>
        </w:rPr>
      </w:pPr>
    </w:p>
    <w:p>
      <w:pPr>
        <w:ind w:firstLine="1175"/>
        <w:spacing w:after="0" w:line="253" w:lineRule="auto"/>
        <w:rPr>
          <w:sz w:val="20"/>
          <w:szCs w:val="20"/>
          <w:color w:val="auto"/>
        </w:rPr>
      </w:pPr>
      <w:r>
        <w:rPr>
          <w:rFonts w:ascii="Arial" w:cs="Arial" w:eastAsia="Arial" w:hAnsi="Arial"/>
          <w:sz w:val="18"/>
          <w:szCs w:val="18"/>
          <w:color w:val="auto"/>
        </w:rPr>
        <w:t>Any third parties conducting our preclinical studies and clinical trials will not be our employees and, except for remedies available to us under our agreements with such third parties, we cannot control whether or not they devote sufficient time and resources to our programs.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vaccine candidates. As a result, our financial results and the commercial prospects for our vaccine candidates would be harmed, our costs could increase and our ability to generate revenue could be delayed.</w:t>
      </w:r>
    </w:p>
    <w:p>
      <w:pPr>
        <w:spacing w:after="0" w:line="196" w:lineRule="exact"/>
        <w:rPr>
          <w:sz w:val="20"/>
          <w:szCs w:val="20"/>
          <w:color w:val="auto"/>
        </w:rPr>
      </w:pPr>
    </w:p>
    <w:p>
      <w:pPr>
        <w:ind w:firstLine="1175"/>
        <w:spacing w:after="0" w:line="279" w:lineRule="auto"/>
        <w:rPr>
          <w:sz w:val="20"/>
          <w:szCs w:val="20"/>
          <w:color w:val="auto"/>
        </w:rPr>
      </w:pPr>
      <w:r>
        <w:rPr>
          <w:rFonts w:ascii="Arial" w:cs="Arial" w:eastAsia="Arial" w:hAnsi="Arial"/>
          <w:sz w:val="17"/>
          <w:szCs w:val="17"/>
          <w:color w:val="auto"/>
        </w:rPr>
        <w:t>If any of our relationships with trial sites or any CRO that we may use in the future terminate, we may not be able to enter into arrangements with alternative trial sites or CROs or do so on commercially reasonable terms. Switching or adding third parties to conduct our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We rely on third parties, including Sutro Biopharma and Lonza, to supply raw materials and manufacture our preclinical and clinical product supplies of our vaccine candidates, and expect to rely on third parties to supply raw materials and produce and process our vaccine candidates, if approved. The loss of these suppliers or their failure to comply with applicable regulatory requirements or provide us with sufficient quantities at acceptable quality levels or prices, or at all, would materially and adversely affect our business.</w:t>
      </w:r>
    </w:p>
    <w:p>
      <w:pPr>
        <w:spacing w:after="0" w:line="171" w:lineRule="exact"/>
        <w:rPr>
          <w:sz w:val="20"/>
          <w:szCs w:val="20"/>
          <w:color w:val="auto"/>
        </w:rPr>
      </w:pPr>
    </w:p>
    <w:p>
      <w:pPr>
        <w:ind w:right="20" w:firstLine="1175"/>
        <w:spacing w:after="0" w:line="290" w:lineRule="auto"/>
        <w:rPr>
          <w:sz w:val="20"/>
          <w:szCs w:val="20"/>
          <w:color w:val="auto"/>
        </w:rPr>
      </w:pPr>
      <w:r>
        <w:rPr>
          <w:rFonts w:ascii="Arial" w:cs="Arial" w:eastAsia="Arial" w:hAnsi="Arial"/>
          <w:sz w:val="16"/>
          <w:szCs w:val="16"/>
          <w:color w:val="auto"/>
        </w:rPr>
        <w:t>We do not have nor do we plan to build or acquire the infrastructure or capability internally to manufacture supplies for our vaccine candidates or the materials necessary to produce our vaccine candidates for use in the conduct of our preclinical studies or clinical trials, and we lack the internal resources and the capability to manufacture any of our vaccine candidates on a preclinical, clinical or commercial scale. We have entered into an agreement with Sutro Biopharma to supply us with extract and custom reagents for use in manufacturing non-clinical and certain clinical supply of vaccine compositions. We have engaged Lonza to perform manufacturing process development and clinical manufacture and supply of components for VAX-24, including the manufacture of polysaccharide antigens, our proprietary eCRM protein carrier and conjugated drug substances. We also engaged Lonza to perform manufacturing process development and clinical manufacture and supply of VAX-24 finished drug product. Our agreements with Lonza are denominated in Swiss Francs. Fluctuations in the exchange rate for Swiss Francs may increase our costs and affect our operating results.</w:t>
      </w:r>
    </w:p>
    <w:p>
      <w:pPr>
        <w:spacing w:after="0" w:line="165" w:lineRule="exact"/>
        <w:rPr>
          <w:sz w:val="20"/>
          <w:szCs w:val="20"/>
          <w:color w:val="auto"/>
        </w:rPr>
      </w:pPr>
    </w:p>
    <w:p>
      <w:pPr>
        <w:ind w:right="200" w:firstLine="1175"/>
        <w:spacing w:after="0" w:line="259" w:lineRule="auto"/>
        <w:rPr>
          <w:sz w:val="20"/>
          <w:szCs w:val="20"/>
          <w:color w:val="auto"/>
        </w:rPr>
      </w:pPr>
      <w:r>
        <w:rPr>
          <w:rFonts w:ascii="Arial" w:cs="Arial" w:eastAsia="Arial" w:hAnsi="Arial"/>
          <w:sz w:val="18"/>
          <w:szCs w:val="18"/>
          <w:color w:val="auto"/>
        </w:rPr>
        <w:t>We intend to engage with Lonza and other outside vendors to manufacture supplies for our vaccine candidates. Lonza is currently in the process of manufacturing our vaccine candidates on a clinical scale. We have not yet caused our vaccine candidates to be manufactured on a commercial scale and may not be able to achieve commercial scale manufacturing and may be unable to create an inventory of mass-produced product to satisfy demands for any of our vaccine candidates.</w:t>
      </w:r>
    </w:p>
    <w:p>
      <w:pPr>
        <w:spacing w:after="0" w:line="187" w:lineRule="exact"/>
        <w:rPr>
          <w:sz w:val="20"/>
          <w:szCs w:val="20"/>
          <w:color w:val="auto"/>
        </w:rPr>
      </w:pPr>
    </w:p>
    <w:p>
      <w:pPr>
        <w:jc w:val="both"/>
        <w:ind w:right="320" w:firstLine="1175"/>
        <w:spacing w:after="0" w:line="263" w:lineRule="auto"/>
        <w:rPr>
          <w:sz w:val="20"/>
          <w:szCs w:val="20"/>
          <w:color w:val="auto"/>
        </w:rPr>
      </w:pPr>
      <w:r>
        <w:rPr>
          <w:rFonts w:ascii="Arial" w:cs="Arial" w:eastAsia="Arial" w:hAnsi="Arial"/>
          <w:sz w:val="18"/>
          <w:szCs w:val="18"/>
          <w:color w:val="auto"/>
        </w:rPr>
        <w:t>We do not yet have sufficient information to reliably estimate the cost of the commercial manufacturing and processing of our vaccine candidates, and the actual cost to manufacture and process our vaccine candidates could materially and adversely affect the commercial viability of our vaccine candidates. As a result, we may never be able to develop a commercially viable product.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3" w:name="page74"/>
    <w:bookmarkEnd w:id="73"/>
    <w:p>
      <w:pPr>
        <w:ind w:left="1180"/>
        <w:spacing w:after="0"/>
        <w:rPr>
          <w:sz w:val="20"/>
          <w:szCs w:val="20"/>
          <w:color w:val="auto"/>
        </w:rPr>
      </w:pPr>
      <w:r>
        <w:rPr>
          <w:rFonts w:ascii="Arial" w:cs="Arial" w:eastAsia="Arial" w:hAnsi="Arial"/>
          <w:sz w:val="17"/>
          <w:szCs w:val="17"/>
          <w:color w:val="auto"/>
        </w:rPr>
        <w:t>In addition, our anticipated reliance on a limited number of third-party suppliers and manufacturers exposes us to the following risks:</w:t>
      </w:r>
    </w:p>
    <w:p>
      <w:pPr>
        <w:spacing w:after="0" w:line="237" w:lineRule="exact"/>
        <w:rPr>
          <w:sz w:val="20"/>
          <w:szCs w:val="20"/>
          <w:color w:val="auto"/>
        </w:rPr>
      </w:pPr>
    </w:p>
    <w:p>
      <w:pPr>
        <w:ind w:left="1620" w:right="60" w:hanging="438"/>
        <w:spacing w:after="0" w:line="259"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spacing w:after="0" w:line="186" w:lineRule="exact"/>
        <w:rPr>
          <w:rFonts w:ascii="Arial" w:cs="Arial" w:eastAsia="Arial" w:hAnsi="Arial"/>
          <w:sz w:val="18"/>
          <w:szCs w:val="18"/>
          <w:color w:val="auto"/>
        </w:rPr>
      </w:pPr>
    </w:p>
    <w:p>
      <w:pPr>
        <w:ind w:left="1620" w:right="260" w:hanging="438"/>
        <w:spacing w:after="0" w:line="308" w:lineRule="auto"/>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third-party suppliers and manufacturers might be unable to timely formulate and manufacture or supply raw materials for our vaccine candidates or produce the quantity and quality required to meet our clinical and commercial needs, if any.</w:t>
      </w:r>
    </w:p>
    <w:p>
      <w:pPr>
        <w:spacing w:after="0" w:line="146" w:lineRule="exact"/>
        <w:rPr>
          <w:rFonts w:ascii="Arial" w:cs="Arial" w:eastAsia="Arial" w:hAnsi="Arial"/>
          <w:sz w:val="17"/>
          <w:szCs w:val="17"/>
          <w:color w:val="auto"/>
        </w:rPr>
      </w:pPr>
    </w:p>
    <w:p>
      <w:pPr>
        <w:ind w:left="1620" w:hanging="438"/>
        <w:spacing w:after="0"/>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manufacturing procedures appropriately.</w:t>
      </w:r>
    </w:p>
    <w:p>
      <w:pPr>
        <w:spacing w:after="0" w:line="252" w:lineRule="exact"/>
        <w:rPr>
          <w:rFonts w:ascii="Arial" w:cs="Arial" w:eastAsia="Arial" w:hAnsi="Arial"/>
          <w:sz w:val="18"/>
          <w:szCs w:val="18"/>
          <w:color w:val="auto"/>
        </w:rPr>
      </w:pPr>
    </w:p>
    <w:p>
      <w:pPr>
        <w:ind w:left="1620" w:right="80" w:hanging="438"/>
        <w:spacing w:after="0" w:line="277"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future contract manufacturers may not perform as agreed or may not remain in the contract manufacturing business for the time required to supply our clinical trials or to successfully produce, store and distribute our products.</w:t>
      </w:r>
    </w:p>
    <w:p>
      <w:pPr>
        <w:spacing w:after="0" w:line="170" w:lineRule="exact"/>
        <w:rPr>
          <w:rFonts w:ascii="Arial" w:cs="Arial" w:eastAsia="Arial" w:hAnsi="Arial"/>
          <w:sz w:val="18"/>
          <w:szCs w:val="18"/>
          <w:color w:val="auto"/>
        </w:rPr>
      </w:pPr>
    </w:p>
    <w:p>
      <w:pPr>
        <w:ind w:left="1620" w:right="240" w:hanging="438"/>
        <w:spacing w:after="0" w:line="311" w:lineRule="auto"/>
        <w:tabs>
          <w:tab w:leader="none" w:pos="1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spacing w:after="0" w:line="148" w:lineRule="exact"/>
        <w:rPr>
          <w:rFonts w:ascii="Arial" w:cs="Arial" w:eastAsia="Arial" w:hAnsi="Arial"/>
          <w:sz w:val="16"/>
          <w:szCs w:val="16"/>
          <w:color w:val="auto"/>
        </w:rPr>
      </w:pPr>
    </w:p>
    <w:p>
      <w:pPr>
        <w:ind w:left="1620" w:right="120" w:hanging="438"/>
        <w:spacing w:after="0" w:line="277"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third-party suppliers and manufacturers could breach or terminate their agreement with us.</w:t>
      </w:r>
    </w:p>
    <w:p>
      <w:pPr>
        <w:spacing w:after="0" w:line="252" w:lineRule="exact"/>
        <w:rPr>
          <w:sz w:val="20"/>
          <w:szCs w:val="20"/>
          <w:color w:val="auto"/>
        </w:rPr>
      </w:pPr>
    </w:p>
    <w:p>
      <w:pPr>
        <w:ind w:right="40" w:firstLine="1175"/>
        <w:spacing w:after="0" w:line="259" w:lineRule="auto"/>
        <w:rPr>
          <w:sz w:val="20"/>
          <w:szCs w:val="20"/>
          <w:color w:val="auto"/>
        </w:rPr>
      </w:pPr>
      <w:r>
        <w:rPr>
          <w:rFonts w:ascii="Arial" w:cs="Arial" w:eastAsia="Arial" w:hAnsi="Arial"/>
          <w:sz w:val="18"/>
          <w:szCs w:val="18"/>
          <w:color w:val="auto"/>
        </w:rPr>
        <w:t>Each of these risks could delay our clinical trials, the approval, if any, of our vaccine candidates by the FDA or the commercialization of our vaccine candidates, or result in higher costs or deprive us of potential product revenue. In addition, we will rely on third parties to perform release tests on our vaccine candidates prior to delivery to patients. If these tests are not appropriately done and test data are not reliable, patients could be put at risk of serious harm.</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or our third-party suppliers use hazardous, non-hazardous, biological or other materials in a manner that causes injury or violates applicable law, we may be liable for damages.</w:t>
      </w:r>
    </w:p>
    <w:p>
      <w:pPr>
        <w:spacing w:after="0" w:line="170" w:lineRule="exact"/>
        <w:rPr>
          <w:sz w:val="20"/>
          <w:szCs w:val="20"/>
          <w:color w:val="auto"/>
        </w:rPr>
      </w:pPr>
    </w:p>
    <w:p>
      <w:pPr>
        <w:ind w:firstLine="1175"/>
        <w:spacing w:after="0" w:line="289" w:lineRule="auto"/>
        <w:rPr>
          <w:sz w:val="20"/>
          <w:szCs w:val="20"/>
          <w:color w:val="auto"/>
        </w:rPr>
      </w:pPr>
      <w:r>
        <w:rPr>
          <w:rFonts w:ascii="Arial" w:cs="Arial" w:eastAsia="Arial" w:hAnsi="Arial"/>
          <w:sz w:val="16"/>
          <w:szCs w:val="16"/>
          <w:color w:val="auto"/>
        </w:rPr>
        <w:t>Our research and development activities involve the controlled use of potentially hazardous substances, including chemical and biological materials. We and our suppliers are subject to federal, state and local laws and regulations in the United States governing the use, manufacture, storage, handling and disposal of medical and hazardous materials. Although we believe that we and our suppliers’ procedures for using, handling, storing and disposing of these materials comply with legally prescribed standards, we and our suppliers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vaccine candidates.</w:t>
      </w:r>
    </w:p>
    <w:p>
      <w:pPr>
        <w:spacing w:after="0" w:line="170" w:lineRule="exact"/>
        <w:rPr>
          <w:sz w:val="20"/>
          <w:szCs w:val="20"/>
          <w:color w:val="auto"/>
        </w:rPr>
      </w:pPr>
    </w:p>
    <w:p>
      <w:pPr>
        <w:ind w:right="40" w:firstLine="1175"/>
        <w:spacing w:after="0" w:line="290" w:lineRule="auto"/>
        <w:rPr>
          <w:sz w:val="20"/>
          <w:szCs w:val="20"/>
          <w:color w:val="auto"/>
        </w:rPr>
      </w:pPr>
      <w:r>
        <w:rPr>
          <w:rFonts w:ascii="Arial" w:cs="Arial" w:eastAsia="Arial" w:hAnsi="Arial"/>
          <w:sz w:val="16"/>
          <w:szCs w:val="16"/>
          <w:color w:val="auto"/>
        </w:rPr>
        <w:t>The research, testing, manufacturing, labeling, approval, selling, import, export, marketing and distribution of drug products, including biologics such as conjugate vaccines, are subject to extensive regulation by the FDA and other regulatory authorities in the United States. We expect that our vaccine candidates will be regulated by the FDA as biologics. We are not permitted to market any biological drug product in the United States until we receive approval of a Biologics License Application, or BLA, from the FDA. We have not previously submitted a BLA to the FDA, or similar approval filings to comparable foreign regulatory authorities. A BLA must include extensive preclinical and clinical data and supporting information to establish the vaccine candidate’s safety and effectiveness for each desired indication. Further, because our vaccine candidates that are subject to regulation as biological drug products, we will need to demonstrate that they are safe, pure and potent for use in their target indications. The BLA must also include significant information regarding the CMC for the product, including with respect to chain of identity and chain of custody of the product.</w:t>
      </w:r>
    </w:p>
    <w:p>
      <w:pPr>
        <w:spacing w:after="0" w:line="165" w:lineRule="exact"/>
        <w:rPr>
          <w:sz w:val="20"/>
          <w:szCs w:val="20"/>
          <w:color w:val="auto"/>
        </w:rPr>
      </w:pPr>
    </w:p>
    <w:p>
      <w:pPr>
        <w:ind w:firstLine="1175"/>
        <w:spacing w:after="0" w:line="269"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of our vaccine candidates may not be predictive of the results of early-stage or later-stage clinical trials, and results of early clinical trials of our vaccine candidates may not be predictive of the results of later-stage clinical trials. The results of clinical trials in one set of patients or indications may not be predictive of those obtained in another. In some instances, there can be significant variability in safety or efficacy results between different clinical trials of the same vaccine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Vaccine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vaccine candidates that begin clinical trials are never approved by regulatory authorities for commercialization. In addition, even if such clinical trials are successfully completed, we cannot guarantee that the FDA or foreign regulatory authorities will interpret the results as we do, and more trials could be required before we submit a BLA or other marketing application.</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We may also experience delays in completing planned clinical trials for a variety of reasons, including delays related to:</w:t>
      </w:r>
    </w:p>
    <w:p>
      <w:pPr>
        <w:spacing w:after="0" w:line="225" w:lineRule="exact"/>
        <w:rPr>
          <w:sz w:val="20"/>
          <w:szCs w:val="20"/>
          <w:color w:val="auto"/>
        </w:rPr>
      </w:pPr>
    </w:p>
    <w:p>
      <w:pPr>
        <w:ind w:left="1620" w:hanging="438"/>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obtaining regulatory authorization to begin a trial, if applicable;</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52" w:lineRule="exact"/>
        <w:rPr>
          <w:rFonts w:ascii="Arial" w:cs="Arial" w:eastAsia="Arial" w:hAnsi="Arial"/>
          <w:sz w:val="18"/>
          <w:szCs w:val="18"/>
          <w:color w:val="auto"/>
        </w:rPr>
      </w:pPr>
    </w:p>
    <w:p>
      <w:pPr>
        <w:ind w:left="1620" w:hanging="438"/>
        <w:spacing w:after="0" w:line="277"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IRB;</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recruiting suitable volunteers to participate in and complete a trial;</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addressing any safety concerns that arise during the course of a trial;</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5" w:name="page76"/>
    <w:bookmarkEnd w:id="75"/>
    <w:p>
      <w:pPr>
        <w:ind w:left="1620" w:hanging="438"/>
        <w:spacing w:after="0"/>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for use in clinical trials.</w:t>
      </w:r>
    </w:p>
    <w:p>
      <w:pPr>
        <w:spacing w:after="0" w:line="252" w:lineRule="exact"/>
        <w:rPr>
          <w:sz w:val="20"/>
          <w:szCs w:val="20"/>
          <w:color w:val="auto"/>
        </w:rPr>
      </w:pPr>
    </w:p>
    <w:p>
      <w:pPr>
        <w:ind w:right="80" w:firstLine="1175"/>
        <w:spacing w:after="0" w:line="288" w:lineRule="auto"/>
        <w:rPr>
          <w:sz w:val="20"/>
          <w:szCs w:val="20"/>
          <w:color w:val="auto"/>
        </w:rPr>
      </w:pPr>
      <w:r>
        <w:rPr>
          <w:rFonts w:ascii="Arial" w:cs="Arial" w:eastAsia="Arial" w:hAnsi="Arial"/>
          <w:sz w:val="16"/>
          <w:szCs w:val="16"/>
          <w:color w:val="auto"/>
        </w:rPr>
        <w:t>We could also encounter delays if physicians encounter unresolved ethical issues associated with enrolling patients in clinical trials of our vaccine candidates in lieu of using existing vaccines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vaccine candidate, changes in governmental regulations or administrative actions, lack of adequate funding to continue the clinical trial or based on a recommendation by the data safety monitoring board. If we experience termination of, or delays in the completion of, any clinical trial of our vaccine candidates, the commercial prospects for our vaccine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68" w:lineRule="exact"/>
        <w:rPr>
          <w:sz w:val="20"/>
          <w:szCs w:val="20"/>
          <w:color w:val="auto"/>
        </w:rPr>
      </w:pPr>
    </w:p>
    <w:p>
      <w:pPr>
        <w:ind w:firstLine="1175"/>
        <w:spacing w:after="0" w:line="277" w:lineRule="auto"/>
        <w:rPr>
          <w:sz w:val="20"/>
          <w:szCs w:val="20"/>
          <w:color w:val="auto"/>
        </w:rPr>
      </w:pPr>
      <w:r>
        <w:rPr>
          <w:rFonts w:ascii="Arial" w:cs="Arial" w:eastAsia="Arial" w:hAnsi="Arial"/>
          <w:sz w:val="18"/>
          <w:szCs w:val="18"/>
          <w:color w:val="auto"/>
        </w:rPr>
        <w:t>Many of the factors that cause, or lead to, a delay in the commencement or completion of clinical trials may ultimately lead to the denial of regulatory approval of our vaccine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may disagree with our regulatory plan, and we may fail to obtain regulatory approval of our vaccine candidates.</w:t>
      </w:r>
    </w:p>
    <w:p>
      <w:pPr>
        <w:spacing w:after="0" w:line="225" w:lineRule="exact"/>
        <w:rPr>
          <w:sz w:val="20"/>
          <w:szCs w:val="20"/>
          <w:color w:val="auto"/>
        </w:rPr>
      </w:pPr>
    </w:p>
    <w:p>
      <w:pPr>
        <w:ind w:right="40" w:firstLine="1175"/>
        <w:spacing w:after="0" w:line="283" w:lineRule="auto"/>
        <w:rPr>
          <w:sz w:val="20"/>
          <w:szCs w:val="20"/>
          <w:color w:val="auto"/>
        </w:rPr>
      </w:pPr>
      <w:r>
        <w:rPr>
          <w:rFonts w:ascii="Arial" w:cs="Arial" w:eastAsia="Arial" w:hAnsi="Arial"/>
          <w:sz w:val="16"/>
          <w:szCs w:val="16"/>
          <w:color w:val="auto"/>
        </w:rPr>
        <w:t>The general approach for FDA approval of a new biologic or drug is for the sponsor to provide dispositive data from two Phase 3 clinical trials of the relevant biologic or drug in the relevant patient population. Phase 3 clinical trials typically involve hundreds of patients, have significant costs and are time consuming. While we have not had any discussions with the FDA regarding our regulatory plan, as a prerequisite for FDA approval, we believe that any new PCV, such as VAX-24, will have to be compared to the current standard of care, Prevnar 13 in infants and Prevnar 13 and Pneumovax 23 in adults. We believe that a successful comparison would be based on demonstrating clinical non-inferiority of the immune response to Prevnar 13 for common serotypes and to Pneumovax 23 for the incremental 11 serotypes. In addition, we expect to use OPA titers as the primary immunogenicity surrogate endpoint for the VAX-24 program in adults because Prevnar 13 was approved based on the establishment of non-inferiority of OPA responses relative to Pneumovax 23, on a strain-by-strain basis, but there can be no assurance that this approach will be sufficient for regulatory approval or that regulators will not require field efficacy trials. If the results are sufficiently compelling, we intend to discuss with the FDA submission of a BLA for VAX-</w:t>
      </w:r>
    </w:p>
    <w:p>
      <w:pPr>
        <w:spacing w:after="0" w:line="6" w:lineRule="exact"/>
        <w:rPr>
          <w:sz w:val="20"/>
          <w:szCs w:val="20"/>
          <w:color w:val="auto"/>
        </w:rPr>
      </w:pPr>
    </w:p>
    <w:p>
      <w:pPr>
        <w:ind w:right="160" w:firstLine="8"/>
        <w:spacing w:after="0" w:line="260" w:lineRule="auto"/>
        <w:tabs>
          <w:tab w:leader="none" w:pos="27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However, we do not have any agreement or guidance from the FDA that our regulatory development plans will be sufficient for submission of a BLA for VAX-24.</w:t>
      </w:r>
    </w:p>
    <w:p>
      <w:pPr>
        <w:spacing w:after="0" w:line="185" w:lineRule="exact"/>
        <w:rPr>
          <w:sz w:val="20"/>
          <w:szCs w:val="20"/>
          <w:color w:val="auto"/>
        </w:rPr>
      </w:pPr>
    </w:p>
    <w:p>
      <w:pPr>
        <w:ind w:right="20" w:firstLine="1175"/>
        <w:spacing w:after="0" w:line="255" w:lineRule="auto"/>
        <w:rPr>
          <w:sz w:val="20"/>
          <w:szCs w:val="20"/>
          <w:color w:val="auto"/>
        </w:rPr>
      </w:pPr>
      <w:r>
        <w:rPr>
          <w:rFonts w:ascii="Arial" w:cs="Arial" w:eastAsia="Arial" w:hAnsi="Arial"/>
          <w:sz w:val="18"/>
          <w:szCs w:val="18"/>
          <w:color w:val="auto"/>
        </w:rPr>
        <w:t>We may seek accelerated approval from the FDA for our vaccine candidates and, if granted, the FDA may require us to perform post-marketing studies as a condition of approval to verify and describe the predicted effect on irreversible morbidity or mortality or other clinical endpoint. If the results from such post-marketing studies are not positive or otherwise fail to show the predicted effect, the drug or biologic may be subject to expedited withdrawal procedures by the FDA. In addition, the standard of care may change with the approval of new products in the same disease areas that we are studying. This may result in the FDA or other regulatory agencies requesting additional studies to show that our vaccine candidate is non-inferior or superior to the new products.</w:t>
      </w:r>
    </w:p>
    <w:p>
      <w:pPr>
        <w:spacing w:after="0" w:line="192" w:lineRule="exact"/>
        <w:rPr>
          <w:sz w:val="20"/>
          <w:szCs w:val="20"/>
          <w:color w:val="auto"/>
        </w:rPr>
      </w:pPr>
    </w:p>
    <w:p>
      <w:pPr>
        <w:ind w:right="300" w:firstLine="1175"/>
        <w:spacing w:after="0" w:line="277" w:lineRule="auto"/>
        <w:rPr>
          <w:sz w:val="20"/>
          <w:szCs w:val="20"/>
          <w:color w:val="auto"/>
        </w:rPr>
      </w:pPr>
      <w:r>
        <w:rPr>
          <w:rFonts w:ascii="Arial" w:cs="Arial" w:eastAsia="Arial" w:hAnsi="Arial"/>
          <w:sz w:val="18"/>
          <w:szCs w:val="18"/>
          <w:color w:val="auto"/>
        </w:rPr>
        <w:t>Our clinical trial results may also not support approval. In addition, our vaccine candidates could fail to receive regulatory approval for many reasons, including the following:</w:t>
      </w:r>
    </w:p>
    <w:p>
      <w:pPr>
        <w:spacing w:after="0" w:line="170" w:lineRule="exact"/>
        <w:rPr>
          <w:sz w:val="20"/>
          <w:szCs w:val="20"/>
          <w:color w:val="auto"/>
        </w:rPr>
      </w:pPr>
    </w:p>
    <w:p>
      <w:pPr>
        <w:ind w:left="1620" w:hanging="438"/>
        <w:spacing w:after="0"/>
        <w:tabs>
          <w:tab w:leader="none" w:pos="1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the design or implementation of our clinical trials;</w:t>
      </w:r>
    </w:p>
    <w:p>
      <w:pPr>
        <w:spacing w:after="0" w:line="263" w:lineRule="exact"/>
        <w:rPr>
          <w:rFonts w:ascii="Arial" w:cs="Arial" w:eastAsia="Arial" w:hAnsi="Arial"/>
          <w:sz w:val="17"/>
          <w:szCs w:val="17"/>
          <w:color w:val="auto"/>
        </w:rPr>
      </w:pPr>
    </w:p>
    <w:p>
      <w:pPr>
        <w:ind w:left="1620" w:right="560" w:hanging="438"/>
        <w:spacing w:after="0" w:line="277" w:lineRule="auto"/>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our vaccine candidates are safe and effective;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76" w:name="page77"/>
    <w:bookmarkEnd w:id="76"/>
    <w:p>
      <w:pPr>
        <w:ind w:left="1620" w:right="200" w:hanging="438"/>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be unable to demonstrate that our vaccine candidates’ clinical and other benefits outweigh their safety risks;</w:t>
      </w:r>
    </w:p>
    <w:p>
      <w:pPr>
        <w:spacing w:after="0" w:line="252" w:lineRule="exact"/>
        <w:rPr>
          <w:rFonts w:ascii="Arial" w:cs="Arial" w:eastAsia="Arial" w:hAnsi="Arial"/>
          <w:sz w:val="18"/>
          <w:szCs w:val="18"/>
          <w:color w:val="auto"/>
        </w:rPr>
      </w:pPr>
    </w:p>
    <w:p>
      <w:pPr>
        <w:ind w:left="1620" w:right="140" w:hanging="438"/>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changes to the required threshold for the achievement of non-inferiority using established surrogate immune endpoints that our PCVs will need to meet in our clinical trials;</w:t>
      </w:r>
    </w:p>
    <w:p>
      <w:pPr>
        <w:spacing w:after="0" w:line="170" w:lineRule="exact"/>
        <w:rPr>
          <w:rFonts w:ascii="Arial" w:cs="Arial" w:eastAsia="Arial" w:hAnsi="Arial"/>
          <w:sz w:val="18"/>
          <w:szCs w:val="18"/>
          <w:color w:val="auto"/>
        </w:rPr>
      </w:pPr>
    </w:p>
    <w:p>
      <w:pPr>
        <w:ind w:left="1620" w:right="320" w:hanging="438"/>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vaccine to be approved in pediatric populations may need to undergo extensive vaccine-vaccine interference studies with the standard of care pediatric vaccine regimen;</w:t>
      </w:r>
    </w:p>
    <w:p>
      <w:pPr>
        <w:spacing w:after="0" w:line="170" w:lineRule="exact"/>
        <w:rPr>
          <w:rFonts w:ascii="Arial" w:cs="Arial" w:eastAsia="Arial" w:hAnsi="Arial"/>
          <w:sz w:val="18"/>
          <w:szCs w:val="18"/>
          <w:color w:val="auto"/>
        </w:rPr>
      </w:pPr>
    </w:p>
    <w:p>
      <w:pPr>
        <w:ind w:left="1620" w:right="20" w:hanging="438"/>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need to perform superiority or field efficacy trials, which can be larger, longer and more costly, if an existing vaccine is approved for a disease indication;</w:t>
      </w:r>
    </w:p>
    <w:p>
      <w:pPr>
        <w:spacing w:after="0" w:line="170" w:lineRule="exact"/>
        <w:rPr>
          <w:rFonts w:ascii="Arial" w:cs="Arial" w:eastAsia="Arial" w:hAnsi="Arial"/>
          <w:sz w:val="18"/>
          <w:szCs w:val="18"/>
          <w:color w:val="auto"/>
        </w:rPr>
      </w:pPr>
    </w:p>
    <w:p>
      <w:pPr>
        <w:ind w:left="1620" w:right="20" w:hanging="438"/>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1620" w:right="260" w:hanging="438"/>
        <w:spacing w:after="0" w:line="263"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data collected from clinical trials of our vaccine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183" w:lineRule="exact"/>
        <w:rPr>
          <w:rFonts w:ascii="Arial" w:cs="Arial" w:eastAsia="Arial" w:hAnsi="Arial"/>
          <w:sz w:val="18"/>
          <w:szCs w:val="18"/>
          <w:color w:val="auto"/>
        </w:rPr>
      </w:pPr>
    </w:p>
    <w:p>
      <w:pPr>
        <w:ind w:left="1620" w:right="160" w:hanging="438"/>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will inspect the commercial manufacturing facilities we may utilize and may not approve such facilities; and</w:t>
      </w:r>
    </w:p>
    <w:p>
      <w:pPr>
        <w:spacing w:after="0" w:line="170" w:lineRule="exact"/>
        <w:rPr>
          <w:rFonts w:ascii="Arial" w:cs="Arial" w:eastAsia="Arial" w:hAnsi="Arial"/>
          <w:sz w:val="18"/>
          <w:szCs w:val="18"/>
          <w:color w:val="auto"/>
        </w:rPr>
      </w:pPr>
    </w:p>
    <w:p>
      <w:pPr>
        <w:ind w:left="1620" w:right="200" w:hanging="438"/>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of our vaccine candidates, we will be subject to ongoing regulatory obligations and continued regulatory review, which may result in significant additional expense, and we may be subject to penalties if we fail to comply with regulatory requirements or experience unanticipated problems with our vaccine candidates.</w:t>
      </w:r>
    </w:p>
    <w:p>
      <w:pPr>
        <w:spacing w:after="0" w:line="184" w:lineRule="exact"/>
        <w:rPr>
          <w:sz w:val="20"/>
          <w:szCs w:val="20"/>
          <w:color w:val="auto"/>
        </w:rPr>
      </w:pPr>
    </w:p>
    <w:p>
      <w:pPr>
        <w:ind w:right="120" w:firstLine="1175"/>
        <w:spacing w:after="0" w:line="263" w:lineRule="auto"/>
        <w:rPr>
          <w:sz w:val="20"/>
          <w:szCs w:val="20"/>
          <w:color w:val="auto"/>
        </w:rPr>
      </w:pPr>
      <w:r>
        <w:rPr>
          <w:rFonts w:ascii="Arial" w:cs="Arial" w:eastAsia="Arial" w:hAnsi="Arial"/>
          <w:sz w:val="18"/>
          <w:szCs w:val="18"/>
          <w:color w:val="auto"/>
        </w:rPr>
        <w:t>Any regulatory approvals that we receive for our vaccine candidates may also be subject to limitations on the approved indicated uses for which a product may be marketed or to the conditions of approval, or contain requirements for potentially costly post-marketing testing, including post-marketing clinical trials, and surveillance to monitor the safety and efficacy of the vaccine candidate.</w:t>
      </w:r>
    </w:p>
    <w:p>
      <w:pPr>
        <w:spacing w:after="0" w:line="184" w:lineRule="exact"/>
        <w:rPr>
          <w:sz w:val="20"/>
          <w:szCs w:val="20"/>
          <w:color w:val="auto"/>
        </w:rPr>
      </w:pPr>
    </w:p>
    <w:p>
      <w:pPr>
        <w:ind w:firstLine="1175"/>
        <w:spacing w:after="0" w:line="287" w:lineRule="auto"/>
        <w:rPr>
          <w:sz w:val="20"/>
          <w:szCs w:val="20"/>
          <w:color w:val="auto"/>
        </w:rPr>
      </w:pPr>
      <w:r>
        <w:rPr>
          <w:rFonts w:ascii="Arial" w:cs="Arial" w:eastAsia="Arial" w:hAnsi="Arial"/>
          <w:sz w:val="16"/>
          <w:szCs w:val="16"/>
          <w:color w:val="auto"/>
        </w:rPr>
        <w:t>In addition, if the FDA or a comparable foreign regulatory authority approves our vaccine candidates, the manufacturing processes, labeling, packaging, distribution, adverse event reporting, conduct of post-marketing studies, storage, sampling, advertising, promotion, import, export and recordkeeping for our vaccine candidates will be subject to extensive and ongoing regulatory requirements. These requirements include submissions of safety and other post-marketing information and reports, registration and continued compliance with cGMPs and GCPs for any clinical trials that we conduct post-approval. As such, we and our contract manufacturers will be subject to continual review and inspections to assess compliance with cGMP and adherence to commitments made in any BLA, other marketing application and previous responses to inspectional observations. Accordingly, we and others with whom we work must continue to expend time, money and effort in all areas of regulatory compliance, including manufacturing, production and quality control. In addition, the FDA could require us to conduct another study to obtain additional safety or biomarker information. Further, we will be required to comply with FDA promotion and advertising rules,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and social media. Later discovery of previously unknown problems with our vaccine candidates, including side effects of unanticipated severity or frequency, or with our third-party</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7" w:name="page78"/>
    <w:bookmarkEnd w:id="77"/>
    <w:p>
      <w:pPr>
        <w:jc w:val="both"/>
        <w:ind w:right="60"/>
        <w:spacing w:after="0" w:line="263" w:lineRule="auto"/>
        <w:rPr>
          <w:sz w:val="20"/>
          <w:szCs w:val="20"/>
          <w:color w:val="auto"/>
        </w:rPr>
      </w:pPr>
      <w:r>
        <w:rPr>
          <w:rFonts w:ascii="Arial" w:cs="Arial" w:eastAsia="Arial" w:hAnsi="Arial"/>
          <w:sz w:val="18"/>
          <w:szCs w:val="18"/>
          <w:color w:val="auto"/>
        </w:rPr>
        <w:t>suppliers or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Other potential consequences include, among other things:</w:t>
      </w:r>
    </w:p>
    <w:p>
      <w:pPr>
        <w:spacing w:after="0" w:line="184" w:lineRule="exact"/>
        <w:rPr>
          <w:sz w:val="20"/>
          <w:szCs w:val="20"/>
          <w:color w:val="auto"/>
        </w:rPr>
      </w:pPr>
    </w:p>
    <w:p>
      <w:pPr>
        <w:ind w:left="1620" w:right="120" w:hanging="438"/>
        <w:spacing w:after="0" w:line="277"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vaccine candidates, withdrawal of the product from the market or voluntary or mandatory product recalls;</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52" w:lineRule="exact"/>
        <w:rPr>
          <w:rFonts w:ascii="Arial" w:cs="Arial" w:eastAsia="Arial" w:hAnsi="Arial"/>
          <w:sz w:val="18"/>
          <w:szCs w:val="18"/>
          <w:color w:val="auto"/>
        </w:rPr>
      </w:pPr>
    </w:p>
    <w:p>
      <w:pPr>
        <w:ind w:left="1620" w:right="100" w:hanging="438"/>
        <w:spacing w:after="0" w:line="277"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regulatory approvals;</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vaccine candidates; and</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firstLine="1175"/>
        <w:spacing w:after="0" w:line="288"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vaccine candidates. We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orders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68" w:lineRule="exact"/>
        <w:rPr>
          <w:sz w:val="20"/>
          <w:szCs w:val="20"/>
          <w:color w:val="auto"/>
        </w:rPr>
      </w:pPr>
    </w:p>
    <w:p>
      <w:pPr>
        <w:ind w:right="40" w:firstLine="1175"/>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expect the vaccine candidates we develop will be regulated as biological products, or biologics, and therefore they may be subject to competition sooner than anticipated.</w:t>
      </w:r>
    </w:p>
    <w:p>
      <w:pPr>
        <w:spacing w:after="0" w:line="170" w:lineRule="exact"/>
        <w:rPr>
          <w:sz w:val="20"/>
          <w:szCs w:val="20"/>
          <w:color w:val="auto"/>
        </w:rPr>
      </w:pPr>
    </w:p>
    <w:p>
      <w:pPr>
        <w:ind w:firstLine="1175"/>
        <w:spacing w:after="0" w:line="271" w:lineRule="auto"/>
        <w:rPr>
          <w:sz w:val="20"/>
          <w:szCs w:val="20"/>
          <w:color w:val="auto"/>
        </w:rPr>
      </w:pPr>
      <w:r>
        <w:rPr>
          <w:rFonts w:ascii="Arial" w:cs="Arial" w:eastAsia="Arial" w:hAnsi="Arial"/>
          <w:sz w:val="17"/>
          <w:szCs w:val="17"/>
          <w:color w:val="auto"/>
        </w:rPr>
        <w:t>The Biologics Price Competition and Innovation Act of 2009, or BPCIA, was enacted as part of the Patient Protection and Affordable Care Act, as amended by the Health Care and Education Reconciliation Act of 2010, or collectively,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twelve years after the reference product was approved under a BLA.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our biological products.</w:t>
      </w:r>
    </w:p>
    <w:p>
      <w:pPr>
        <w:spacing w:after="0" w:line="178" w:lineRule="exact"/>
        <w:rPr>
          <w:sz w:val="20"/>
          <w:szCs w:val="20"/>
          <w:color w:val="auto"/>
        </w:rPr>
      </w:pPr>
    </w:p>
    <w:p>
      <w:pPr>
        <w:ind w:right="60" w:firstLine="1175"/>
        <w:spacing w:after="0" w:line="277" w:lineRule="auto"/>
        <w:rPr>
          <w:sz w:val="20"/>
          <w:szCs w:val="20"/>
          <w:color w:val="auto"/>
        </w:rPr>
      </w:pPr>
      <w:r>
        <w:rPr>
          <w:rFonts w:ascii="Arial" w:cs="Arial" w:eastAsia="Arial" w:hAnsi="Arial"/>
          <w:sz w:val="18"/>
          <w:szCs w:val="18"/>
          <w:color w:val="auto"/>
        </w:rPr>
        <w:t>We believe that any of the vaccine candidates we develop that is approved in the United States as a biological product under a BLA should qualify for the 12-year period of exclusivity. However, there is a risk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8" w:name="page79"/>
    <w:bookmarkEnd w:id="78"/>
    <w:p>
      <w:pPr>
        <w:ind w:right="260"/>
        <w:spacing w:after="0" w:line="301" w:lineRule="auto"/>
        <w:rPr>
          <w:sz w:val="20"/>
          <w:szCs w:val="20"/>
          <w:color w:val="auto"/>
        </w:rPr>
      </w:pPr>
      <w:r>
        <w:rPr>
          <w:rFonts w:ascii="Arial" w:cs="Arial" w:eastAsia="Arial" w:hAnsi="Arial"/>
          <w:sz w:val="16"/>
          <w:szCs w:val="16"/>
          <w:color w:val="auto"/>
        </w:rPr>
        <w:t>this exclusivity could be shortened due to congressional action or otherwise, or that the FDA will not consider the subject vaccine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15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Our relationships with customers, physicians and third-party payors are subject, directly or indirectly, to federal and state healthcare fraud and abuse laws, health information privacy and security laws and other healthcare laws and regulations. If we or our employees, independent contractors, consultants, commercial partners and vendors violate these laws, we could face substantial penalties.</w:t>
      </w:r>
    </w:p>
    <w:p>
      <w:pPr>
        <w:spacing w:after="0" w:line="165" w:lineRule="exact"/>
        <w:rPr>
          <w:sz w:val="20"/>
          <w:szCs w:val="20"/>
          <w:color w:val="auto"/>
        </w:rPr>
      </w:pPr>
    </w:p>
    <w:p>
      <w:pPr>
        <w:ind w:right="100" w:firstLine="1175"/>
        <w:spacing w:after="0" w:line="259" w:lineRule="auto"/>
        <w:rPr>
          <w:sz w:val="20"/>
          <w:szCs w:val="20"/>
          <w:color w:val="auto"/>
        </w:rPr>
      </w:pPr>
      <w:r>
        <w:rPr>
          <w:rFonts w:ascii="Arial" w:cs="Arial" w:eastAsia="Arial" w:hAnsi="Arial"/>
          <w:sz w:val="18"/>
          <w:szCs w:val="18"/>
          <w:color w:val="auto"/>
        </w:rPr>
        <w:t>Healthcare providers, including physicians and third-party payors, in the United States and elsewhere will play a primary role in the recommendation and prescription of any vaccine candidates for which we obtain marketing approval. Our current and future arrangements with healthcare professionals, principal investigators, consultants, customers and third-party payors subject us to various federal and state fraud and abuse laws and other healthcare laws.</w:t>
      </w:r>
    </w:p>
    <w:p>
      <w:pPr>
        <w:spacing w:after="0" w:line="187" w:lineRule="exact"/>
        <w:rPr>
          <w:sz w:val="20"/>
          <w:szCs w:val="20"/>
          <w:color w:val="auto"/>
        </w:rPr>
      </w:pPr>
    </w:p>
    <w:p>
      <w:pPr>
        <w:ind w:right="300" w:firstLine="1175"/>
        <w:spacing w:after="0" w:line="277" w:lineRule="auto"/>
        <w:rPr>
          <w:sz w:val="20"/>
          <w:szCs w:val="20"/>
          <w:color w:val="auto"/>
        </w:rPr>
      </w:pPr>
      <w:r>
        <w:rPr>
          <w:rFonts w:ascii="Arial" w:cs="Arial" w:eastAsia="Arial" w:hAnsi="Arial"/>
          <w:sz w:val="18"/>
          <w:szCs w:val="18"/>
          <w:color w:val="auto"/>
        </w:rPr>
        <w:t>These laws may constrain the business or financial arrangements and relationships through which we conduct our operations, including how we research, market, sell and distribute our vaccine candidates, if approved. Such laws include:</w:t>
      </w:r>
    </w:p>
    <w:p>
      <w:pPr>
        <w:spacing w:after="0" w:line="170" w:lineRule="exact"/>
        <w:rPr>
          <w:sz w:val="20"/>
          <w:szCs w:val="20"/>
          <w:color w:val="auto"/>
        </w:rPr>
      </w:pPr>
    </w:p>
    <w:p>
      <w:pPr>
        <w:ind w:left="1620" w:right="120" w:hanging="438"/>
        <w:spacing w:after="0" w:line="273" w:lineRule="auto"/>
        <w:tabs>
          <w:tab w:leader="none" w:pos="1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U.S. federal healthcare program, such as Medicare and Medicaid. A person or entity does not need to have actual knowledge of the statute or specific intent to violate it in order to have committed a violation;</w:t>
      </w:r>
    </w:p>
    <w:p>
      <w:pPr>
        <w:spacing w:after="0" w:line="177" w:lineRule="exact"/>
        <w:rPr>
          <w:rFonts w:ascii="Arial" w:cs="Arial" w:eastAsia="Arial" w:hAnsi="Arial"/>
          <w:sz w:val="17"/>
          <w:szCs w:val="17"/>
          <w:color w:val="auto"/>
        </w:rPr>
      </w:pPr>
    </w:p>
    <w:p>
      <w:pPr>
        <w:ind w:left="1620" w:right="80" w:hanging="438"/>
        <w:spacing w:after="0" w:line="289" w:lineRule="auto"/>
        <w:tabs>
          <w:tab w:leader="none" w:pos="1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U.S. federal civil and criminal false claims laws, including the civil False Claims Act, which can be enforced through civil whistleblower or qui tam actions, and civil monetary penalties laws, which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Pharmaceutical manufacturers can cause false claims to be presented to the U.S. federal government by engaging in impermissible marketing practices, such as the off-label promotion of a product for an indication for which it has not received FDA approval. In addition, the government may assert that a claim including items and services resulting from a violation of the U.S. federal Anti-Kickback Statute constitutes a false or fraudulent claim for purposes of the civil False Claims Act;</w:t>
      </w:r>
    </w:p>
    <w:p>
      <w:pPr>
        <w:spacing w:after="0" w:line="166" w:lineRule="exact"/>
        <w:rPr>
          <w:rFonts w:ascii="Arial" w:cs="Arial" w:eastAsia="Arial" w:hAnsi="Arial"/>
          <w:sz w:val="16"/>
          <w:szCs w:val="16"/>
          <w:color w:val="auto"/>
        </w:rPr>
      </w:pPr>
    </w:p>
    <w:p>
      <w:pPr>
        <w:ind w:left="1620" w:right="140" w:hanging="438"/>
        <w:spacing w:after="0" w:line="255"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which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192" w:lineRule="exact"/>
        <w:rPr>
          <w:rFonts w:ascii="Arial" w:cs="Arial" w:eastAsia="Arial" w:hAnsi="Arial"/>
          <w:sz w:val="18"/>
          <w:szCs w:val="18"/>
          <w:color w:val="auto"/>
        </w:rPr>
      </w:pPr>
    </w:p>
    <w:p>
      <w:pPr>
        <w:ind w:left="1620" w:hanging="438"/>
        <w:spacing w:after="0" w:line="277"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which also impose certain obligations, including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9" w:name="page80"/>
    <w:bookmarkEnd w:id="79"/>
    <w:p>
      <w:pPr>
        <w:ind w:left="1620" w:right="100"/>
        <w:spacing w:after="0" w:line="301" w:lineRule="auto"/>
        <w:rPr>
          <w:sz w:val="20"/>
          <w:szCs w:val="20"/>
          <w:color w:val="auto"/>
        </w:rPr>
      </w:pPr>
      <w:r>
        <w:rPr>
          <w:rFonts w:ascii="Arial" w:cs="Arial" w:eastAsia="Arial" w:hAnsi="Arial"/>
          <w:sz w:val="16"/>
          <w:szCs w:val="16"/>
          <w:color w:val="auto"/>
        </w:rPr>
        <w:t>mandatory contractual terms, with respect to safeguarding the privacy and security of individually identifiable health information of covered entities subject to the rule, including health plans, healthcare clearinghouses and certain healthcare providers and their business associates, independent contractors of a covered entity that perform certain services involving the use or disclosure of individually identifiable health information for or on their behalf, as well as their covered subcontractors;</w:t>
      </w:r>
    </w:p>
    <w:p>
      <w:pPr>
        <w:spacing w:after="0" w:line="157" w:lineRule="exact"/>
        <w:rPr>
          <w:sz w:val="20"/>
          <w:szCs w:val="20"/>
          <w:color w:val="auto"/>
        </w:rPr>
      </w:pPr>
    </w:p>
    <w:p>
      <w:pPr>
        <w:ind w:left="1620" w:hanging="438"/>
        <w:spacing w:after="0" w:line="277"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Federal Food Drug or Cosmetic Act, which prohibits, among other things, the adulteration or misbranding of drugs, biologics and medical devices;</w:t>
      </w:r>
    </w:p>
    <w:p>
      <w:pPr>
        <w:spacing w:after="0" w:line="170" w:lineRule="exact"/>
        <w:rPr>
          <w:rFonts w:ascii="Arial" w:cs="Arial" w:eastAsia="Arial" w:hAnsi="Arial"/>
          <w:sz w:val="18"/>
          <w:szCs w:val="18"/>
          <w:color w:val="auto"/>
        </w:rPr>
      </w:pPr>
    </w:p>
    <w:p>
      <w:pPr>
        <w:ind w:left="1620" w:right="40" w:hanging="438"/>
        <w:spacing w:after="0" w:line="290" w:lineRule="auto"/>
        <w:tabs>
          <w:tab w:leader="none" w:pos="1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U.S. Physician Payments Sunshine Act and its implementing regulations, which require certain manufacturers of drugs, devices, biologics and medical supplies that are reimbursable under Medicare, Medicaid or the Children’s Health Insurance Program, with specific exceptions, to report annually to the Centers for Medicare &amp; Medicaid Services, or CMS,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 Beginning in 2022, applicable manufacturers also will be required to report information regarding its payments and transfers of value provided to physician assistants, nurse practitioners, clinical nurse specialists, anesthesiologist assistants, certified registered nurse anesthetists and certified nurse midwives during the previous year;</w:t>
      </w:r>
    </w:p>
    <w:p>
      <w:pPr>
        <w:spacing w:after="0" w:line="165" w:lineRule="exact"/>
        <w:rPr>
          <w:rFonts w:ascii="Arial" w:cs="Arial" w:eastAsia="Arial" w:hAnsi="Arial"/>
          <w:sz w:val="16"/>
          <w:szCs w:val="16"/>
          <w:color w:val="auto"/>
        </w:rPr>
      </w:pPr>
    </w:p>
    <w:p>
      <w:pPr>
        <w:ind w:left="1620" w:hanging="438"/>
        <w:spacing w:after="0" w:line="269" w:lineRule="auto"/>
        <w:tabs>
          <w:tab w:leader="none" w:pos="1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185" w:lineRule="exact"/>
        <w:rPr>
          <w:rFonts w:ascii="Arial" w:cs="Arial" w:eastAsia="Arial" w:hAnsi="Arial"/>
          <w:sz w:val="17"/>
          <w:szCs w:val="17"/>
          <w:color w:val="auto"/>
        </w:rPr>
      </w:pPr>
    </w:p>
    <w:p>
      <w:pPr>
        <w:ind w:left="1620" w:right="20" w:hanging="438"/>
        <w:spacing w:after="0" w:line="277"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similar healthcare laws and regulations in the EU and other jurisdictions, including reporting requirements detailing interactions with and payments to healthcare providers; and</w:t>
      </w:r>
    </w:p>
    <w:p>
      <w:pPr>
        <w:spacing w:after="0" w:line="170" w:lineRule="exact"/>
        <w:rPr>
          <w:rFonts w:ascii="Arial" w:cs="Arial" w:eastAsia="Arial" w:hAnsi="Arial"/>
          <w:sz w:val="18"/>
          <w:szCs w:val="18"/>
          <w:color w:val="auto"/>
        </w:rPr>
      </w:pPr>
    </w:p>
    <w:p>
      <w:pPr>
        <w:ind w:left="1620" w:right="380" w:hanging="438"/>
        <w:spacing w:after="0" w:line="259"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laws governing the privacy and security of certain protected information, such as the European Union’s General Data Protection Regulation, or GDPR, and the California Consumer Privacy Act, or CCPA, which impose obligations and restrictions on the collection, use and disclosure of personal data (including health data) relating to individuals located in the EU and California, respectively.</w:t>
      </w:r>
    </w:p>
    <w:p>
      <w:pPr>
        <w:spacing w:after="0" w:line="187" w:lineRule="exact"/>
        <w:rPr>
          <w:sz w:val="20"/>
          <w:szCs w:val="20"/>
          <w:color w:val="auto"/>
        </w:rPr>
      </w:pPr>
    </w:p>
    <w:p>
      <w:pPr>
        <w:ind w:right="200" w:firstLine="1175"/>
        <w:spacing w:after="0" w:line="275" w:lineRule="auto"/>
        <w:rPr>
          <w:sz w:val="20"/>
          <w:szCs w:val="20"/>
          <w:color w:val="auto"/>
        </w:rPr>
      </w:pPr>
      <w:r>
        <w:rPr>
          <w:rFonts w:ascii="Arial" w:cs="Arial" w:eastAsia="Arial" w:hAnsi="Arial"/>
          <w:sz w:val="17"/>
          <w:szCs w:val="17"/>
          <w:color w:val="auto"/>
        </w:rPr>
        <w:t>We may also be subject to other laws, such as the U.S. Foreign Corrupt Practices Act of 1977, as amended, which prohibit,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as well as federal consumer protection and unfair competition laws, which broadly regulate marketplace activities and activities that potentially harm consumers.</w:t>
      </w:r>
    </w:p>
    <w:p>
      <w:pPr>
        <w:spacing w:after="0" w:line="176" w:lineRule="exact"/>
        <w:rPr>
          <w:sz w:val="20"/>
          <w:szCs w:val="20"/>
          <w:color w:val="auto"/>
        </w:rPr>
      </w:pPr>
    </w:p>
    <w:p>
      <w:pPr>
        <w:ind w:right="100" w:firstLine="1175"/>
        <w:spacing w:after="0" w:line="277" w:lineRule="auto"/>
        <w:rPr>
          <w:sz w:val="20"/>
          <w:szCs w:val="20"/>
          <w:color w:val="auto"/>
        </w:rPr>
      </w:pPr>
      <w:r>
        <w:rPr>
          <w:rFonts w:ascii="Arial" w:cs="Arial" w:eastAsia="Arial" w:hAnsi="Arial"/>
          <w:sz w:val="18"/>
          <w:szCs w:val="18"/>
          <w:color w:val="auto"/>
        </w:rPr>
        <w:t>Ensuring that our internal operations and business arrangements with third parties comply with applicable healthcare laws and regulations will likely be costly. It is possible that governmental authorities will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0" w:name="page81"/>
    <w:bookmarkEnd w:id="80"/>
    <w:p>
      <w:pPr>
        <w:spacing w:after="0" w:line="272" w:lineRule="auto"/>
        <w:rPr>
          <w:sz w:val="20"/>
          <w:szCs w:val="20"/>
          <w:color w:val="auto"/>
        </w:rPr>
      </w:pPr>
      <w:r>
        <w:rPr>
          <w:rFonts w:ascii="Arial" w:cs="Arial" w:eastAsia="Arial" w:hAnsi="Arial"/>
          <w:sz w:val="17"/>
          <w:szCs w:val="17"/>
          <w:color w:val="auto"/>
        </w:rPr>
        <w:t>conclude that our business practices, including our relationships with physicians and other healthcare providers, some of whom are compensated in the form of stock options for consulting services provided,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injunctions,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spacing w:after="0" w:line="177" w:lineRule="exact"/>
        <w:rPr>
          <w:sz w:val="20"/>
          <w:szCs w:val="20"/>
          <w:color w:val="auto"/>
        </w:rPr>
      </w:pPr>
    </w:p>
    <w:p>
      <w:pPr>
        <w:ind w:firstLine="1175"/>
        <w:spacing w:after="0" w:line="253" w:lineRule="auto"/>
        <w:rPr>
          <w:sz w:val="20"/>
          <w:szCs w:val="20"/>
          <w:color w:val="auto"/>
        </w:rPr>
      </w:pPr>
      <w:r>
        <w:rPr>
          <w:rFonts w:ascii="Arial" w:cs="Arial" w:eastAsia="Arial" w:hAnsi="Arial"/>
          <w:sz w:val="18"/>
          <w:szCs w:val="18"/>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 In addition, if the physicians or other providers or entities with whom we expect to do business are found not to be in compliance with applicable laws, they may be subject to significant criminal, civil or administrative sanctions, including exclusions from government-funded healthcare programs.</w:t>
      </w:r>
    </w:p>
    <w:p>
      <w:pPr>
        <w:spacing w:after="0" w:line="1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vaccine candidates, which could make it difficult for us to sell our vaccine candidates, if approved, profitably.</w:t>
      </w:r>
    </w:p>
    <w:p>
      <w:pPr>
        <w:spacing w:after="0" w:line="170" w:lineRule="exact"/>
        <w:rPr>
          <w:sz w:val="20"/>
          <w:szCs w:val="20"/>
          <w:color w:val="auto"/>
        </w:rPr>
      </w:pPr>
    </w:p>
    <w:p>
      <w:pPr>
        <w:jc w:val="both"/>
        <w:ind w:right="260" w:firstLine="1175"/>
        <w:spacing w:after="0" w:line="311" w:lineRule="auto"/>
        <w:rPr>
          <w:sz w:val="20"/>
          <w:szCs w:val="20"/>
          <w:color w:val="auto"/>
        </w:rPr>
      </w:pPr>
      <w:r>
        <w:rPr>
          <w:rFonts w:ascii="Arial" w:cs="Arial" w:eastAsia="Arial" w:hAnsi="Arial"/>
          <w:sz w:val="16"/>
          <w:szCs w:val="16"/>
          <w:color w:val="auto"/>
        </w:rPr>
        <w:t>Successful sales of our vaccine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vaccine candidates for which we obtain regulatory approval.</w:t>
      </w:r>
    </w:p>
    <w:p>
      <w:pPr>
        <w:spacing w:after="0" w:line="149" w:lineRule="exact"/>
        <w:rPr>
          <w:sz w:val="20"/>
          <w:szCs w:val="20"/>
          <w:color w:val="auto"/>
        </w:rPr>
      </w:pPr>
    </w:p>
    <w:p>
      <w:pPr>
        <w:ind w:right="100" w:firstLine="1175"/>
        <w:spacing w:after="0" w:line="277" w:lineRule="auto"/>
        <w:rPr>
          <w:sz w:val="20"/>
          <w:szCs w:val="20"/>
          <w:color w:val="auto"/>
        </w:rPr>
      </w:pPr>
      <w:r>
        <w:rPr>
          <w:rFonts w:ascii="Arial" w:cs="Arial" w:eastAsia="Arial" w:hAnsi="Arial"/>
          <w:sz w:val="18"/>
          <w:szCs w:val="18"/>
          <w:color w:val="auto"/>
        </w:rPr>
        <w:t>Patients who receive vaccines generally rely on third-party payors to reimburse all or part of the associated costs. Obtaining coverage and adequate reimbursement from third-party payors is critical to new product acceptance.</w:t>
      </w:r>
    </w:p>
    <w:p>
      <w:pPr>
        <w:spacing w:after="0" w:line="170" w:lineRule="exact"/>
        <w:rPr>
          <w:sz w:val="20"/>
          <w:szCs w:val="20"/>
          <w:color w:val="auto"/>
        </w:rPr>
      </w:pPr>
    </w:p>
    <w:p>
      <w:pPr>
        <w:ind w:right="120" w:firstLine="1175"/>
        <w:spacing w:after="0" w:line="308" w:lineRule="auto"/>
        <w:rPr>
          <w:sz w:val="20"/>
          <w:szCs w:val="20"/>
          <w:color w:val="auto"/>
        </w:rPr>
      </w:pPr>
      <w:r>
        <w:rPr>
          <w:rFonts w:ascii="Arial" w:cs="Arial" w:eastAsia="Arial" w:hAnsi="Arial"/>
          <w:sz w:val="17"/>
          <w:szCs w:val="17"/>
          <w:color w:val="auto"/>
        </w:rPr>
        <w:t>Third-party payors decide which drugs and treatments they will cover and the amount of reimbursement. Reimbursement by a third-party payor may depend upon a number of factors, including, but not limited to, the third-party payor’s determination that use of a product is:</w:t>
      </w:r>
    </w:p>
    <w:p>
      <w:pPr>
        <w:spacing w:after="0" w:line="146" w:lineRule="exact"/>
        <w:rPr>
          <w:sz w:val="20"/>
          <w:szCs w:val="20"/>
          <w:color w:val="auto"/>
        </w:rPr>
      </w:pPr>
    </w:p>
    <w:p>
      <w:pPr>
        <w:ind w:left="1620" w:hanging="438"/>
        <w:spacing w:after="0"/>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52" w:lineRule="exact"/>
        <w:rPr>
          <w:sz w:val="20"/>
          <w:szCs w:val="20"/>
          <w:color w:val="auto"/>
        </w:rPr>
      </w:pPr>
    </w:p>
    <w:p>
      <w:pPr>
        <w:ind w:right="60" w:firstLine="1175"/>
        <w:spacing w:after="0" w:line="255" w:lineRule="auto"/>
        <w:rPr>
          <w:sz w:val="20"/>
          <w:szCs w:val="20"/>
          <w:color w:val="auto"/>
        </w:rPr>
      </w:pPr>
      <w:r>
        <w:rPr>
          <w:rFonts w:ascii="Arial" w:cs="Arial" w:eastAsia="Arial" w:hAnsi="Arial"/>
          <w:sz w:val="18"/>
          <w:szCs w:val="18"/>
          <w:color w:val="auto"/>
        </w:rPr>
        <w:t>Obtaining coverage and reimbursement of a product from a government or other third-party payor is a time-consuming and costly process that could require us to provide to the payor supporting scientific, clinical and cost-effectiveness data for the use of our products.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vaccine candidates unless coverage is provided and reimbursement is adequate to cover a significant portion of the cost of our vaccine candidates. Separate reimbursement for the product itself may or may not be available. Instead, the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1" w:name="page82"/>
    <w:bookmarkEnd w:id="81"/>
    <w:p>
      <w:pPr>
        <w:ind w:right="60"/>
        <w:spacing w:after="0" w:line="287" w:lineRule="auto"/>
        <w:rPr>
          <w:sz w:val="20"/>
          <w:szCs w:val="20"/>
          <w:color w:val="auto"/>
        </w:rPr>
      </w:pPr>
      <w:r>
        <w:rPr>
          <w:rFonts w:ascii="Arial" w:cs="Arial" w:eastAsia="Arial" w:hAnsi="Arial"/>
          <w:sz w:val="16"/>
          <w:szCs w:val="16"/>
          <w:color w:val="auto"/>
        </w:rPr>
        <w:t>hospital or administering physician may be reimbursed only for administering the product. Further, from time to time, CMS revises the reimbursement systems used to reimburse health care providers, including the Medicare Physician Fee Schedule and Outpatient Prospective Payment System, which may result in reduced Medicare payments. In some cases, private third-party payors rely on all or portions of Medicare payment systems to determine payment rates. Changes to government healthcare programs that reduce payments under these programs may negatively impact payments from third-party payers and reduce the willingness of physicians to use our vaccine candidates. Certain ACA marketplace and other private payor plans are required to include coverage for certain preventative services, including vaccinations recommended by the ACIP without cost share obligations (i.e., co-payments, deductibles or co-insurance) for plan members. Children through 18 years of age without other health insurance coverage may be eligible to receive such vaccinations free-of-charge through the CDC’s Vaccines for Children program. For Medicare beneficiaries, vaccines may be covered under either the Part B program or Part D depending on several criteria, including the type of vaccine and the beneficiary’s coverage eligibility. If our vaccine candidates, once approved, are covered only under the Part D program, physicians may be less willing to use our products because of the claims adjudication costs and time related to the claims adjudication process and collection of co-payments associated with the Part D program.</w:t>
      </w:r>
    </w:p>
    <w:p>
      <w:pPr>
        <w:spacing w:after="0" w:line="172" w:lineRule="exact"/>
        <w:rPr>
          <w:sz w:val="20"/>
          <w:szCs w:val="20"/>
          <w:color w:val="auto"/>
        </w:rPr>
      </w:pPr>
    </w:p>
    <w:p>
      <w:pPr>
        <w:jc w:val="both"/>
        <w:ind w:right="40" w:firstLine="1175"/>
        <w:spacing w:after="0" w:line="279" w:lineRule="auto"/>
        <w:rPr>
          <w:sz w:val="20"/>
          <w:szCs w:val="20"/>
          <w:color w:val="auto"/>
        </w:rPr>
      </w:pPr>
      <w:r>
        <w:rPr>
          <w:rFonts w:ascii="Arial" w:cs="Arial" w:eastAsia="Arial" w:hAnsi="Arial"/>
          <w:sz w:val="17"/>
          <w:szCs w:val="17"/>
          <w:color w:val="auto"/>
        </w:rPr>
        <w:t>In the United States, no uniform policy of coverage and reimbursement for products exists among third-party payors. Therefore, coverage and reimbursement for products can differ significantly from payor to payor.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71" w:lineRule="exact"/>
        <w:rPr>
          <w:sz w:val="20"/>
          <w:szCs w:val="20"/>
          <w:color w:val="auto"/>
        </w:rPr>
      </w:pPr>
    </w:p>
    <w:p>
      <w:pPr>
        <w:ind w:firstLine="1175"/>
        <w:spacing w:after="0" w:line="271" w:lineRule="auto"/>
        <w:rPr>
          <w:sz w:val="20"/>
          <w:szCs w:val="20"/>
          <w:color w:val="auto"/>
        </w:rPr>
      </w:pPr>
      <w:r>
        <w:rPr>
          <w:rFonts w:ascii="Arial" w:cs="Arial" w:eastAsia="Arial" w:hAnsi="Arial"/>
          <w:sz w:val="17"/>
          <w:szCs w:val="17"/>
          <w:color w:val="auto"/>
        </w:rPr>
        <w:t>We intend to seek approval to market our vaccine candidates in both the United States and in selected foreign jurisdictions. If we obtain approval in one or more foreign jurisdictions for our vaccine candidates, we will be subject to rules and regulations in those jurisdictions. In some foreign countries, particularly those in Europe, the pricing of biologics is subject to governmental control. In these countries, pricing negotiations with governmental authorities can take considerable time after obtaining marketing approval of a vaccine candidate. Some of these countries may require the completion of clinical trials that compare the cost-effectiveness of a particular vaccine candidate to currently available vaccines. Other member states allow companies to fix their own prices for medicines but monitor and control company profits.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78" w:lineRule="exact"/>
        <w:rPr>
          <w:sz w:val="20"/>
          <w:szCs w:val="20"/>
          <w:color w:val="auto"/>
        </w:rPr>
      </w:pPr>
    </w:p>
    <w:p>
      <w:pPr>
        <w:ind w:right="40" w:firstLine="1175"/>
        <w:spacing w:after="0" w:line="257" w:lineRule="auto"/>
        <w:rPr>
          <w:sz w:val="20"/>
          <w:szCs w:val="20"/>
          <w:color w:val="auto"/>
        </w:rPr>
      </w:pPr>
      <w:r>
        <w:rPr>
          <w:rFonts w:ascii="Arial" w:cs="Arial" w:eastAsia="Arial" w:hAnsi="Arial"/>
          <w:sz w:val="18"/>
          <w:szCs w:val="18"/>
          <w:color w:val="auto"/>
        </w:rPr>
        <w:t>The marketability of any vaccine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reform measures may have a negative impact on our business, financial condition, results of operations and prospects.</w:t>
      </w:r>
    </w:p>
    <w:p>
      <w:pPr>
        <w:spacing w:after="0" w:line="248" w:lineRule="exact"/>
        <w:rPr>
          <w:sz w:val="20"/>
          <w:szCs w:val="20"/>
          <w:color w:val="auto"/>
        </w:rPr>
      </w:pPr>
    </w:p>
    <w:p>
      <w:pPr>
        <w:ind w:right="80" w:firstLine="1175"/>
        <w:spacing w:after="0" w:line="254"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several legislative and regulatory changes and proposed changes regarding the healthcare system that could prevent or delay marketing approval of vaccine candidates, restrict or regulate post-approval activities and affect our ability to profitably sell any vaccine candidates for which we obtain marketing approval. In particular, there have been and continue to be a number of initiatives at the U.S. federal and state levels that seek to reduce healthcare costs and improve the quality of healthcare. For example, in March 2010, the ACA was passed, which substantially changed the way healthcare is financed by both governmental and private payors in the United States. Among the provisions of the ACA, those of greatest importance to the pharmaceutical and biotechnology industries include:</w:t>
      </w:r>
    </w:p>
    <w:p>
      <w:pPr>
        <w:spacing w:after="0" w:line="195" w:lineRule="exact"/>
        <w:rPr>
          <w:sz w:val="20"/>
          <w:szCs w:val="20"/>
          <w:color w:val="auto"/>
        </w:rPr>
      </w:pPr>
    </w:p>
    <w:p>
      <w:pPr>
        <w:ind w:left="1620" w:right="400" w:hanging="438"/>
        <w:spacing w:after="0" w:line="342" w:lineRule="auto"/>
        <w:tabs>
          <w:tab w:leader="none" w:pos="1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agents, which is apportioned among these entities according to their market share in certain government healthcare programs;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2" w:name="page83"/>
    <w:bookmarkEnd w:id="82"/>
    <w:p>
      <w:pPr>
        <w:ind w:left="1620" w:right="60" w:hanging="438"/>
        <w:spacing w:after="0" w:line="263"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183" w:lineRule="exact"/>
        <w:rPr>
          <w:rFonts w:ascii="Arial" w:cs="Arial" w:eastAsia="Arial" w:hAnsi="Arial"/>
          <w:sz w:val="18"/>
          <w:szCs w:val="18"/>
          <w:color w:val="auto"/>
        </w:rPr>
      </w:pPr>
    </w:p>
    <w:p>
      <w:pPr>
        <w:ind w:left="1620" w:right="480" w:hanging="438"/>
        <w:spacing w:after="0" w:line="27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170" w:lineRule="exact"/>
        <w:rPr>
          <w:rFonts w:ascii="Arial" w:cs="Arial" w:eastAsia="Arial" w:hAnsi="Arial"/>
          <w:sz w:val="18"/>
          <w:szCs w:val="18"/>
          <w:color w:val="auto"/>
        </w:rPr>
      </w:pPr>
    </w:p>
    <w:p>
      <w:pPr>
        <w:ind w:left="1620" w:right="140" w:hanging="438"/>
        <w:spacing w:after="0" w:line="27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1620" w:right="460" w:hanging="438"/>
        <w:spacing w:after="0" w:line="27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170" w:lineRule="exact"/>
        <w:rPr>
          <w:rFonts w:ascii="Arial" w:cs="Arial" w:eastAsia="Arial" w:hAnsi="Arial"/>
          <w:sz w:val="18"/>
          <w:szCs w:val="18"/>
          <w:color w:val="auto"/>
        </w:rPr>
      </w:pPr>
    </w:p>
    <w:p>
      <w:pPr>
        <w:ind w:left="1620" w:right="100" w:hanging="438"/>
        <w:spacing w:after="0" w:line="263"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83" w:lineRule="exact"/>
        <w:rPr>
          <w:rFonts w:ascii="Arial" w:cs="Arial" w:eastAsia="Arial" w:hAnsi="Arial"/>
          <w:sz w:val="18"/>
          <w:szCs w:val="18"/>
          <w:color w:val="auto"/>
        </w:rPr>
      </w:pPr>
    </w:p>
    <w:p>
      <w:pPr>
        <w:ind w:left="1620" w:hanging="438"/>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52" w:lineRule="exact"/>
        <w:rPr>
          <w:rFonts w:ascii="Arial" w:cs="Arial" w:eastAsia="Arial" w:hAnsi="Arial"/>
          <w:sz w:val="18"/>
          <w:szCs w:val="18"/>
          <w:color w:val="auto"/>
        </w:rPr>
      </w:pPr>
    </w:p>
    <w:p>
      <w:pPr>
        <w:jc w:val="both"/>
        <w:ind w:left="1620" w:right="420" w:hanging="438"/>
        <w:spacing w:after="0" w:line="263"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requirement that certain ACA marketplace and other private payor plans include coverage for preventative services, including vaccinations recommended by the ACIP without cost share obligations (i.e., co-payments, deductibles or co-insurance) for plan members;</w:t>
      </w:r>
    </w:p>
    <w:p>
      <w:pPr>
        <w:spacing w:after="0" w:line="183" w:lineRule="exact"/>
        <w:rPr>
          <w:rFonts w:ascii="Arial" w:cs="Arial" w:eastAsia="Arial" w:hAnsi="Arial"/>
          <w:sz w:val="18"/>
          <w:szCs w:val="18"/>
          <w:color w:val="auto"/>
        </w:rPr>
      </w:pPr>
    </w:p>
    <w:p>
      <w:pPr>
        <w:ind w:left="1620" w:right="100" w:hanging="438"/>
        <w:spacing w:after="0" w:line="27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170" w:lineRule="exact"/>
        <w:rPr>
          <w:rFonts w:ascii="Arial" w:cs="Arial" w:eastAsia="Arial" w:hAnsi="Arial"/>
          <w:sz w:val="18"/>
          <w:szCs w:val="18"/>
          <w:color w:val="auto"/>
        </w:rPr>
      </w:pPr>
    </w:p>
    <w:p>
      <w:pPr>
        <w:ind w:left="1620" w:right="60" w:hanging="438"/>
        <w:spacing w:after="0" w:line="27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establishment of a Center for Medicare and Medicaid Innovation at the CMS to test innovative payment and service delivery models to lower Medicare and Medicaid spending, potentially including prescription drug spending.</w:t>
      </w:r>
    </w:p>
    <w:p>
      <w:pPr>
        <w:spacing w:after="0" w:line="170" w:lineRule="exact"/>
        <w:rPr>
          <w:sz w:val="20"/>
          <w:szCs w:val="20"/>
          <w:color w:val="auto"/>
        </w:rPr>
      </w:pPr>
    </w:p>
    <w:p>
      <w:pPr>
        <w:ind w:firstLine="1175"/>
        <w:spacing w:after="0" w:line="267" w:lineRule="auto"/>
        <w:rPr>
          <w:sz w:val="20"/>
          <w:szCs w:val="20"/>
          <w:color w:val="auto"/>
        </w:rPr>
      </w:pPr>
      <w:r>
        <w:rPr>
          <w:rFonts w:ascii="Arial" w:cs="Arial" w:eastAsia="Arial" w:hAnsi="Arial"/>
          <w:sz w:val="17"/>
          <w:szCs w:val="17"/>
          <w:color w:val="auto"/>
        </w:rPr>
        <w:t>There have been executive, judicial and Congressional challenges to the ACA. For example, the Tax Act included a provision that repealed, effective January 1, 2019, the tax-based shared responsibility payment imposed by the ACA on certain individuals who fail to maintain qualifying health coverage for all or part of a year, which is commonly referred to as the “individual mandate.” The 2020 federal spending package eliminated, effective January 1, 2020, the ACA-mandated “Cadillac” tax on high-cost employer-sponsored health coverage and medical device tax and, effective January 1, 2021, also eliminated the health insurer tax. Further, the Bipartisan Budget Act of 2018, or the BBA, among other things, amended the ACA, effective January 1, 2019, to close the coverage gap in most Medicare drug plans, commonly referred to as the “donut hole.”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U.S. Supreme Court is currently reviewing this case, but it is unknown when a decision will be reached. Although the U.S. Supreme Court has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3" w:name="page84"/>
    <w:bookmarkEnd w:id="83"/>
    <w:p>
      <w:pPr>
        <w:ind w:right="40" w:firstLine="1175"/>
        <w:spacing w:after="0" w:line="293"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These changes include aggregate reductions to Medicare payments to providers of 2% per fiscal year pursuant to the Budget Control Act of 2011, which began in 2013 and, due to subsequent legislative amendments to the statute, including the BBA, will remain in effect through 2030 unless additional Congressional action is taken. COVID-19 pandemic relief support legislation suspended the 2% Medicare sequester from May 1, 2020 through March 31, 2021. The American Taxpayer Relief Act of 2012, among other things, further reduced Medicare payments to several types of providers, including hospitals and cancer treatment centers, and increased the statute of limitations period for the government to recover overpayments to providers from three to five years.</w:t>
      </w:r>
    </w:p>
    <w:p>
      <w:pPr>
        <w:spacing w:after="0" w:line="164" w:lineRule="exact"/>
        <w:rPr>
          <w:sz w:val="20"/>
          <w:szCs w:val="20"/>
          <w:color w:val="auto"/>
        </w:rPr>
      </w:pPr>
    </w:p>
    <w:p>
      <w:pPr>
        <w:ind w:right="80" w:firstLine="1175"/>
        <w:spacing w:after="0" w:line="272" w:lineRule="auto"/>
        <w:rPr>
          <w:sz w:val="20"/>
          <w:szCs w:val="20"/>
          <w:color w:val="auto"/>
        </w:rPr>
      </w:pPr>
      <w:r>
        <w:rPr>
          <w:rFonts w:ascii="Arial" w:cs="Arial" w:eastAsia="Arial" w:hAnsi="Arial"/>
          <w:sz w:val="17"/>
          <w:szCs w:val="17"/>
          <w:color w:val="auto"/>
        </w:rPr>
        <w:t>Additional changes that may affect our business include the expansion of new programs such as Medicare payment for performance initiatives for physicians under the Medicare Access and CHIP Reauthorization Act of 2015, or MACRA, which ended the use of the statutory formula for clinician payment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the full impact of the introduction of the Medicare quality payment program on overall physician reimbursement remains unclear. Any reduction in reimbursement from Medicare or other government programs may result in a similar reduction in payments from private payors.</w:t>
      </w:r>
    </w:p>
    <w:p>
      <w:pPr>
        <w:spacing w:after="0" w:line="177" w:lineRule="exact"/>
        <w:rPr>
          <w:sz w:val="20"/>
          <w:szCs w:val="20"/>
          <w:color w:val="auto"/>
        </w:rPr>
      </w:pPr>
    </w:p>
    <w:p>
      <w:pPr>
        <w:ind w:firstLine="1175"/>
        <w:spacing w:after="0" w:line="267" w:lineRule="auto"/>
        <w:rPr>
          <w:sz w:val="20"/>
          <w:szCs w:val="20"/>
          <w:color w:val="auto"/>
        </w:rPr>
      </w:pPr>
      <w:r>
        <w:rPr>
          <w:rFonts w:ascii="Arial" w:cs="Arial" w:eastAsia="Arial" w:hAnsi="Arial"/>
          <w:sz w:val="17"/>
          <w:szCs w:val="17"/>
          <w:color w:val="auto"/>
        </w:rPr>
        <w:t>Further, in the United States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and biological product pricing, reduce the cost of prescription drugs and biological products under government payor programs and review the relationship between pricing and manufacturer patient programs.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also released a final rule, effective November 30, 2020, implementing a portion of the importation executive order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However,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biological products and suppliers will be included in their healthcare programs. Furthermore, there has been increased interest by third-party payors and governmental authorities in reference pricing systems and publication of discounts and list prices.</w:t>
      </w:r>
    </w:p>
    <w:p>
      <w:pPr>
        <w:spacing w:after="0" w:line="182" w:lineRule="exact"/>
        <w:rPr>
          <w:sz w:val="20"/>
          <w:szCs w:val="20"/>
          <w:color w:val="auto"/>
        </w:rPr>
      </w:pPr>
    </w:p>
    <w:p>
      <w:pPr>
        <w:ind w:right="80" w:firstLine="1175"/>
        <w:spacing w:after="0" w:line="257" w:lineRule="auto"/>
        <w:rPr>
          <w:sz w:val="20"/>
          <w:szCs w:val="20"/>
          <w:color w:val="auto"/>
        </w:rPr>
      </w:pPr>
      <w:r>
        <w:rPr>
          <w:rFonts w:ascii="Arial" w:cs="Arial" w:eastAsia="Arial" w:hAnsi="Arial"/>
          <w:sz w:val="18"/>
          <w:szCs w:val="18"/>
          <w:color w:val="auto"/>
        </w:rPr>
        <w:t>We expect that additional U.S. federal healthcare reform measures will be adopted in the future, any of which could limit the amounts that the U.S. federal government will pay for healthcare products and services, which could result in reduced demand for our current or any future vaccine candidates or additional pricing pressures. Further, it is possible that additional governmental action is taken in response to the ongoing COVID-19 pandemic. We cannot predict the likelihood, nature or extent of government regulation that may arise from future legislation or administrative action in the United States or any other jurisdiction. If we or any third parties we may engage are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4" w:name="page85"/>
    <w:bookmarkEnd w:id="84"/>
    <w:p>
      <w:pPr>
        <w:ind w:right="40"/>
        <w:spacing w:after="0" w:line="263" w:lineRule="auto"/>
        <w:rPr>
          <w:sz w:val="20"/>
          <w:szCs w:val="20"/>
          <w:color w:val="auto"/>
        </w:rPr>
      </w:pPr>
      <w:r>
        <w:rPr>
          <w:rFonts w:ascii="Arial" w:cs="Arial" w:eastAsia="Arial" w:hAnsi="Arial"/>
          <w:sz w:val="18"/>
          <w:szCs w:val="18"/>
          <w:color w:val="auto"/>
        </w:rPr>
        <w:t>slow or unable to adapt to changes in existing or new requirements or policies, or if we or such third parties are not able to maintain regulatory compliance, our current or any future vaccine candidates we may develop may lose any regulatory approval that may have been obtained and we may not achieve or sustain profitability.</w:t>
      </w:r>
    </w:p>
    <w:p>
      <w:pPr>
        <w:spacing w:after="0" w:line="184" w:lineRule="exact"/>
        <w:rPr>
          <w:sz w:val="20"/>
          <w:szCs w:val="20"/>
          <w:color w:val="auto"/>
        </w:rPr>
      </w:pPr>
    </w:p>
    <w:p>
      <w:pPr>
        <w:ind w:right="80" w:firstLine="1175"/>
        <w:spacing w:after="0" w:line="257" w:lineRule="auto"/>
        <w:rPr>
          <w:sz w:val="20"/>
          <w:szCs w:val="20"/>
          <w:color w:val="auto"/>
        </w:rPr>
      </w:pPr>
      <w:r>
        <w:rPr>
          <w:rFonts w:ascii="Arial" w:cs="Arial" w:eastAsia="Arial" w:hAnsi="Arial"/>
          <w:sz w:val="18"/>
          <w:szCs w:val="18"/>
          <w:color w:val="auto"/>
        </w:rPr>
        <w:t>We expect that these and other healthcare reform measures that may be adopted in the future may result in more rigorous coverage criteria and in additional downward pressure on the price that we receive for any approved product, which could have an adverse effect on demand for our vaccine candidates.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8"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Changes in funding for the FDA and other government agencies could hinder our ability to hire and retain key leadership and other personnel, or otherwise prevent new products and services from being developed or commercialized in a timely manner, which could negatively impact our business.</w:t>
      </w:r>
    </w:p>
    <w:p>
      <w:pPr>
        <w:spacing w:after="0" w:line="100" w:lineRule="exact"/>
        <w:rPr>
          <w:sz w:val="20"/>
          <w:szCs w:val="20"/>
          <w:color w:val="auto"/>
        </w:rPr>
      </w:pPr>
    </w:p>
    <w:p>
      <w:pPr>
        <w:ind w:right="280" w:firstLine="1175"/>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government agencies, which would adversely affect our business. For example, over the last several years, including for 35 days beginning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22, 2018, the U.S. government has shut down several times and certain regulatory agencies, such as the FDA, have had to furlough critical FDA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and stop critical activities. If a prolonged government shutdown occurs, it could significantly impact the ability of the FDA to timely review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process our regulatory submissions, which could have a material adverse effect on our business.</w:t>
      </w:r>
    </w:p>
    <w:p>
      <w:pPr>
        <w:spacing w:after="0" w:line="211" w:lineRule="exact"/>
        <w:rPr>
          <w:sz w:val="20"/>
          <w:szCs w:val="20"/>
          <w:color w:val="auto"/>
        </w:rPr>
      </w:pPr>
    </w:p>
    <w:p>
      <w:pPr>
        <w:ind w:right="120" w:firstLine="1175"/>
        <w:spacing w:after="0" w:line="254" w:lineRule="auto"/>
        <w:rPr>
          <w:sz w:val="20"/>
          <w:szCs w:val="20"/>
          <w:color w:val="auto"/>
        </w:rPr>
      </w:pPr>
      <w:r>
        <w:rPr>
          <w:rFonts w:ascii="Arial" w:cs="Arial" w:eastAsia="Arial" w:hAnsi="Arial"/>
          <w:sz w:val="18"/>
          <w:szCs w:val="18"/>
          <w:color w:val="auto"/>
        </w:rPr>
        <w:t>Separately, in response to the global COVID-19 pandemic, on March 10, 2020, the FDA announced its intention to postpone most foreign inspections of manufacturing facilities and products through April 2020, and subsequently, on July 10, 2020, the FDA announced its intention to restart routine pre-announced surveillance inspections of domestic manufacturing facilities.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9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are subject to increasingly stringent and rapidly changing laws and regulations related to privacy and data security. The restrictions and costs imposed by these requirements, or our actual or perceived failure to comply with them, could harm our reputation, subject us to significant fines and liability, and adversely affect our business.</w:t>
      </w:r>
    </w:p>
    <w:p>
      <w:pPr>
        <w:spacing w:after="0" w:line="184" w:lineRule="exact"/>
        <w:rPr>
          <w:sz w:val="20"/>
          <w:szCs w:val="20"/>
          <w:color w:val="auto"/>
        </w:rPr>
      </w:pPr>
    </w:p>
    <w:p>
      <w:pPr>
        <w:ind w:firstLine="1175"/>
        <w:spacing w:after="0" w:line="271" w:lineRule="auto"/>
        <w:rPr>
          <w:sz w:val="20"/>
          <w:szCs w:val="20"/>
          <w:color w:val="auto"/>
        </w:rPr>
      </w:pPr>
      <w:r>
        <w:rPr>
          <w:rFonts w:ascii="Arial" w:cs="Arial" w:eastAsia="Arial" w:hAnsi="Arial"/>
          <w:sz w:val="17"/>
          <w:szCs w:val="17"/>
          <w:color w:val="auto"/>
        </w:rPr>
        <w:t>We are subject to or affected by numerous evolving federal, state and foreign laws and regulations governing the collection, use, disclosure, retention, and security of personal data. The global data protection landscape is rapidly evolving, and implementation standards and enforcement practices are likely to remain uncertain for the foreseeable future. This landscape may create uncertainty in our business, result in liability or impose additional costs on us. These laws and regulations are subject to differing interpretations and may be inconsistent among jurisdictions, and guidance on implementation and compliance practices are often updated or otherwise revised. The cost of compliance with these laws and regulations is high and is likely to increase in the future. Our failure or perceived failure to comply with these laws and regulations could result in negative publicity, diversion of management time and effort, restrictions on our operations and legal action against us by governmental entities or others. In many jurisdictions, enforcement actions and consequences for noncompliance are rising.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5" w:name="page86"/>
    <w:bookmarkEnd w:id="85"/>
    <w:p>
      <w:pPr>
        <w:ind w:right="20" w:firstLine="1175"/>
        <w:spacing w:after="0" w:line="254" w:lineRule="auto"/>
        <w:rPr>
          <w:sz w:val="20"/>
          <w:szCs w:val="20"/>
          <w:color w:val="auto"/>
        </w:rPr>
      </w:pPr>
      <w:r>
        <w:rPr>
          <w:rFonts w:ascii="Arial" w:cs="Arial" w:eastAsia="Arial" w:hAnsi="Arial"/>
          <w:sz w:val="18"/>
          <w:szCs w:val="18"/>
          <w:color w:val="auto"/>
        </w:rPr>
        <w:t>For example, HIPAA, as amended by HITECH, imposes requirements relating to the privacy and security of individually identifiable health information on health plans, healthcare clearinghouses and certain healthcare providers, and their respective contractors and their covered subcontractors that perform services for them involving individually identifiable health information. Additionally, certain states have adopted healthcare privacy and security laws and regulations comparable to HIPAA, some of which may be more stringent than HIPAA. In the event we fail to properly maintain the privacy and security of individually identifiable health information governed by HIPAA or comparable state laws, or we are responsible for an unauthorized disclosure or security breach of such information, we could be subject to enforcement action under HIPAA or comparable state laws, civil and criminal penalties, and fines.</w:t>
      </w:r>
    </w:p>
    <w:p>
      <w:pPr>
        <w:spacing w:after="0" w:line="195" w:lineRule="exact"/>
        <w:rPr>
          <w:sz w:val="20"/>
          <w:szCs w:val="20"/>
          <w:color w:val="auto"/>
        </w:rPr>
      </w:pPr>
    </w:p>
    <w:p>
      <w:pPr>
        <w:ind w:firstLine="1175"/>
        <w:spacing w:after="0" w:line="290" w:lineRule="auto"/>
        <w:rPr>
          <w:sz w:val="20"/>
          <w:szCs w:val="20"/>
          <w:color w:val="auto"/>
        </w:rPr>
      </w:pPr>
      <w:r>
        <w:rPr>
          <w:rFonts w:ascii="Arial" w:cs="Arial" w:eastAsia="Arial" w:hAnsi="Arial"/>
          <w:sz w:val="16"/>
          <w:szCs w:val="16"/>
          <w:color w:val="auto"/>
        </w:rPr>
        <w:t>We are also subject to a growing body of privacy, data security and data protection laws outside of the United States. For example, the EU has adopted the GDPR, which went into effect in May 2018 and introduced strict requirements for processing personal data. Among other obligations under the GDPR, we are required to give more detailed disclosures about how we collect, use and share personal data; contractually commit to data protection measures in our contracts with clients; maintain adequate data security measures; notify regulators and affected individuals of certain personal data breaches; meet extensive privacy governance and documentation requirements; and honor individuals’ expanded data protection rights, including their rights to access, correct and delete their personal data. The processing of sensitive personal data, such as health data information, may impose heightened compliance burdens under the GDPR and is a subject of active interest among regulators. Companies that violate the GDPR can face private litigation, regulatory enforcement action, prohibitions on data processing and fines of up to the greater of 20 million Euros or 4% of their worldwide annual revenue.</w:t>
      </w:r>
    </w:p>
    <w:p>
      <w:pPr>
        <w:spacing w:after="0" w:line="165" w:lineRule="exact"/>
        <w:rPr>
          <w:sz w:val="20"/>
          <w:szCs w:val="20"/>
          <w:color w:val="auto"/>
        </w:rPr>
      </w:pPr>
    </w:p>
    <w:p>
      <w:pPr>
        <w:ind w:right="20" w:firstLine="1175"/>
        <w:spacing w:after="0" w:line="285" w:lineRule="auto"/>
        <w:rPr>
          <w:sz w:val="20"/>
          <w:szCs w:val="20"/>
          <w:color w:val="auto"/>
        </w:rPr>
      </w:pPr>
      <w:r>
        <w:rPr>
          <w:rFonts w:ascii="Arial" w:cs="Arial" w:eastAsia="Arial" w:hAnsi="Arial"/>
          <w:sz w:val="16"/>
          <w:szCs w:val="16"/>
          <w:color w:val="auto"/>
        </w:rPr>
        <w:t>European data protection laws, including the GDPR, generally restrict the transfer of personal data from Europe, including the European Economic Area, United Kingdom and Switzerland, to the United States and most other countries unless the parties to the transfer have implemented specific safeguards to protect the transferred personal data. Historically, to comply with these restrictions, we have generally relied on the Standard Contractual Clauses for personal data transfers approved by the European Commission. However, a July 2020 decision of the EU’s highest court called into question whether the Standard Contractual Clauses can lawfully be used for transfers of personal data from the EU to the United States and most other non-EU countries. Authorities in Switzerland may similarly question the viability of the Standard Contractual Clauses as a mechanism for the lawful transfer of personal data from those countries to the United States or other countries. Furthermore, it is unclear whether transfer of personal data from the European Union to the United Kingdom will remain lawful after the post-Brexit transition period ends on December 31, 2020 and what if any compliance mechanisms will be available for such transfers, as negotiations between the United Kingdom and the European Union are expected to continue in relation to the customs and trading relationship between the United Kingdom and the European Union following the expiry of the transition period. If we are unable to lawfully transfer personal data from Europe via the Standard Contractual clauses or an alternative mechanism, we will face increased exposure to regulatory actions, substantial fines, and injunctions against processing personal information from Europe, and we may be required to increase our data processing capabilities in Europe at significant expense. Inability to import personal information from Europe may also restrict our clinical trials activities in Europe and limit our ability to collaborate with contract research organizations, service providers, contractors and other companies subject to European data protection laws. Additionally, other countries outside of Europe have enacted or are considering enacting similar cross-border data transfer restrictions and laws requiring local data residency, which could increase the cost and complexity of operating our business.</w:t>
      </w:r>
    </w:p>
    <w:p>
      <w:pPr>
        <w:spacing w:after="0" w:line="176" w:lineRule="exact"/>
        <w:rPr>
          <w:sz w:val="20"/>
          <w:szCs w:val="20"/>
          <w:color w:val="auto"/>
        </w:rPr>
      </w:pPr>
    </w:p>
    <w:p>
      <w:pPr>
        <w:ind w:right="120" w:firstLine="1175"/>
        <w:spacing w:after="0" w:line="270" w:lineRule="auto"/>
        <w:rPr>
          <w:sz w:val="20"/>
          <w:szCs w:val="20"/>
          <w:color w:val="auto"/>
        </w:rPr>
      </w:pPr>
      <w:r>
        <w:rPr>
          <w:rFonts w:ascii="Arial" w:cs="Arial" w:eastAsia="Arial" w:hAnsi="Arial"/>
          <w:sz w:val="17"/>
          <w:szCs w:val="17"/>
          <w:color w:val="auto"/>
        </w:rPr>
        <w:t>Domestic privacy and data security laws beyond HIPAA and other healthcare privacy laws are also changing rapidly and becoming more complex. For example, California recently enacted the CCPA, which took effect on January 1, 2020. The CCPA gives California residents expanded rights to access and delete their personal information, opt-out of certain personal information sharing, and receive detailed information about how their personal information is used, among others. The CCPA also requires covered businesses to provide detailed privacy notices to California residents and respond to requests from California residents to exercise their rights under the CCPA to access, delete and opt-out of certain sharing of personal information. The CCPA provides for civil penalties for violations, as well as a private right of action for data breaches that is expected to increase data breach litigation. Although there are limited exemptions for clinical trial data, the CCPA may increase our compliance costs and potential liability. Some observers have noted that the CCPA could mark the beginning of a trend toward more stringent privacy legislation in the U.S. The CCPA has prompted a number of proposals for new federal and state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6" w:name="page87"/>
    <w:bookmarkEnd w:id="86"/>
    <w:p>
      <w:pPr>
        <w:ind w:right="260"/>
        <w:spacing w:after="0" w:line="277" w:lineRule="auto"/>
        <w:rPr>
          <w:sz w:val="20"/>
          <w:szCs w:val="20"/>
          <w:color w:val="auto"/>
        </w:rPr>
      </w:pPr>
      <w:r>
        <w:rPr>
          <w:rFonts w:ascii="Arial" w:cs="Arial" w:eastAsia="Arial" w:hAnsi="Arial"/>
          <w:sz w:val="18"/>
          <w:szCs w:val="18"/>
          <w:color w:val="auto"/>
        </w:rPr>
        <w:t>privacy legislation, including a ballot measure that would substantially expand the CCPA. If passed, this legislation could increase our potential liability, increase our compliance costs and adversely affect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170" w:lineRule="exact"/>
        <w:rPr>
          <w:sz w:val="20"/>
          <w:szCs w:val="20"/>
          <w:color w:val="auto"/>
        </w:rPr>
      </w:pPr>
    </w:p>
    <w:p>
      <w:pPr>
        <w:ind w:right="40" w:firstLine="1175"/>
        <w:spacing w:after="0" w:line="273" w:lineRule="auto"/>
        <w:rPr>
          <w:sz w:val="20"/>
          <w:szCs w:val="20"/>
          <w:color w:val="auto"/>
        </w:rPr>
      </w:pPr>
      <w:r>
        <w:rPr>
          <w:rFonts w:ascii="Arial" w:cs="Arial" w:eastAsia="Arial" w:hAnsi="Arial"/>
          <w:sz w:val="17"/>
          <w:szCs w:val="17"/>
          <w:color w:val="auto"/>
        </w:rPr>
        <w:t>We rely upon a combination of patents, trademarks, trade secret protection and confidentiality agreements to protect the intellectual property related to our vaccine development programs and vaccine candidates. Our success depends in large part on our ability to obtain and maintain patent protection in the United States and other countries with respect to VAX-24 and any future vaccine candidates, as well as methods of making our vaccine candidates and components thereof. We seek to protect our proprietary position by filing patent applications in the United States and abroad related to our development programs and vaccine candidates. The patent prosecution process is expensive and time-consuming, and we may not be able to file and prosecute all necessary or desirable patent applications at a reasonable cost or in a timely manner.</w:t>
      </w:r>
    </w:p>
    <w:p>
      <w:pPr>
        <w:spacing w:after="0" w:line="178" w:lineRule="exact"/>
        <w:rPr>
          <w:sz w:val="20"/>
          <w:szCs w:val="20"/>
          <w:color w:val="auto"/>
        </w:rPr>
      </w:pPr>
    </w:p>
    <w:p>
      <w:pPr>
        <w:ind w:right="20" w:firstLine="1175"/>
        <w:spacing w:after="0" w:line="271" w:lineRule="auto"/>
        <w:rPr>
          <w:sz w:val="20"/>
          <w:szCs w:val="20"/>
          <w:color w:val="auto"/>
        </w:rPr>
      </w:pPr>
      <w:r>
        <w:rPr>
          <w:rFonts w:ascii="Arial" w:cs="Arial" w:eastAsia="Arial" w:hAnsi="Arial"/>
          <w:sz w:val="17"/>
          <w:szCs w:val="17"/>
          <w:color w:val="auto"/>
        </w:rPr>
        <w:t>The patents and patent applications that we own or in-license may fail to result in issued patents with claims that protect VAX-24 or any future vaccine candidate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VAX-24 or any future vaccine candidate,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vaccine candidates or companion diagnostic that we may develop. Further, if we encounter delays in regulatory approvals, the period of time during which we could market a vaccine candidate under patent protection could be reduced.</w:t>
      </w:r>
    </w:p>
    <w:p>
      <w:pPr>
        <w:spacing w:after="0" w:line="178" w:lineRule="exact"/>
        <w:rPr>
          <w:sz w:val="20"/>
          <w:szCs w:val="20"/>
          <w:color w:val="auto"/>
        </w:rPr>
      </w:pPr>
    </w:p>
    <w:p>
      <w:pPr>
        <w:ind w:firstLine="1175"/>
        <w:spacing w:after="0" w:line="259" w:lineRule="auto"/>
        <w:rPr>
          <w:sz w:val="20"/>
          <w:szCs w:val="20"/>
          <w:color w:val="auto"/>
        </w:rPr>
      </w:pPr>
      <w:r>
        <w:rPr>
          <w:rFonts w:ascii="Arial" w:cs="Arial" w:eastAsia="Arial" w:hAnsi="Arial"/>
          <w:sz w:val="18"/>
          <w:szCs w:val="18"/>
          <w:color w:val="auto"/>
        </w:rPr>
        <w:t>If the patent applications we hold or have in-licensed with respect to our development programs and vaccine candidates fail to issue, if their breadth or strength of protection is threatened, or if they fail to provide meaningful exclusivity for VAX-24 or any future vaccine candidate, it could dissuade companies from collaborating with us to develop vaccine candidates and threaten our ability to commercialize future vaccines. Any such outcome could have a materially adverse effect on our business.</w:t>
      </w:r>
    </w:p>
    <w:p>
      <w:pPr>
        <w:spacing w:after="0" w:line="187" w:lineRule="exact"/>
        <w:rPr>
          <w:sz w:val="20"/>
          <w:szCs w:val="20"/>
          <w:color w:val="auto"/>
        </w:rPr>
      </w:pPr>
    </w:p>
    <w:p>
      <w:pPr>
        <w:ind w:right="20" w:firstLine="1175"/>
        <w:spacing w:after="0" w:line="288"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been and will continue to be the subject of litigation and new legislation. In addition, the laws of foreign countries may not protect our rights to the same extent as the laws of the United States. For example, many countries restrict the patentability of methods of treatment of the human body. 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of these and other factors,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8" w:lineRule="exact"/>
        <w:rPr>
          <w:sz w:val="20"/>
          <w:szCs w:val="20"/>
          <w:color w:val="auto"/>
        </w:rPr>
      </w:pPr>
    </w:p>
    <w:p>
      <w:pPr>
        <w:ind w:right="80" w:firstLine="1175"/>
        <w:spacing w:after="0" w:line="255" w:lineRule="auto"/>
        <w:rPr>
          <w:sz w:val="20"/>
          <w:szCs w:val="20"/>
          <w:color w:val="auto"/>
        </w:rPr>
      </w:pPr>
      <w:r>
        <w:rPr>
          <w:rFonts w:ascii="Arial" w:cs="Arial" w:eastAsia="Arial" w:hAnsi="Arial"/>
          <w:sz w:val="18"/>
          <w:szCs w:val="18"/>
          <w:color w:val="auto"/>
        </w:rPr>
        <w:t>Moreover, we may be subject to a third-party pre-issuance submission of prior art to the U.S. Patent and Trademark Office, or the USPTO, or become involved in opposition, derivation, reexamination, inter partes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7" w:name="page88"/>
    <w:bookmarkEnd w:id="87"/>
    <w:p>
      <w:pPr>
        <w:jc w:val="both"/>
        <w:ind w:right="20"/>
        <w:spacing w:after="0" w:line="263" w:lineRule="auto"/>
        <w:rPr>
          <w:sz w:val="20"/>
          <w:szCs w:val="20"/>
          <w:color w:val="auto"/>
        </w:rPr>
      </w:pPr>
      <w:r>
        <w:rPr>
          <w:rFonts w:ascii="Arial" w:cs="Arial" w:eastAsia="Arial" w:hAnsi="Arial"/>
          <w:sz w:val="18"/>
          <w:szCs w:val="18"/>
          <w:color w:val="auto"/>
        </w:rPr>
        <w:t>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vaccine candidates.</w:t>
      </w:r>
    </w:p>
    <w:p>
      <w:pPr>
        <w:spacing w:after="0" w:line="184" w:lineRule="exact"/>
        <w:rPr>
          <w:sz w:val="20"/>
          <w:szCs w:val="20"/>
          <w:color w:val="auto"/>
        </w:rPr>
      </w:pPr>
    </w:p>
    <w:p>
      <w:pPr>
        <w:ind w:firstLine="1175"/>
        <w:spacing w:after="0" w:line="269"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our current or future vaccine candidates, we may be open to competition from generic versions of such products. Given the amount of time required for the development, testing and regulatory review of new vaccine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vaccine candidates.</w:t>
      </w:r>
    </w:p>
    <w:p>
      <w:pPr>
        <w:spacing w:after="0" w:line="170" w:lineRule="exact"/>
        <w:rPr>
          <w:sz w:val="20"/>
          <w:szCs w:val="20"/>
          <w:color w:val="auto"/>
        </w:rPr>
      </w:pPr>
    </w:p>
    <w:p>
      <w:pPr>
        <w:ind w:right="60" w:firstLine="1175"/>
        <w:spacing w:after="0" w:line="270" w:lineRule="auto"/>
        <w:rPr>
          <w:sz w:val="20"/>
          <w:szCs w:val="20"/>
          <w:color w:val="auto"/>
        </w:rPr>
      </w:pPr>
      <w:r>
        <w:rPr>
          <w:rFonts w:ascii="Arial" w:cs="Arial" w:eastAsia="Arial" w:hAnsi="Arial"/>
          <w:sz w:val="17"/>
          <w:szCs w:val="17"/>
          <w:color w:val="auto"/>
        </w:rPr>
        <w:t>We have licensed certain intellectual property rights related to the XpressCF platform, components of our PCV candidates, and methods of making components of VAX-24 from Sutro Biopharma and University of Georgia Research Foundation, Inc. We also license certain intellectual property rights related to a non-cross reactive Group A Strep carbohydrate antigen and related methods of production from the Regents of the University of California. If, for any reason, these agreements are terminated or we otherwise lose those rights, it could adversely affect our business. These agreements impose, and any future collaboration agreements or license agreements we enter into are likely to impose, various development, commercialization, funding, milestone, royalty, diligence, sublicensing, insurance, patent prosecution and enforcement or other obligations on us. If we breach any material obligations, or use the intellectual property licensed to us in an unauthorized manner, we may be required to pay damages and the licensor(s) may have the right to terminate the license, which could result in us being unable to develop, manufacture and sell products that are covered by the licensed technology or enable a competitor to gain access to the licensed technology.</w:t>
      </w:r>
    </w:p>
    <w:p>
      <w:pPr>
        <w:spacing w:after="0" w:line="181"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right="100" w:firstLine="1175"/>
        <w:spacing w:after="0" w:line="289" w:lineRule="auto"/>
        <w:rPr>
          <w:sz w:val="20"/>
          <w:szCs w:val="20"/>
          <w:color w:val="auto"/>
        </w:rPr>
      </w:pPr>
      <w:r>
        <w:rPr>
          <w:rFonts w:ascii="Arial" w:cs="Arial" w:eastAsia="Arial" w:hAnsi="Arial"/>
          <w:sz w:val="16"/>
          <w:szCs w:val="16"/>
          <w:color w:val="auto"/>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the patents and patent applications covering VAX-24 or any future vaccine candidate, or the XpressCF platform, our competitors might be able to enter the market, which would have an adverse effect on our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8" w:name="page89"/>
    <w:bookmarkEnd w:id="88"/>
    <w:p>
      <w:pPr>
        <w:ind w:right="300"/>
        <w:spacing w:after="0" w:line="308" w:lineRule="auto"/>
        <w:rPr>
          <w:sz w:val="20"/>
          <w:szCs w:val="20"/>
          <w:color w:val="auto"/>
        </w:rPr>
      </w:pPr>
      <w:r>
        <w:rPr>
          <w:rFonts w:ascii="Arial" w:cs="Arial" w:eastAsia="Arial" w:hAnsi="Arial"/>
          <w:sz w:val="17"/>
          <w:szCs w:val="17"/>
          <w:b w:val="1"/>
          <w:bCs w:val="1"/>
          <w:i w:val="1"/>
          <w:iCs w:val="1"/>
          <w:color w:val="auto"/>
        </w:rPr>
        <w:t>Third-party claims or litigation alleging infringement of patents or other proprietary rights, or seeking to invalidate our patents or other proprietary rights, may delay or prevent the development and commercialization of VAX-24 and any future vaccine candidate.</w:t>
      </w:r>
    </w:p>
    <w:p>
      <w:pPr>
        <w:spacing w:after="0" w:line="146" w:lineRule="exact"/>
        <w:rPr>
          <w:sz w:val="20"/>
          <w:szCs w:val="20"/>
          <w:color w:val="auto"/>
        </w:rPr>
      </w:pPr>
    </w:p>
    <w:p>
      <w:pPr>
        <w:ind w:right="220" w:firstLine="1175"/>
        <w:spacing w:after="0" w:line="270" w:lineRule="auto"/>
        <w:rPr>
          <w:sz w:val="20"/>
          <w:szCs w:val="20"/>
          <w:color w:val="auto"/>
        </w:rPr>
      </w:pPr>
      <w:r>
        <w:rPr>
          <w:rFonts w:ascii="Arial" w:cs="Arial" w:eastAsia="Arial" w:hAnsi="Arial"/>
          <w:sz w:val="17"/>
          <w:szCs w:val="17"/>
          <w:color w:val="auto"/>
        </w:rPr>
        <w:t>Our commercial success depends in part on our avoiding infringement and other violations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Numerous U.S. and foreign issued patents and pending patent applications, which are owned by third parties, exist in the fields in which we and our collaborators are developing vaccine candidates. As the biotechnology and pharmaceutical industries expand and more patents are issued, and as we gain greater visibility and market exposure as a public company, the risk increases that our vaccine candidates or other business activities may be subject to claims of infringement of the patent and other proprietary rights of third parties. Third parties may assert that we are infringing their patents or employing their proprietary technology without authorization.</w:t>
      </w:r>
    </w:p>
    <w:p>
      <w:pPr>
        <w:spacing w:after="0" w:line="181" w:lineRule="exact"/>
        <w:rPr>
          <w:sz w:val="20"/>
          <w:szCs w:val="20"/>
          <w:color w:val="auto"/>
        </w:rPr>
      </w:pPr>
    </w:p>
    <w:p>
      <w:pPr>
        <w:ind w:right="20" w:firstLine="1175"/>
        <w:spacing w:after="0" w:line="263" w:lineRule="auto"/>
        <w:rPr>
          <w:sz w:val="20"/>
          <w:szCs w:val="20"/>
          <w:color w:val="auto"/>
        </w:rPr>
      </w:pPr>
      <w:r>
        <w:rPr>
          <w:rFonts w:ascii="Arial" w:cs="Arial" w:eastAsia="Arial" w:hAnsi="Arial"/>
          <w:sz w:val="18"/>
          <w:szCs w:val="18"/>
          <w:color w:val="auto"/>
        </w:rPr>
        <w:t>Also, there may be third-party patents or patent applications with claims to materials, formulations, methods of manufacture or methods for treatment related to the use or manufacture of our vaccine candidates. Because patent applications can take many years to issue, there may be currently pending patent applications which may later result in issued patents that our vaccine candidates may infringe.</w:t>
      </w:r>
    </w:p>
    <w:p>
      <w:pPr>
        <w:spacing w:after="0" w:line="184" w:lineRule="exact"/>
        <w:rPr>
          <w:sz w:val="20"/>
          <w:szCs w:val="20"/>
          <w:color w:val="auto"/>
        </w:rPr>
      </w:pPr>
    </w:p>
    <w:p>
      <w:pPr>
        <w:ind w:firstLine="1175"/>
        <w:spacing w:after="0" w:line="269" w:lineRule="auto"/>
        <w:rPr>
          <w:sz w:val="20"/>
          <w:szCs w:val="20"/>
          <w:color w:val="auto"/>
        </w:rPr>
      </w:pPr>
      <w:r>
        <w:rPr>
          <w:rFonts w:ascii="Arial" w:cs="Arial" w:eastAsia="Arial" w:hAnsi="Arial"/>
          <w:sz w:val="17"/>
          <w:szCs w:val="17"/>
          <w:color w:val="auto"/>
        </w:rPr>
        <w:t>In addition, third parties may obtain patent rights in the future and claim that use of our technologies infringes upon rights. If any third-party patents were held by a court of competent jurisdiction to cover the manufacturing process of any of our vaccine candidates, any molecules formed during the manufacturing process or any final product itself, the holders of any such patents may be able to block our ability to commercialize such vaccine candidate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the applicable vaccine candidate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185" w:lineRule="exact"/>
        <w:rPr>
          <w:sz w:val="20"/>
          <w:szCs w:val="20"/>
          <w:color w:val="auto"/>
        </w:rPr>
      </w:pPr>
    </w:p>
    <w:p>
      <w:pPr>
        <w:ind w:firstLine="1175"/>
        <w:spacing w:after="0" w:line="293"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vaccine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w:t>
      </w:r>
    </w:p>
    <w:p>
      <w:pPr>
        <w:spacing w:after="0" w:line="164" w:lineRule="exact"/>
        <w:rPr>
          <w:sz w:val="20"/>
          <w:szCs w:val="20"/>
          <w:color w:val="auto"/>
        </w:rPr>
      </w:pPr>
    </w:p>
    <w:p>
      <w:pPr>
        <w:ind w:right="120" w:firstLine="1175"/>
        <w:spacing w:after="0" w:line="273" w:lineRule="auto"/>
        <w:rPr>
          <w:sz w:val="20"/>
          <w:szCs w:val="20"/>
          <w:color w:val="auto"/>
        </w:rPr>
      </w:pPr>
      <w:r>
        <w:rPr>
          <w:rFonts w:ascii="Arial" w:cs="Arial" w:eastAsia="Arial" w:hAnsi="Arial"/>
          <w:sz w:val="17"/>
          <w:szCs w:val="17"/>
          <w:color w:val="auto"/>
        </w:rPr>
        <w:t>Furthermore, as the vaccine patent landscape is crowded and highly competitive, even in the absence of litigation we may need to obtain licenses from third parties to advance our research or allow commercialization of our vaccine candidates, and we have done so from time to time. We may fail to obtain any of these licenses at a reasonable cost or on reasonable terms, if at all. In that event, we would be unable to further develop and commercialize one or more of our vaccine candidates, which could harm our business significantly. We cannot provide any assurances that third-party patents do not exist which might be enforced against vaccine candidates resulting in either an injunction prohibiting our sales, or, with respect to our sales, an obligation on our part to pay royalties or other forms of compensation to third parties.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9" w:name="page90"/>
    <w:bookmarkEnd w:id="89"/>
    <w:p>
      <w:pPr>
        <w:ind w:right="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our other intellectual property rights, which could be expensive, time consuming and unsuccessful.</w:t>
      </w:r>
    </w:p>
    <w:p>
      <w:pPr>
        <w:spacing w:after="0" w:line="170" w:lineRule="exact"/>
        <w:rPr>
          <w:sz w:val="20"/>
          <w:szCs w:val="20"/>
          <w:color w:val="auto"/>
        </w:rPr>
      </w:pPr>
    </w:p>
    <w:p>
      <w:pPr>
        <w:ind w:firstLine="1175"/>
        <w:spacing w:after="0" w:line="267" w:lineRule="auto"/>
        <w:rPr>
          <w:sz w:val="20"/>
          <w:szCs w:val="20"/>
          <w:color w:val="auto"/>
        </w:rPr>
      </w:pPr>
      <w:r>
        <w:rPr>
          <w:rFonts w:ascii="Arial" w:cs="Arial" w:eastAsia="Arial" w:hAnsi="Arial"/>
          <w:sz w:val="17"/>
          <w:szCs w:val="17"/>
          <w:color w:val="auto"/>
        </w:rPr>
        <w:t>Competitors may infringe or otherwise violate our patents, the patents of our licensors or our other intellectual property rights. To counter infringement or unauthorized use, we may be required to file legal claims, which can be expensive and time-consuming.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 claims against us such as claims asserting that our patents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vaccine candidates. Such a loss of patent protection could harm our business.</w:t>
      </w:r>
    </w:p>
    <w:p>
      <w:pPr>
        <w:spacing w:after="0" w:line="191" w:lineRule="exact"/>
        <w:rPr>
          <w:sz w:val="20"/>
          <w:szCs w:val="20"/>
          <w:color w:val="auto"/>
        </w:rPr>
      </w:pPr>
    </w:p>
    <w:p>
      <w:pPr>
        <w:ind w:right="60" w:firstLine="1175"/>
        <w:spacing w:after="0" w:line="259" w:lineRule="auto"/>
        <w:rPr>
          <w:sz w:val="20"/>
          <w:szCs w:val="20"/>
          <w:color w:val="auto"/>
        </w:rPr>
      </w:pPr>
      <w:r>
        <w:rPr>
          <w:rFonts w:ascii="Arial" w:cs="Arial" w:eastAsia="Arial" w:hAnsi="Arial"/>
          <w:sz w:val="18"/>
          <w:szCs w:val="18"/>
          <w:color w:val="auto"/>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187" w:lineRule="exact"/>
        <w:rPr>
          <w:sz w:val="20"/>
          <w:szCs w:val="20"/>
          <w:color w:val="auto"/>
        </w:rPr>
      </w:pPr>
    </w:p>
    <w:p>
      <w:pPr>
        <w:ind w:right="100" w:firstLine="1175"/>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170" w:lineRule="exact"/>
        <w:rPr>
          <w:sz w:val="20"/>
          <w:szCs w:val="20"/>
          <w:color w:val="auto"/>
        </w:rPr>
      </w:pPr>
    </w:p>
    <w:p>
      <w:pPr>
        <w:ind w:right="40" w:firstLine="1175"/>
        <w:spacing w:after="0" w:line="271" w:lineRule="auto"/>
        <w:rPr>
          <w:sz w:val="20"/>
          <w:szCs w:val="20"/>
          <w:color w:val="auto"/>
        </w:rPr>
      </w:pPr>
      <w:r>
        <w:rPr>
          <w:rFonts w:ascii="Arial" w:cs="Arial" w:eastAsia="Arial" w:hAnsi="Arial"/>
          <w:sz w:val="17"/>
          <w:szCs w:val="17"/>
          <w:color w:val="auto"/>
        </w:rPr>
        <w:t>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225" w:lineRule="exact"/>
        <w:rPr>
          <w:sz w:val="20"/>
          <w:szCs w:val="20"/>
          <w:color w:val="auto"/>
        </w:rPr>
      </w:pPr>
    </w:p>
    <w:p>
      <w:pPr>
        <w:ind w:right="140" w:firstLine="1175"/>
        <w:spacing w:after="0" w:line="254" w:lineRule="auto"/>
        <w:rPr>
          <w:sz w:val="20"/>
          <w:szCs w:val="20"/>
          <w:color w:val="auto"/>
        </w:rPr>
      </w:pPr>
      <w:r>
        <w:rPr>
          <w:rFonts w:ascii="Arial" w:cs="Arial" w:eastAsia="Arial" w:hAnsi="Arial"/>
          <w:sz w:val="18"/>
          <w:szCs w:val="18"/>
          <w:color w:val="auto"/>
        </w:rPr>
        <w:t>We expect to rely on trademarks as one means to distinguish any of our vaccine candidates that are approved for marketing from the products of our competitors. We have not yet selected trademarks for our vaccine candidates and have not yet begun the process of applying to register trademarks for our current or any future vaccine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95" w:lineRule="exact"/>
        <w:rPr>
          <w:sz w:val="20"/>
          <w:szCs w:val="20"/>
          <w:color w:val="auto"/>
        </w:rPr>
      </w:pPr>
    </w:p>
    <w:p>
      <w:pPr>
        <w:ind w:right="40" w:firstLine="1175"/>
        <w:spacing w:after="0" w:line="275" w:lineRule="auto"/>
        <w:rPr>
          <w:sz w:val="20"/>
          <w:szCs w:val="20"/>
          <w:color w:val="auto"/>
        </w:rPr>
      </w:pPr>
      <w:r>
        <w:rPr>
          <w:rFonts w:ascii="Arial" w:cs="Arial" w:eastAsia="Arial" w:hAnsi="Arial"/>
          <w:sz w:val="17"/>
          <w:szCs w:val="17"/>
          <w:color w:val="auto"/>
        </w:rPr>
        <w:t>In addition, any proprietary name we propose to use with our current or any other vaccine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 which could impair our business.</w:t>
      </w:r>
    </w:p>
    <w:p>
      <w:pPr>
        <w:spacing w:after="0" w:line="225" w:lineRule="exact"/>
        <w:rPr>
          <w:sz w:val="20"/>
          <w:szCs w:val="20"/>
          <w:color w:val="auto"/>
        </w:rPr>
      </w:pPr>
    </w:p>
    <w:p>
      <w:pPr>
        <w:ind w:right="120" w:firstLine="1175"/>
        <w:spacing w:after="0" w:line="296" w:lineRule="auto"/>
        <w:rPr>
          <w:sz w:val="20"/>
          <w:szCs w:val="20"/>
          <w:color w:val="auto"/>
        </w:rPr>
      </w:pPr>
      <w:r>
        <w:rPr>
          <w:rFonts w:ascii="Arial" w:cs="Arial" w:eastAsia="Arial" w:hAnsi="Arial"/>
          <w:sz w:val="16"/>
          <w:szCs w:val="16"/>
          <w:color w:val="auto"/>
        </w:rPr>
        <w:t>Filing, prosecuting and defending patents covering our current vaccine candidates and any future vaccine candidate throughout the world would be prohibitively expensive. Competitors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70" w:lineRule="exact"/>
        <w:rPr>
          <w:sz w:val="20"/>
          <w:szCs w:val="20"/>
          <w:color w:val="auto"/>
        </w:rPr>
      </w:pPr>
    </w:p>
    <w:p>
      <w:pPr>
        <w:ind w:firstLine="1175"/>
        <w:spacing w:after="0" w:line="269" w:lineRule="auto"/>
        <w:rPr>
          <w:sz w:val="20"/>
          <w:szCs w:val="20"/>
          <w:color w:val="auto"/>
        </w:rPr>
      </w:pPr>
      <w:r>
        <w:rPr>
          <w:rFonts w:ascii="Arial" w:cs="Arial" w:eastAsia="Arial" w:hAnsi="Arial"/>
          <w:sz w:val="17"/>
          <w:szCs w:val="17"/>
          <w:color w:val="auto"/>
        </w:rPr>
        <w:t>Because we expect to rely on third parties to manufacture VAX-24 and any future vaccine candidates, and we expect to collaborate with third parties on the development of VAX-24 and any future vaccine candidates, we must, at times, share trade secrets with them. We also conduct joint research and development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 Further, disputes may arise under these agreements regarding inventorship or ownership of proprietary information generated during research and development.</w:t>
      </w:r>
    </w:p>
    <w:p>
      <w:pPr>
        <w:spacing w:after="0" w:line="179" w:lineRule="exact"/>
        <w:rPr>
          <w:sz w:val="20"/>
          <w:szCs w:val="20"/>
          <w:color w:val="auto"/>
        </w:rPr>
      </w:pPr>
    </w:p>
    <w:p>
      <w:pPr>
        <w:ind w:firstLine="1175"/>
        <w:spacing w:after="0" w:line="257" w:lineRule="auto"/>
        <w:rPr>
          <w:sz w:val="20"/>
          <w:szCs w:val="20"/>
          <w:color w:val="auto"/>
        </w:rPr>
      </w:pPr>
      <w:r>
        <w:rPr>
          <w:rFonts w:ascii="Arial" w:cs="Arial" w:eastAsia="Arial" w:hAnsi="Arial"/>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1" w:name="page92"/>
    <w:bookmarkEnd w:id="91"/>
    <w:p>
      <w:pPr>
        <w:ind w:right="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170" w:lineRule="exact"/>
        <w:rPr>
          <w:sz w:val="20"/>
          <w:szCs w:val="20"/>
          <w:color w:val="auto"/>
        </w:rPr>
      </w:pPr>
    </w:p>
    <w:p>
      <w:pPr>
        <w:ind w:firstLine="1175"/>
        <w:spacing w:after="0" w:line="290" w:lineRule="auto"/>
        <w:rPr>
          <w:sz w:val="20"/>
          <w:szCs w:val="20"/>
          <w:color w:val="auto"/>
        </w:rPr>
      </w:pPr>
      <w:r>
        <w:rPr>
          <w:rFonts w:ascii="Arial" w:cs="Arial" w:eastAsia="Arial" w:hAnsi="Arial"/>
          <w:sz w:val="16"/>
          <w:szCs w:val="16"/>
          <w:color w:val="auto"/>
        </w:rPr>
        <w:t>We employ individuals who were previously employed at other biotechnology or pharmaceutical companies.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the value of our common stock may decline.</w:t>
      </w:r>
    </w:p>
    <w:p>
      <w:pPr>
        <w:spacing w:after="0" w:line="225" w:lineRule="exact"/>
        <w:rPr>
          <w:sz w:val="20"/>
          <w:szCs w:val="20"/>
          <w:color w:val="auto"/>
        </w:rPr>
      </w:pPr>
    </w:p>
    <w:p>
      <w:pPr>
        <w:ind w:right="20" w:firstLine="1175"/>
        <w:spacing w:after="0" w:line="259" w:lineRule="auto"/>
        <w:rPr>
          <w:sz w:val="20"/>
          <w:szCs w:val="20"/>
          <w:color w:val="auto"/>
        </w:rPr>
      </w:pPr>
      <w:r>
        <w:rPr>
          <w:rFonts w:ascii="Arial" w:cs="Arial" w:eastAsia="Arial" w:hAnsi="Arial"/>
          <w:sz w:val="18"/>
          <w:szCs w:val="18"/>
          <w:color w:val="auto"/>
        </w:rPr>
        <w:t>The market price of our common stock may be highly volatile and could be subject to wide fluctuations in response to various factors, some of which are beyond our control, including limited trading volume. In particular, the COVID-19 pandemic has further heightened the volatility of the stock market for biopharmaceutical companies. In addition to the factors discussed in this “Risk Factors” section and elsewhere in this Annual Report on Form 10-K, these factors include:</w:t>
      </w:r>
    </w:p>
    <w:p>
      <w:pPr>
        <w:spacing w:after="0" w:line="187" w:lineRule="exact"/>
        <w:rPr>
          <w:sz w:val="20"/>
          <w:szCs w:val="20"/>
          <w:color w:val="auto"/>
        </w:rPr>
      </w:pPr>
    </w:p>
    <w:p>
      <w:pPr>
        <w:ind w:left="1620" w:right="120" w:hanging="438"/>
        <w:spacing w:after="0" w:line="277"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commencement, enrollment or results of our planned or future preclinical studies or clinical trials of our vaccine candidates and those of our competitors;</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abroad;</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success of competitive vaccines or technologies;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level of expenses related to our vaccine candidates or preclinical and clinical development programs;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results of our efforts to develop additional vaccine candidates;</w:t>
      </w:r>
    </w:p>
    <w:p>
      <w:pPr>
        <w:spacing w:after="0" w:line="252" w:lineRule="exact"/>
        <w:rPr>
          <w:rFonts w:ascii="Arial" w:cs="Arial" w:eastAsia="Arial" w:hAnsi="Arial"/>
          <w:sz w:val="18"/>
          <w:szCs w:val="18"/>
          <w:color w:val="auto"/>
        </w:rPr>
      </w:pPr>
    </w:p>
    <w:p>
      <w:pPr>
        <w:ind w:left="1620" w:right="80" w:hanging="438"/>
        <w:spacing w:after="0" w:line="277"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or reports by securities analysts;</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level of expenses and capital investment related to manufacturing our vaccine candidates;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inability to obtain or delays in obtaining adequate supply for any approved vaccine candidate;</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perceived to be similar to us;</w:t>
      </w:r>
    </w:p>
    <w:p>
      <w:pPr>
        <w:spacing w:after="0" w:line="252" w:lineRule="exact"/>
        <w:rPr>
          <w:rFonts w:ascii="Arial" w:cs="Arial" w:eastAsia="Arial" w:hAnsi="Arial"/>
          <w:sz w:val="18"/>
          <w:szCs w:val="18"/>
          <w:color w:val="auto"/>
        </w:rPr>
      </w:pPr>
    </w:p>
    <w:p>
      <w:pPr>
        <w:ind w:left="5540" w:right="100" w:hanging="4358"/>
        <w:spacing w:after="0" w:line="559"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including coverage and adequate reimbursement for any approved vaccine;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92" w:name="page93"/>
    <w:bookmarkEnd w:id="92"/>
    <w:p>
      <w:pPr>
        <w:ind w:left="1620" w:right="200" w:hanging="438"/>
        <w:spacing w:after="0" w:line="277"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overall fluctuations in the financial markets in the United States and abroad; and</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w:t>
      </w:r>
    </w:p>
    <w:p>
      <w:pPr>
        <w:spacing w:after="0" w:line="252" w:lineRule="exact"/>
        <w:rPr>
          <w:sz w:val="20"/>
          <w:szCs w:val="20"/>
          <w:color w:val="auto"/>
        </w:rPr>
      </w:pPr>
    </w:p>
    <w:p>
      <w:pPr>
        <w:ind w:right="60" w:firstLine="1175"/>
        <w:spacing w:after="0" w:line="253" w:lineRule="auto"/>
        <w:rPr>
          <w:sz w:val="20"/>
          <w:szCs w:val="20"/>
          <w:color w:val="auto"/>
        </w:rPr>
      </w:pPr>
      <w:r>
        <w:rPr>
          <w:rFonts w:ascii="Arial" w:cs="Arial" w:eastAsia="Arial" w:hAnsi="Arial"/>
          <w:sz w:val="18"/>
          <w:szCs w:val="18"/>
          <w:color w:val="auto"/>
        </w:rPr>
        <w:t>In addition, the stock market in general, and the Nasdaq Global Select Market and biopharmaceutical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225" w:lineRule="exact"/>
        <w:rPr>
          <w:sz w:val="20"/>
          <w:szCs w:val="20"/>
          <w:color w:val="auto"/>
        </w:rPr>
      </w:pPr>
    </w:p>
    <w:p>
      <w:pPr>
        <w:ind w:right="60" w:firstLine="1175"/>
        <w:spacing w:after="0" w:line="263"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ind w:firstLine="1175"/>
        <w:spacing w:after="0" w:line="275" w:lineRule="auto"/>
        <w:rPr>
          <w:sz w:val="20"/>
          <w:szCs w:val="20"/>
          <w:color w:val="auto"/>
        </w:rPr>
      </w:pPr>
      <w:r>
        <w:rPr>
          <w:rFonts w:ascii="Arial" w:cs="Arial" w:eastAsia="Arial" w:hAnsi="Arial"/>
          <w:sz w:val="17"/>
          <w:szCs w:val="17"/>
          <w:color w:val="auto"/>
        </w:rPr>
        <w:t>Our executive officers, directors and 5% stockholders beneficially own approximately 74% of our common stock as of December 31, 2020. Accordingly, these stockholders have the ability to influence us through this ownership position and significantly affect the outcome of all matters requiring stockholder approval. For example, these stockholders may be able to significantly affect the outcome of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76"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as defined in the Jumpstart Our Business Startups Act, or JOBS Act, and we cannot be certain if the reduced reporting requirements applicable to emerging growth companies will make our common stock less attractive to investors.</w:t>
      </w:r>
    </w:p>
    <w:p>
      <w:pPr>
        <w:spacing w:after="0" w:line="124" w:lineRule="exact"/>
        <w:rPr>
          <w:sz w:val="20"/>
          <w:szCs w:val="20"/>
          <w:color w:val="auto"/>
        </w:rPr>
      </w:pPr>
    </w:p>
    <w:p>
      <w:pPr>
        <w:ind w:right="120" w:firstLine="1175"/>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170" w:lineRule="exact"/>
        <w:rPr>
          <w:sz w:val="20"/>
          <w:szCs w:val="20"/>
          <w:color w:val="auto"/>
        </w:rPr>
      </w:pPr>
    </w:p>
    <w:p>
      <w:pPr>
        <w:ind w:left="1620" w:right="280" w:hanging="438"/>
        <w:spacing w:after="0" w:line="342" w:lineRule="auto"/>
        <w:tabs>
          <w:tab w:leader="none" w:pos="1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123" w:lineRule="exact"/>
        <w:rPr>
          <w:rFonts w:ascii="Arial" w:cs="Arial" w:eastAsia="Arial" w:hAnsi="Arial"/>
          <w:sz w:val="16"/>
          <w:szCs w:val="16"/>
          <w:color w:val="auto"/>
        </w:rPr>
      </w:pPr>
    </w:p>
    <w:p>
      <w:pPr>
        <w:ind w:left="1620" w:right="40" w:hanging="438"/>
        <w:spacing w:after="0" w:line="257"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Wall Street Reform and Protection Act, or the Dodd-Frank Act, and some of the disclosure requirements of the Dodd-Frank Act relating to compensation of our chief executive officer;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3" w:name="page94"/>
    <w:bookmarkEnd w:id="93"/>
    <w:p>
      <w:pPr>
        <w:ind w:left="1620" w:right="160" w:hanging="438"/>
        <w:spacing w:after="0" w:line="263" w:lineRule="auto"/>
        <w:tabs>
          <w:tab w:leader="none" w:pos="1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w:t>
      </w:r>
    </w:p>
    <w:p>
      <w:pPr>
        <w:spacing w:after="0" w:line="184" w:lineRule="exact"/>
        <w:rPr>
          <w:sz w:val="20"/>
          <w:szCs w:val="20"/>
          <w:color w:val="auto"/>
        </w:rPr>
      </w:pPr>
    </w:p>
    <w:p>
      <w:pPr>
        <w:ind w:right="420" w:firstLine="1175"/>
        <w:spacing w:after="0" w:line="296" w:lineRule="auto"/>
        <w:rPr>
          <w:sz w:val="20"/>
          <w:szCs w:val="20"/>
          <w:color w:val="auto"/>
        </w:rPr>
      </w:pPr>
      <w:r>
        <w:rPr>
          <w:rFonts w:ascii="Arial" w:cs="Arial" w:eastAsia="Arial" w:hAnsi="Arial"/>
          <w:sz w:val="16"/>
          <w:szCs w:val="16"/>
          <w:color w:val="auto"/>
        </w:rPr>
        <w:t>Because our independent registered public accounting firm is not required to provide an attestation report on the effectiveness of our internal control over financial reporting so long as we qualify as an “emerging growth company,” the risk that material weaknesses or significant deficiencies in our internal control over financial reporting go undetected may be increased. Likewise, our election not to provide certain information, including certain financial information and certain information regarding compensation of our executive officers, that we would otherwise have been required to provide in filings we make with the SEC, may make it more difficult for investors and securities analysts to evaluate our company.</w:t>
      </w:r>
    </w:p>
    <w:p>
      <w:pPr>
        <w:spacing w:after="0" w:line="161" w:lineRule="exact"/>
        <w:rPr>
          <w:sz w:val="20"/>
          <w:szCs w:val="20"/>
          <w:color w:val="auto"/>
        </w:rPr>
      </w:pPr>
    </w:p>
    <w:p>
      <w:pPr>
        <w:ind w:firstLine="1175"/>
        <w:spacing w:after="0" w:line="257"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which in certain circumstances could be for up to five years. We will cease to be an “emerging growth company” upon the earliest of: (i) December 31, 2025; (ii) the last day of the first fiscal year in which our annual gross revenue is $1.07 billion or more; (iii) the date on which we have, during the previous rolling three-year period, issued more than $1 billion in non-convertible debt securities; and (iv) the date on which we are deemed to be a “large accelerated filer” as defined in the Exchange Act.</w:t>
      </w:r>
    </w:p>
    <w:p>
      <w:pPr>
        <w:spacing w:after="0" w:line="188" w:lineRule="exact"/>
        <w:rPr>
          <w:sz w:val="20"/>
          <w:szCs w:val="20"/>
          <w:color w:val="auto"/>
        </w:rPr>
      </w:pPr>
    </w:p>
    <w:p>
      <w:pPr>
        <w:ind w:right="20" w:firstLine="1175"/>
        <w:spacing w:after="0" w:line="255"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take advantage of many of the same exemptions from disclosure requirements, including not being required to comply for a period of time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92" w:lineRule="exact"/>
        <w:rPr>
          <w:sz w:val="20"/>
          <w:szCs w:val="20"/>
          <w:color w:val="auto"/>
        </w:rPr>
      </w:pPr>
    </w:p>
    <w:p>
      <w:pPr>
        <w:ind w:right="60" w:firstLine="1175"/>
        <w:spacing w:after="0" w:line="296"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this extended transition period for complying with certain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public company, we are subject to more stringent federal and state law requirements.</w:t>
      </w:r>
    </w:p>
    <w:p>
      <w:pPr>
        <w:spacing w:after="0" w:line="225" w:lineRule="exact"/>
        <w:rPr>
          <w:sz w:val="20"/>
          <w:szCs w:val="20"/>
          <w:color w:val="auto"/>
        </w:rPr>
      </w:pPr>
    </w:p>
    <w:p>
      <w:pPr>
        <w:jc w:val="both"/>
        <w:ind w:right="160" w:firstLine="1175"/>
        <w:spacing w:after="0" w:line="301"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Wall Street Reform and Consumer Protection Act, the listing requirements of The Nasdaq Stock Market LLC, or Nasdaq, and other applicable securities rules and regulations. Despite reforms made possible by the JOBS Act, as a public company we will incur significant legal, accounting and other expenses that we did not incur as a private company, which we expect to further increase after we are no longer an emerging growth company.</w:t>
      </w:r>
    </w:p>
    <w:p>
      <w:pPr>
        <w:spacing w:after="0" w:line="157" w:lineRule="exact"/>
        <w:rPr>
          <w:sz w:val="20"/>
          <w:szCs w:val="20"/>
          <w:color w:val="auto"/>
        </w:rPr>
      </w:pPr>
    </w:p>
    <w:p>
      <w:pPr>
        <w:ind w:right="60" w:firstLine="1175"/>
        <w:spacing w:after="0" w:line="273" w:lineRule="auto"/>
        <w:rPr>
          <w:sz w:val="20"/>
          <w:szCs w:val="20"/>
          <w:color w:val="auto"/>
        </w:rPr>
      </w:pPr>
      <w:r>
        <w:rPr>
          <w:rFonts w:ascii="Arial" w:cs="Arial" w:eastAsia="Arial" w:hAnsi="Arial"/>
          <w:sz w:val="17"/>
          <w:szCs w:val="17"/>
          <w:color w:val="auto"/>
        </w:rPr>
        <w:t>We are also subject to more stringent state law requirements. For example, on September 30, 2018, California Governor Jerry Brown signed into law Senator Bill 826, or SB 826, which generally requires public companies with principal executive offices in California to have a minimum number of females on the company’s board of directors. As of December 31, 2019, each public company with principal executive offices in California is required to have at least one female on its board of directors. By December 31, 2021, each public company will be required to have at least two females on its board of directors if the company has at least five directors, and at least three females on its board of directors if the company has at least six directors. SB 826 does not provide a transition period for newly listed companies.</w:t>
      </w:r>
    </w:p>
    <w:p>
      <w:pPr>
        <w:spacing w:after="0" w:line="178" w:lineRule="exact"/>
        <w:rPr>
          <w:sz w:val="20"/>
          <w:szCs w:val="20"/>
          <w:color w:val="auto"/>
        </w:rPr>
      </w:pPr>
    </w:p>
    <w:p>
      <w:pPr>
        <w:ind w:right="20" w:firstLine="1175"/>
        <w:spacing w:after="0" w:line="277" w:lineRule="auto"/>
        <w:rPr>
          <w:sz w:val="20"/>
          <w:szCs w:val="20"/>
          <w:color w:val="auto"/>
        </w:rPr>
      </w:pPr>
      <w:r>
        <w:rPr>
          <w:rFonts w:ascii="Arial" w:cs="Arial" w:eastAsia="Arial" w:hAnsi="Arial"/>
          <w:sz w:val="18"/>
          <w:szCs w:val="18"/>
          <w:color w:val="auto"/>
        </w:rPr>
        <w:t>Additionally, on September 30, 2020, California Governor Gavin Newsom signed into law Assembly Bill 979, or AB 979, which generally requires public companies with principal executive offices in California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4" w:name="page95"/>
    <w:bookmarkEnd w:id="94"/>
    <w:p>
      <w:pPr>
        <w:spacing w:after="0" w:line="293" w:lineRule="auto"/>
        <w:rPr>
          <w:sz w:val="20"/>
          <w:szCs w:val="20"/>
          <w:color w:val="auto"/>
        </w:rPr>
      </w:pPr>
      <w:r>
        <w:rPr>
          <w:rFonts w:ascii="Arial" w:cs="Arial" w:eastAsia="Arial" w:hAnsi="Arial"/>
          <w:sz w:val="16"/>
          <w:szCs w:val="16"/>
          <w:color w:val="auto"/>
        </w:rPr>
        <w:t>include specified numbers of directors from “underrepresented communities.” A director from an “underrepresented community” means a director who self-identifies as Black, African American, Hispanic, Latino, Asian, Pacific Islander, Native American, Native Hawaiian, Alaska Native, gay, lesbian, bisexual, or transgender. By December 31, 2021, each public company with principal executive offices in California is required to have at least one director from an underrepresented community. By December 31, 2022, a public company with more than four but fewer than nine directors will be required to have a minimum of two directors from underrepresented communities, and a public company with nine or more directors will need to have a minimum of three directors from underrepresented communities. Similar to SB 826, AB 979 does not provide a transition period for newly listed companies.</w:t>
      </w:r>
    </w:p>
    <w:p>
      <w:pPr>
        <w:spacing w:after="0" w:line="164" w:lineRule="exact"/>
        <w:rPr>
          <w:sz w:val="20"/>
          <w:szCs w:val="20"/>
          <w:color w:val="auto"/>
        </w:rPr>
      </w:pPr>
    </w:p>
    <w:p>
      <w:pPr>
        <w:ind w:firstLine="1175"/>
        <w:spacing w:after="0" w:line="277" w:lineRule="auto"/>
        <w:rPr>
          <w:sz w:val="20"/>
          <w:szCs w:val="20"/>
          <w:color w:val="auto"/>
        </w:rPr>
      </w:pPr>
      <w:r>
        <w:rPr>
          <w:rFonts w:ascii="Arial" w:cs="Arial" w:eastAsia="Arial" w:hAnsi="Arial"/>
          <w:sz w:val="18"/>
          <w:szCs w:val="18"/>
          <w:color w:val="auto"/>
        </w:rPr>
        <w:t>If we fail to comply with either SB 826 or AB 979, we could be fined by the California Secretary of State, with a $100,000 fine for the first violation and a $300,000 fine for each subsequent violation of either law, and our reputation may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a substantial number of shares of our common stock, or the perception that such sales could occur, could cause our stock price to fall.</w:t>
      </w:r>
    </w:p>
    <w:p>
      <w:pPr>
        <w:spacing w:after="0" w:line="260" w:lineRule="exact"/>
        <w:rPr>
          <w:sz w:val="20"/>
          <w:szCs w:val="20"/>
          <w:color w:val="auto"/>
        </w:rPr>
      </w:pPr>
    </w:p>
    <w:p>
      <w:pPr>
        <w:ind w:right="80" w:firstLine="1175"/>
        <w:spacing w:after="0" w:line="269" w:lineRule="auto"/>
        <w:rPr>
          <w:sz w:val="20"/>
          <w:szCs w:val="20"/>
          <w:color w:val="auto"/>
        </w:rPr>
      </w:pPr>
      <w:r>
        <w:rPr>
          <w:rFonts w:ascii="Arial" w:cs="Arial" w:eastAsia="Arial" w:hAnsi="Arial"/>
          <w:sz w:val="17"/>
          <w:szCs w:val="17"/>
          <w:color w:val="auto"/>
        </w:rPr>
        <w:t>As of December 31, 2020, we had 51,071,593 shares of common stock outstanding. Substantially all of such shares are eligible for sale in the public market. In addition, upon issuance, shares of common stock subject to outstanding options under our stock option plans will become eligible for sale in the public market in the future, subject to certain legal and contractual limitations. Moreover, holders of up to an aggregate of 28,610,337 shares of our common stock have the right to require us to register these shares under the Securities Act of 1933, as amended, or the Securities Act, pursuant to an investors’ rights agreement. Sales of a substantial number of shares of our common stock in the public market, or the public’s perception that such sales could occur, could have an adverse effect on the market price of our common stock. In addition, for the three months ended December 31, 2020, the average daily trading volume for our common stock on the Nasdaq Global Select Market was 239,138 shares. As a result of the low trading volume of our common stock, the trading of relatively small quantities of shares by our stockholders could disproportionately influence the market price of our common stock in either direction. The price for our shares could, for example, decline significantly in the event that a large number of shares of our common stock are sold on the market without commensurate demand, as compared to an issuer with a higher trading volume that could better absorb those sales without an adverse impact on its stock price.</w:t>
      </w:r>
    </w:p>
    <w:p>
      <w:pPr>
        <w:spacing w:after="0" w:line="1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70" w:lineRule="exact"/>
        <w:rPr>
          <w:sz w:val="20"/>
          <w:szCs w:val="20"/>
          <w:color w:val="auto"/>
        </w:rPr>
      </w:pPr>
    </w:p>
    <w:p>
      <w:pPr>
        <w:ind w:right="100" w:firstLine="1175"/>
        <w:spacing w:after="0" w:line="293"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64" w:lineRule="exact"/>
        <w:rPr>
          <w:sz w:val="20"/>
          <w:szCs w:val="20"/>
          <w:color w:val="auto"/>
        </w:rPr>
      </w:pPr>
    </w:p>
    <w:p>
      <w:pPr>
        <w:ind w:left="1620" w:hanging="438"/>
        <w:spacing w:after="0"/>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52" w:lineRule="exact"/>
        <w:rPr>
          <w:rFonts w:ascii="Arial" w:cs="Arial" w:eastAsia="Arial" w:hAnsi="Arial"/>
          <w:sz w:val="18"/>
          <w:szCs w:val="18"/>
          <w:color w:val="auto"/>
        </w:rPr>
      </w:pPr>
    </w:p>
    <w:p>
      <w:pPr>
        <w:ind w:left="1620" w:right="60" w:hanging="438"/>
        <w:spacing w:after="0" w:line="27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70" w:lineRule="exact"/>
        <w:rPr>
          <w:rFonts w:ascii="Arial" w:cs="Arial" w:eastAsia="Arial" w:hAnsi="Arial"/>
          <w:sz w:val="18"/>
          <w:szCs w:val="18"/>
          <w:color w:val="auto"/>
        </w:rPr>
      </w:pPr>
    </w:p>
    <w:p>
      <w:pPr>
        <w:ind w:left="1620" w:right="300" w:hanging="438"/>
        <w:spacing w:after="0" w:line="27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5" w:name="page96"/>
    <w:bookmarkEnd w:id="95"/>
    <w:p>
      <w:pPr>
        <w:ind w:left="1620" w:hanging="438"/>
        <w:spacing w:after="0"/>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prohibit our stockholders from calling a special meeting of our stockholders;</w:t>
      </w:r>
    </w:p>
    <w:p>
      <w:pPr>
        <w:spacing w:after="0" w:line="252" w:lineRule="exact"/>
        <w:rPr>
          <w:rFonts w:ascii="Arial" w:cs="Arial" w:eastAsia="Arial" w:hAnsi="Arial"/>
          <w:sz w:val="18"/>
          <w:szCs w:val="18"/>
          <w:color w:val="auto"/>
        </w:rPr>
      </w:pPr>
    </w:p>
    <w:p>
      <w:pPr>
        <w:ind w:left="1620" w:right="80" w:hanging="438"/>
        <w:spacing w:after="0" w:line="263"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183" w:lineRule="exact"/>
        <w:rPr>
          <w:rFonts w:ascii="Arial" w:cs="Arial" w:eastAsia="Arial" w:hAnsi="Arial"/>
          <w:sz w:val="18"/>
          <w:szCs w:val="18"/>
          <w:color w:val="auto"/>
        </w:rPr>
      </w:pPr>
    </w:p>
    <w:p>
      <w:pPr>
        <w:ind w:left="1620" w:right="400" w:hanging="438"/>
        <w:spacing w:after="0" w:line="277"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require the approval of the holders of at least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votes that all our stockholders would be entitled to cast to amend or repeal certain provisions of our charter or bylaws.</w:t>
      </w:r>
    </w:p>
    <w:p>
      <w:pPr>
        <w:spacing w:after="0" w:line="170" w:lineRule="exact"/>
        <w:rPr>
          <w:sz w:val="20"/>
          <w:szCs w:val="20"/>
          <w:color w:val="auto"/>
        </w:rPr>
      </w:pPr>
    </w:p>
    <w:p>
      <w:pPr>
        <w:ind w:right="100" w:firstLine="1175"/>
        <w:spacing w:after="0" w:line="254"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9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70" w:lineRule="exact"/>
        <w:rPr>
          <w:sz w:val="20"/>
          <w:szCs w:val="20"/>
          <w:color w:val="auto"/>
        </w:rPr>
      </w:pPr>
    </w:p>
    <w:p>
      <w:pPr>
        <w:ind w:firstLine="1175"/>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 Delaware law provides that directors of a corporation will not be personally liable for monetary damages for any breach of fiduciary duties as directors, except liability for:</w:t>
      </w:r>
    </w:p>
    <w:p>
      <w:pPr>
        <w:spacing w:after="0" w:line="184" w:lineRule="exact"/>
        <w:rPr>
          <w:sz w:val="20"/>
          <w:szCs w:val="20"/>
          <w:color w:val="auto"/>
        </w:rPr>
      </w:pPr>
    </w:p>
    <w:p>
      <w:pPr>
        <w:ind w:left="1620" w:hanging="438"/>
        <w:spacing w:after="0"/>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52" w:lineRule="exact"/>
        <w:rPr>
          <w:sz w:val="20"/>
          <w:szCs w:val="20"/>
          <w:color w:val="auto"/>
        </w:rPr>
      </w:pPr>
    </w:p>
    <w:p>
      <w:pPr>
        <w:ind w:right="80" w:firstLine="1175"/>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ind w:right="140" w:firstLine="1175"/>
        <w:spacing w:after="0" w:line="289" w:lineRule="auto"/>
        <w:rPr>
          <w:sz w:val="20"/>
          <w:szCs w:val="20"/>
          <w:color w:val="auto"/>
        </w:rPr>
      </w:pPr>
      <w:r>
        <w:rPr>
          <w:rFonts w:ascii="Arial" w:cs="Arial" w:eastAsia="Arial" w:hAnsi="Arial"/>
          <w:sz w:val="16"/>
          <w:szCs w:val="16"/>
          <w:color w:val="auto"/>
        </w:rPr>
        <w:t>Our amended and restated bylaws provide that we are required to indemnify our directors and officers to the fullest extent permitted by Delaware law and may indemnify our other employees and agents. Our amended and restated bylaws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bylaws provisions and indemnification agreements are necessary to attract and retain qualified persons as directors and officers.</w:t>
      </w:r>
    </w:p>
    <w:p>
      <w:pPr>
        <w:spacing w:after="0" w:line="166" w:lineRule="exact"/>
        <w:rPr>
          <w:sz w:val="20"/>
          <w:szCs w:val="20"/>
          <w:color w:val="auto"/>
        </w:rPr>
      </w:pPr>
    </w:p>
    <w:p>
      <w:pPr>
        <w:ind w:right="20" w:firstLine="1175"/>
        <w:spacing w:after="0" w:line="277" w:lineRule="auto"/>
        <w:rPr>
          <w:sz w:val="20"/>
          <w:szCs w:val="20"/>
          <w:color w:val="auto"/>
        </w:rPr>
      </w:pPr>
      <w:r>
        <w:rPr>
          <w:rFonts w:ascii="Arial" w:cs="Arial" w:eastAsia="Arial" w:hAnsi="Arial"/>
          <w:sz w:val="18"/>
          <w:szCs w:val="18"/>
          <w:color w:val="auto"/>
        </w:rPr>
        <w:t>While we maintain directors’ and officers’ liability insurance, such insurance may not be adequate to cover all liabilities that we may incur, which may reduce our available funds to satisfy third-party claims and may adversely impact our cash position.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6" w:name="page97"/>
    <w:bookmarkEnd w:id="96"/>
    <w:p>
      <w:pPr>
        <w:jc w:val="both"/>
        <w:ind w:right="100"/>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will, to the fullest extent permitted by applicable law, be the exclusive forum for substantially all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ind w:firstLine="1175"/>
        <w:spacing w:after="0" w:line="259"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(or, in the event that the Court of Chancery does not have jurisdiction, the federal district court for the District of Delaware or other state courts of the State of Delaware), to the fullest extent permitted by applicable law, is the exclusive forum for the following types of actions or proceedings under Delaware statutory or common law:</w:t>
      </w:r>
    </w:p>
    <w:p>
      <w:pPr>
        <w:spacing w:after="0" w:line="187" w:lineRule="exact"/>
        <w:rPr>
          <w:sz w:val="20"/>
          <w:szCs w:val="20"/>
          <w:color w:val="auto"/>
        </w:rPr>
      </w:pPr>
    </w:p>
    <w:p>
      <w:pPr>
        <w:ind w:left="1620" w:hanging="438"/>
        <w:spacing w:after="0"/>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52" w:lineRule="exact"/>
        <w:rPr>
          <w:rFonts w:ascii="Arial" w:cs="Arial" w:eastAsia="Arial" w:hAnsi="Arial"/>
          <w:sz w:val="18"/>
          <w:szCs w:val="18"/>
          <w:color w:val="auto"/>
        </w:rPr>
      </w:pPr>
    </w:p>
    <w:p>
      <w:pPr>
        <w:ind w:left="1620" w:right="240" w:hanging="438"/>
        <w:spacing w:after="0" w:line="277"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or proceeding asserting a claim of breach of a fiduciary duty owed by any of our current or former directors, officers or other employees to us or our stockholders;</w:t>
      </w:r>
    </w:p>
    <w:p>
      <w:pPr>
        <w:spacing w:after="0" w:line="170" w:lineRule="exact"/>
        <w:rPr>
          <w:rFonts w:ascii="Arial" w:cs="Arial" w:eastAsia="Arial" w:hAnsi="Arial"/>
          <w:sz w:val="18"/>
          <w:szCs w:val="18"/>
          <w:color w:val="auto"/>
        </w:rPr>
      </w:pPr>
    </w:p>
    <w:p>
      <w:pPr>
        <w:ind w:left="1620" w:right="240" w:hanging="438"/>
        <w:spacing w:after="0" w:line="277"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or proceeding asserting a claim against us or any of our current or former directors, officers or other employees, arising out of or pursuant to any provision of the DGCL, our certificate of incorporation or our bylaws;</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action or proceeding to interpret, apply, enforce or determine the validity of our certificate of incorporation or our bylaws; and</w:t>
      </w:r>
    </w:p>
    <w:p>
      <w:pPr>
        <w:spacing w:after="0" w:line="275" w:lineRule="exact"/>
        <w:rPr>
          <w:rFonts w:ascii="Arial" w:cs="Arial" w:eastAsia="Arial" w:hAnsi="Arial"/>
          <w:sz w:val="16"/>
          <w:szCs w:val="16"/>
          <w:color w:val="auto"/>
        </w:rPr>
      </w:pPr>
    </w:p>
    <w:p>
      <w:pPr>
        <w:ind w:left="1620" w:right="260" w:hanging="438"/>
        <w:spacing w:after="0" w:line="277"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or proceeding asserting a claim against us by any of our directors, officers or other employees governed by the internal affairs doctrine.</w:t>
      </w:r>
    </w:p>
    <w:p>
      <w:pPr>
        <w:spacing w:after="0" w:line="170" w:lineRule="exact"/>
        <w:rPr>
          <w:sz w:val="20"/>
          <w:szCs w:val="20"/>
          <w:color w:val="auto"/>
        </w:rPr>
      </w:pPr>
    </w:p>
    <w:p>
      <w:pPr>
        <w:ind w:right="80" w:firstLine="1175"/>
        <w:spacing w:after="0" w:line="289"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6" w:lineRule="exact"/>
        <w:rPr>
          <w:sz w:val="20"/>
          <w:szCs w:val="20"/>
          <w:color w:val="auto"/>
        </w:rPr>
      </w:pPr>
    </w:p>
    <w:p>
      <w:pPr>
        <w:ind w:right="180" w:firstLine="1175"/>
        <w:spacing w:after="0" w:line="259"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these types of lawsuits.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vaccine candidates.</w:t>
      </w:r>
    </w:p>
    <w:p>
      <w:pPr>
        <w:spacing w:after="0" w:line="170" w:lineRule="exact"/>
        <w:rPr>
          <w:sz w:val="20"/>
          <w:szCs w:val="20"/>
          <w:color w:val="auto"/>
        </w:rPr>
      </w:pPr>
    </w:p>
    <w:p>
      <w:pPr>
        <w:ind w:right="60" w:firstLine="1175"/>
        <w:spacing w:after="0" w:line="275"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7" w:name="page98"/>
    <w:bookmarkEnd w:id="97"/>
    <w:p>
      <w:pPr>
        <w:spacing w:after="0" w:line="263" w:lineRule="auto"/>
        <w:rPr>
          <w:sz w:val="20"/>
          <w:szCs w:val="20"/>
          <w:color w:val="auto"/>
        </w:rPr>
      </w:pPr>
      <w:r>
        <w:rPr>
          <w:rFonts w:ascii="Arial" w:cs="Arial" w:eastAsia="Arial" w:hAnsi="Arial"/>
          <w:sz w:val="18"/>
          <w:szCs w:val="18"/>
          <w:color w:val="auto"/>
        </w:rPr>
        <w:t>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vaccine candidates, or grant licenses on terms unfavorable to us.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237" w:lineRule="exact"/>
        <w:rPr>
          <w:sz w:val="20"/>
          <w:szCs w:val="20"/>
          <w:color w:val="auto"/>
        </w:rPr>
      </w:pPr>
    </w:p>
    <w:p>
      <w:pPr>
        <w:ind w:right="120" w:firstLine="1175"/>
        <w:spacing w:after="0" w:line="269" w:lineRule="auto"/>
        <w:rPr>
          <w:sz w:val="20"/>
          <w:szCs w:val="20"/>
          <w:color w:val="auto"/>
        </w:rPr>
      </w:pPr>
      <w:r>
        <w:rPr>
          <w:rFonts w:ascii="Arial" w:cs="Arial" w:eastAsia="Arial" w:hAnsi="Arial"/>
          <w:sz w:val="17"/>
          <w:szCs w:val="17"/>
          <w:color w:val="auto"/>
        </w:rPr>
        <w:t>The global credit and financial markets have experienced extreme volatility and disruptions in the past several years, including most recently as a result of the COVID-19 pandemic. Such volatility and disruptions have caused and may continue to cause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225" w:lineRule="exact"/>
        <w:rPr>
          <w:sz w:val="20"/>
          <w:szCs w:val="20"/>
          <w:color w:val="auto"/>
        </w:rPr>
      </w:pPr>
    </w:p>
    <w:p>
      <w:pPr>
        <w:ind w:right="40" w:firstLine="1175"/>
        <w:spacing w:after="0" w:line="301" w:lineRule="auto"/>
        <w:rPr>
          <w:sz w:val="20"/>
          <w:szCs w:val="20"/>
          <w:color w:val="auto"/>
        </w:rPr>
      </w:pPr>
      <w:r>
        <w:rPr>
          <w:rFonts w:ascii="Arial" w:cs="Arial" w:eastAsia="Arial" w:hAnsi="Arial"/>
          <w:sz w:val="16"/>
          <w:szCs w:val="16"/>
          <w:color w:val="auto"/>
        </w:rPr>
        <w:t>Our common stock is currently listed on the Nasdaq Global Select Market under the symbol “PCVX.” However, we cannot assure you that an active trading market for our shares will develop or be sustained. You may not be able to sell your shares quickly or at the market price if trading in shares of our common stock is not active.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condition and results of operations may fluctuate from quarter to quarter and year to year, which makes them difficult to predict.</w:t>
      </w:r>
    </w:p>
    <w:p>
      <w:pPr>
        <w:spacing w:after="0" w:line="248" w:lineRule="exact"/>
        <w:rPr>
          <w:sz w:val="20"/>
          <w:szCs w:val="20"/>
          <w:color w:val="auto"/>
        </w:rPr>
      </w:pPr>
    </w:p>
    <w:p>
      <w:pPr>
        <w:ind w:right="140" w:firstLine="1175"/>
        <w:spacing w:after="0" w:line="263" w:lineRule="auto"/>
        <w:rPr>
          <w:sz w:val="20"/>
          <w:szCs w:val="20"/>
          <w:color w:val="auto"/>
        </w:rPr>
      </w:pPr>
      <w:r>
        <w:rPr>
          <w:rFonts w:ascii="Arial" w:cs="Arial" w:eastAsia="Arial" w:hAnsi="Arial"/>
          <w:sz w:val="18"/>
          <w:szCs w:val="18"/>
          <w:color w:val="auto"/>
        </w:rPr>
        <w:t>We expect our financial condition and results of operations to fluctuate from quarter to quarter and year to year due to a variety of factors, many of which are beyond our control. Accordingly, you should not rely upon the results of any quarterly or annual periods as indications of future operating performance.</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170" w:lineRule="exact"/>
        <w:rPr>
          <w:sz w:val="20"/>
          <w:szCs w:val="20"/>
          <w:color w:val="auto"/>
        </w:rPr>
      </w:pPr>
    </w:p>
    <w:p>
      <w:pPr>
        <w:ind w:right="140" w:firstLine="1175"/>
        <w:spacing w:after="0" w:line="289"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investor relations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Stockholder activism, the current political environment and the current high level of U.S. government intervention and regulatory reform may also lead to substantial new regulations and disclosure obligations, which may in turn lead to additional compliance costs and impact the manner in which we operate our business in ways we do not currently anticipate. Our management and other personnel will need to devote a substantial amount of time to comply with these requirements. Moreover, these requirements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8" w:name="page99"/>
    <w:bookmarkEnd w:id="98"/>
    <w:p>
      <w:pPr>
        <w:ind w:right="38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00" w:lineRule="exact"/>
        <w:rPr>
          <w:sz w:val="20"/>
          <w:szCs w:val="20"/>
          <w:color w:val="auto"/>
        </w:rPr>
      </w:pPr>
    </w:p>
    <w:p>
      <w:pPr>
        <w:ind w:firstLine="1175"/>
        <w:spacing w:after="0" w:line="288" w:lineRule="auto"/>
        <w:rPr>
          <w:sz w:val="20"/>
          <w:szCs w:val="20"/>
          <w:color w:val="auto"/>
        </w:rPr>
      </w:pPr>
      <w:r>
        <w:rPr>
          <w:rFonts w:ascii="Arial" w:cs="Arial" w:eastAsia="Arial" w:hAnsi="Arial"/>
          <w:sz w:val="16"/>
          <w:szCs w:val="16"/>
          <w:color w:val="auto"/>
        </w:rPr>
        <w:t>Pursuant to Section 404 of the Sarbanes-Oxley Act, we are required to furnish a report by management related to the internal control over financial reporting in our Form 10-K for the year ending December 31, 2021 and, when we are no longer an emerging growth company, we will be required to include an attestation report on internal control over financial reporting issued by our independent registered public accounting firm. The rules governing the standards that must be met for management to assess our internal control over financial reporting are complex and require significant documentation, testing and possible remediation. To comply with the Sarbanes-Oxley Act, the requirements of being a reporting company under the Exchange Act and any complex accounting rules in the future, we may need to upgrade our information technology systems, implement additional financial and management controls, reporting systems and procedures, and hire additional accounting and finance staff. We are currently in the process of hiring additional accounting and finance staff as we grow our business. If we are unable to hire the additional accounting and finance staff necessary to comply with these requirements, we may need to retain additional outside consultants. If we or, if required, our auditors, are unable to conclude that our internal control over financial reporting is effective, investors may lose confidence in our financial reporting and the trading price of our common stock may decline.</w:t>
      </w:r>
    </w:p>
    <w:p>
      <w:pPr>
        <w:spacing w:after="0" w:line="168" w:lineRule="exact"/>
        <w:rPr>
          <w:sz w:val="20"/>
          <w:szCs w:val="20"/>
          <w:color w:val="auto"/>
        </w:rPr>
      </w:pPr>
    </w:p>
    <w:p>
      <w:pPr>
        <w:ind w:right="40" w:firstLine="1175"/>
        <w:spacing w:after="0" w:line="291" w:lineRule="auto"/>
        <w:rPr>
          <w:sz w:val="20"/>
          <w:szCs w:val="20"/>
          <w:color w:val="auto"/>
        </w:rPr>
      </w:pPr>
      <w:r>
        <w:rPr>
          <w:rFonts w:ascii="Arial" w:cs="Arial" w:eastAsia="Arial" w:hAnsi="Arial"/>
          <w:sz w:val="16"/>
          <w:szCs w:val="16"/>
          <w:color w:val="auto"/>
        </w:rPr>
        <w:t>There can be no assurance that there will not be material weaknesses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that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ind w:right="220" w:firstLine="1175"/>
        <w:spacing w:after="0" w:line="279"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jc w:val="both"/>
        <w:ind w:right="320" w:firstLine="1175"/>
        <w:spacing w:after="0" w:line="301" w:lineRule="auto"/>
        <w:rPr>
          <w:sz w:val="20"/>
          <w:szCs w:val="20"/>
          <w:color w:val="auto"/>
        </w:rPr>
      </w:pPr>
      <w:r>
        <w:rPr>
          <w:rFonts w:ascii="Arial" w:cs="Arial" w:eastAsia="Arial" w:hAnsi="Arial"/>
          <w:sz w:val="16"/>
          <w:szCs w:val="16"/>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57" w:lineRule="exact"/>
        <w:rPr>
          <w:sz w:val="20"/>
          <w:szCs w:val="20"/>
          <w:color w:val="auto"/>
        </w:rPr>
      </w:pPr>
    </w:p>
    <w:p>
      <w:pPr>
        <w:ind w:right="40" w:firstLine="1175"/>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9" w:name="page100"/>
    <w:bookmarkEnd w:id="99"/>
    <w:p>
      <w:pPr>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firstLine="1175"/>
        <w:spacing w:after="0" w:line="296"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We do not have control over these analysts. If securities or industry analysts do not publish research or reports about our business, the trading price for our stock would likely be negatively impacted.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0" w:name="page101"/>
    <w:bookmarkEnd w:id="100"/>
    <w:p>
      <w:pPr>
        <w:jc w:val="center"/>
        <w:ind w:right="8300"/>
        <w:spacing w:after="0"/>
        <w:rPr>
          <w:sz w:val="20"/>
          <w:szCs w:val="20"/>
          <w:color w:val="auto"/>
        </w:rPr>
      </w:pPr>
      <w:r>
        <w:rPr>
          <w:rFonts w:ascii="Arial" w:cs="Arial" w:eastAsia="Arial" w:hAnsi="Arial"/>
          <w:sz w:val="16"/>
          <w:szCs w:val="16"/>
          <w:b w:val="1"/>
          <w:bCs w:val="1"/>
          <w:color w:val="auto"/>
        </w:rPr>
        <w:t>Item 1B. Unresolved Staff Comments.</w:t>
      </w:r>
    </w:p>
    <w:p>
      <w:pPr>
        <w:spacing w:after="0" w:line="25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firstLine="1175"/>
        <w:spacing w:after="0" w:line="272" w:lineRule="auto"/>
        <w:rPr>
          <w:sz w:val="20"/>
          <w:szCs w:val="20"/>
          <w:color w:val="auto"/>
        </w:rPr>
      </w:pPr>
      <w:r>
        <w:rPr>
          <w:rFonts w:ascii="Arial" w:cs="Arial" w:eastAsia="Arial" w:hAnsi="Arial"/>
          <w:sz w:val="17"/>
          <w:szCs w:val="17"/>
          <w:color w:val="auto"/>
        </w:rPr>
        <w:t>Our corporate headquarters and secondary space are located in Foster City, California, where we currently lease approximately 22,000 square feet of office and laboratory space. We use our corporate headquarters primarily for corporate, research, development, regulatory, manufacturing and quality functions. Our primary lease for this facility expires in March 2022, and our secondary space lease expires in April 2022. In January 2021, we entered into a lease agreement for our new corporate headquarters facility to be located in San Carlos, California and a license agreement for temporary lab and office space in Palo Alto, California as we move forward with our development and clinical programs. The license agreement for temporary space in Palo Alto will terminate when the San Carlos office leasehold improvements are completed and we move into our new corporate headquarters. We believe that suitable additional alternative spaces will be available in the future on commercially reasonable terms.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80" w:firstLine="1175"/>
        <w:spacing w:after="0" w:line="259"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a party to any legal proceedings that in the opinion of our management, if determined unfavorably to us, would have a material adverse effect on our business, financial condition, operating results or cash flows. Regardless of the outcome, litigation can, among other things, be time consuming and expensive to resolve and divert management resources.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Our Common Stock</w:t>
      </w:r>
    </w:p>
    <w:p>
      <w:pPr>
        <w:spacing w:after="0" w:line="229" w:lineRule="exact"/>
        <w:rPr>
          <w:sz w:val="20"/>
          <w:szCs w:val="20"/>
          <w:color w:val="auto"/>
        </w:rPr>
      </w:pPr>
    </w:p>
    <w:p>
      <w:pPr>
        <w:ind w:right="180" w:firstLine="1175"/>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“PCVX” since June 12, 2020. Prior to our IPO, there was no public market for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firstLine="1175"/>
        <w:spacing w:after="0" w:line="286" w:lineRule="auto"/>
        <w:rPr>
          <w:sz w:val="20"/>
          <w:szCs w:val="20"/>
          <w:color w:val="auto"/>
        </w:rPr>
      </w:pPr>
      <w:r>
        <w:rPr>
          <w:rFonts w:ascii="Arial" w:cs="Arial" w:eastAsia="Arial" w:hAnsi="Arial"/>
          <w:sz w:val="17"/>
          <w:szCs w:val="17"/>
          <w:color w:val="auto"/>
        </w:rPr>
        <w:t>As of March 25, 2021, there were approximately 28 holders of record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00" w:firstLine="1175"/>
        <w:spacing w:after="0" w:line="259" w:lineRule="auto"/>
        <w:rPr>
          <w:sz w:val="20"/>
          <w:szCs w:val="20"/>
          <w:color w:val="auto"/>
        </w:rPr>
      </w:pPr>
      <w:r>
        <w:rPr>
          <w:rFonts w:ascii="Arial" w:cs="Arial" w:eastAsia="Arial" w:hAnsi="Arial"/>
          <w:sz w:val="18"/>
          <w:szCs w:val="18"/>
          <w:color w:val="auto"/>
        </w:rPr>
        <w:t>We have not declared or paid any cash dividend on our common stock. We intend to retain any future earnings and do not expect to pay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Information about our equity compensation plans is incorporated herein by reference to Item 12 of Part III of this Annual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40" w:firstLine="1175"/>
        <w:spacing w:after="0" w:line="259"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 except to the extent that we specifically incorporate this information by reference therein, whether made before or after the date hereof and irrespective of any general incorporation language in any such filing.</w:t>
      </w:r>
    </w:p>
    <w:p>
      <w:pPr>
        <w:spacing w:after="0" w:line="187" w:lineRule="exact"/>
        <w:rPr>
          <w:sz w:val="20"/>
          <w:szCs w:val="20"/>
          <w:color w:val="auto"/>
        </w:rPr>
      </w:pPr>
    </w:p>
    <w:p>
      <w:pPr>
        <w:ind w:firstLine="1175"/>
        <w:spacing w:after="0" w:line="257" w:lineRule="auto"/>
        <w:rPr>
          <w:sz w:val="20"/>
          <w:szCs w:val="20"/>
          <w:color w:val="auto"/>
        </w:rPr>
      </w:pPr>
      <w:r>
        <w:rPr>
          <w:rFonts w:ascii="Arial" w:cs="Arial" w:eastAsia="Arial" w:hAnsi="Arial"/>
          <w:sz w:val="18"/>
          <w:szCs w:val="18"/>
          <w:color w:val="auto"/>
        </w:rPr>
        <w:t>The following stock performance graph compares our cumulative total stock return relative to the cumulative total returns of the Nasdaq Composite Index and the Nasdaq Biotechnology Index for the period from June 12, 2020 (the date our common stock commenced trading on the Nasdaq Global Select Market) through December 31, 2020. The figures below assume an investment of $100 in our common stock at the closing price of $26.15 on June 12, 2020 and in each index on the same date and the reinvestment of the full amount of all dividends into shares of common stock; however no dividends have been declared on our common stock to date.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ind w:right="120"/>
        <w:spacing w:after="0" w:line="277" w:lineRule="auto"/>
        <w:rPr>
          <w:sz w:val="20"/>
          <w:szCs w:val="20"/>
          <w:color w:val="auto"/>
        </w:rPr>
      </w:pPr>
      <w:r>
        <w:rPr>
          <w:rFonts w:ascii="Arial" w:cs="Arial" w:eastAsia="Arial" w:hAnsi="Arial"/>
          <w:sz w:val="18"/>
          <w:szCs w:val="18"/>
          <w:color w:val="auto"/>
        </w:rPr>
        <w:t>stockholder returns shown on the graph below are based on historical results and are not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117475</wp:posOffset>
            </wp:positionV>
            <wp:extent cx="4191635" cy="2083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191635" cy="208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Public Offering of Common Stock</w:t>
      </w:r>
    </w:p>
    <w:p>
      <w:pPr>
        <w:spacing w:after="0" w:line="229" w:lineRule="exact"/>
        <w:rPr>
          <w:sz w:val="20"/>
          <w:szCs w:val="20"/>
          <w:color w:val="auto"/>
        </w:rPr>
      </w:pPr>
    </w:p>
    <w:p>
      <w:pPr>
        <w:ind w:right="60" w:firstLine="1175"/>
        <w:spacing w:after="0" w:line="254" w:lineRule="auto"/>
        <w:rPr>
          <w:sz w:val="20"/>
          <w:szCs w:val="20"/>
          <w:color w:val="auto"/>
        </w:rPr>
      </w:pPr>
      <w:r>
        <w:rPr>
          <w:rFonts w:ascii="Arial" w:cs="Arial" w:eastAsia="Arial" w:hAnsi="Arial"/>
          <w:sz w:val="18"/>
          <w:szCs w:val="18"/>
          <w:color w:val="auto"/>
        </w:rPr>
        <w:t>In June 2020, we closed our IPO of 17,968,750 shares of our common stock, including shares issued upon the exercise in full of the underwriters’ option to purchase 2,343,750 additional shares of common stock, at a public offering price of $16.00 per share. We received gross proceeds to us of $287.5 million. All of the shares issued and sold in our IPO were registered under the Securities Act pursuant to a registration statement on Form S-1 (File No. 333-238630), which was declared effective by the SEC on June 11, 2020. BofA Securities, Inc., Jefferies LLC and Evercore Group L.L.C. acted as joint book-running managers for the offering. Cantor Fitzgerald &amp; Co. and Needham &amp; Company, LLC acted as co-managers for the offering. Shares of our common stock began trading on the Nasdaq Global Select Market on June 12, 2020 and, following the sale of all the shares upon the closing of the IPO, the offer terminated.</w:t>
      </w:r>
    </w:p>
    <w:p>
      <w:pPr>
        <w:spacing w:after="0" w:line="195" w:lineRule="exact"/>
        <w:rPr>
          <w:sz w:val="20"/>
          <w:szCs w:val="20"/>
          <w:color w:val="auto"/>
        </w:rPr>
      </w:pPr>
    </w:p>
    <w:p>
      <w:pPr>
        <w:ind w:firstLine="1175"/>
        <w:spacing w:after="0" w:line="257" w:lineRule="auto"/>
        <w:rPr>
          <w:sz w:val="20"/>
          <w:szCs w:val="20"/>
          <w:color w:val="auto"/>
        </w:rPr>
      </w:pPr>
      <w:r>
        <w:rPr>
          <w:rFonts w:ascii="Arial" w:cs="Arial" w:eastAsia="Arial" w:hAnsi="Arial"/>
          <w:sz w:val="18"/>
          <w:szCs w:val="18"/>
          <w:color w:val="auto"/>
        </w:rPr>
        <w:t>The net proceeds to us, after deducting underwriting discounts and commissions of $20.1 million and net offering expenses of $3.4 million were $264.0 million. No offering expenses were paid directly or indirectly to any of our directors or officers (or their associates) or persons owning ten percent or more of any class of our equity securities or to any other affiliates. There has been no material change in the planned use of proceeds from our IPO from those disclosed in the prospectus for our IPO dated as of June 11, 2020 and filed with the SEC pursuant to Rule 424(b)(4) under the Securities Act on June 15,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Issuers Purchases of Equity Securities</w:t>
      </w:r>
    </w:p>
    <w:p>
      <w:pPr>
        <w:spacing w:after="0" w:line="22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During the quarter ended December 31, 2020, we did not purchase any of our equity securities that are registered under Section 12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80" w:firstLine="1175"/>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related notes and other financial information included elsewhere in this Annual Report on Form 10-K. This discussion and analysis contains forward-looking statements based upon our current beliefs,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the section titled “Risk Factors” and elsewhere in this Annual Report on Form 10-K. You should carefully read the “Risk Factors” section of this Annual Report on Form 10-K to gain an understanding of the important factors that could cause actual results to differ materially from our forward-looking statements. Please also see the section titled “Special Note Regarding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1175"/>
        <w:spacing w:after="0" w:line="269" w:lineRule="auto"/>
        <w:rPr>
          <w:sz w:val="20"/>
          <w:szCs w:val="20"/>
          <w:color w:val="auto"/>
        </w:rPr>
      </w:pPr>
      <w:r>
        <w:rPr>
          <w:rFonts w:ascii="Arial" w:cs="Arial" w:eastAsia="Arial" w:hAnsi="Arial"/>
          <w:sz w:val="17"/>
          <w:szCs w:val="17"/>
          <w:color w:val="auto"/>
        </w:rPr>
        <w:t>We are a next-generation vaccine company seeking to improve global health by developing superior and novel vaccines designed to prevent or treat some of the most common and deadly infectious diseases worldwide. Our cell-free protein synthesis platform enables us to design and produce protein carriers and antigens, the critical building blocks of vaccines, in ways that we believe conventional vaccine technologies currently cannot. Our pipeline includes pneumococcal conjugate vaccine, or PCV, candidates that we believe are among the most broad-spectrum PCV candidates currently in development, targeting the $7 billion global pneumococcal vaccine market. Our lead vaccine candidate is VAX-24, a 24-valent investigational PCV. We anticipate submitting our initial investigational new drug, or IND, application to the U.S. Food and Drug Administration, or FDA, for VAX-24 between January and June 2022 and initiating our Phase 1/2 clinical proof-of-concept study in adults thereafter. We expect to announce topline data from this study between late 2022 and early 2023. Our second PCV, known as VAX-XP, leverages our scalable and modular platform and builds on the technical proof of concept established by VAX-24 and, if approved, would expand the breadth of coverage to at least 30 strains without compromising immunogenicity due to carrier suppression. In addition to our PCV franchise, we are developing a novel conjugate vaccine candidate for Group A Strep and a novel protein vaccine candidate targeting the keystone pathogen responsible for periodontitis.</w:t>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Since January 1, 2020, key developments affecting our business include the following:</w:t>
      </w:r>
    </w:p>
    <w:p>
      <w:pPr>
        <w:spacing w:after="0" w:line="221" w:lineRule="exact"/>
        <w:rPr>
          <w:sz w:val="20"/>
          <w:szCs w:val="20"/>
          <w:color w:val="auto"/>
        </w:rPr>
      </w:pPr>
    </w:p>
    <w:p>
      <w:pPr>
        <w:ind w:left="1620" w:right="20" w:hanging="438"/>
        <w:spacing w:after="0" w:line="256"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Achieved VAX-24 manufacturing milestones. </w:t>
      </w:r>
      <w:r>
        <w:rPr>
          <w:rFonts w:ascii="Arial" w:cs="Arial" w:eastAsia="Arial" w:hAnsi="Arial"/>
          <w:sz w:val="18"/>
          <w:szCs w:val="18"/>
          <w:color w:val="auto"/>
        </w:rPr>
        <w:t>We achieved several key manufacturing milestones for VAX-24 in preparation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anticipated IND application submission and Phase 1/2 clinical study initiation. These include completion of: the good manufacturing practice, or GMP, batches of the eCRM protein carrier; the GMP batches of the 24 pneumococcal polysaccharides; the first two stages of the GMP batches for the 24 conjugated drug substances; the drug product batches used in the good laboratory practice, or GLP, toxicology studies; and the drug product batches that will serve as the source of the lead lot stability data for the IND application.</w:t>
      </w:r>
    </w:p>
    <w:p>
      <w:pPr>
        <w:spacing w:after="0" w:line="187" w:lineRule="exact"/>
        <w:rPr>
          <w:rFonts w:ascii="Arial" w:cs="Arial" w:eastAsia="Arial" w:hAnsi="Arial"/>
          <w:sz w:val="18"/>
          <w:szCs w:val="18"/>
          <w:color w:val="auto"/>
        </w:rPr>
      </w:pPr>
    </w:p>
    <w:p>
      <w:pPr>
        <w:ind w:left="1620" w:right="140" w:hanging="438"/>
        <w:spacing w:after="0" w:line="255"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Progressed and reported new data for VAX-XP program. </w:t>
      </w:r>
      <w:r>
        <w:rPr>
          <w:rFonts w:ascii="Arial" w:cs="Arial" w:eastAsia="Arial" w:hAnsi="Arial"/>
          <w:sz w:val="18"/>
          <w:szCs w:val="18"/>
          <w:color w:val="auto"/>
        </w:rPr>
        <w:t>As part of our strategy to maximize the optionality and value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PCV franchise, we have continued to advance VAX-XP, our broader-spectrum PCV candidate designed to cover at least 30 strains. We announced new data for VAX-XP that further demonstrate the potential benefits of our scalable technology platform and the reproducibility of data with conjugates produced at larger scale. Results from a preclinical proof-of-concept study showed that in rabbit models for VAX-XP compared to more than 30 different pneumococcal serotypes, including all of those contained in Prevnar 13, the VAX-XP IgG immune responses were superior to polysaccharide-only serotypes and comparable to Prevnar 13 in the common 13 strains.</w:t>
      </w:r>
    </w:p>
    <w:p>
      <w:pPr>
        <w:spacing w:after="0" w:line="188" w:lineRule="exact"/>
        <w:rPr>
          <w:rFonts w:ascii="Arial" w:cs="Arial" w:eastAsia="Arial" w:hAnsi="Arial"/>
          <w:sz w:val="18"/>
          <w:szCs w:val="18"/>
          <w:color w:val="auto"/>
        </w:rPr>
      </w:pPr>
    </w:p>
    <w:p>
      <w:pPr>
        <w:ind w:left="1620" w:right="80" w:hanging="438"/>
        <w:spacing w:after="0" w:line="314" w:lineRule="auto"/>
        <w:tabs>
          <w:tab w:leader="none" w:pos="162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Advanced and published data for VAX-A1 program. </w:t>
      </w:r>
      <w:r>
        <w:rPr>
          <w:rFonts w:ascii="Arial" w:cs="Arial" w:eastAsia="Arial" w:hAnsi="Arial"/>
          <w:sz w:val="16"/>
          <w:szCs w:val="16"/>
          <w:color w:val="auto"/>
        </w:rPr>
        <w:t>We advanced VAX-A1, our novel conjugate vaccine candidate designed to</w:t>
      </w:r>
      <w:r>
        <w:rPr>
          <w:rFonts w:ascii="Arial" w:cs="Arial" w:eastAsia="Arial" w:hAnsi="Arial"/>
          <w:sz w:val="16"/>
          <w:szCs w:val="16"/>
          <w:b w:val="1"/>
          <w:bCs w:val="1"/>
          <w:color w:val="auto"/>
        </w:rPr>
        <w:t xml:space="preserve"> </w:t>
      </w:r>
      <w:r>
        <w:rPr>
          <w:rFonts w:ascii="Arial" w:cs="Arial" w:eastAsia="Arial" w:hAnsi="Arial"/>
          <w:sz w:val="16"/>
          <w:szCs w:val="16"/>
          <w:color w:val="auto"/>
        </w:rPr>
        <w:t>prevent infections from Group A Strep, a human pathogen causing pharyngitis, or strep throat, and certain severe invasive infections such as sepsis, toxic shock syndrome and necrotizing fasciitis. Based on the progress of the program, and consistent with</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4" w:name="page105"/>
    <w:bookmarkEnd w:id="104"/>
    <w:p>
      <w:pPr>
        <w:jc w:val="both"/>
        <w:ind w:left="1620" w:right="100"/>
        <w:spacing w:after="0" w:line="287" w:lineRule="auto"/>
        <w:rPr>
          <w:sz w:val="20"/>
          <w:szCs w:val="20"/>
          <w:color w:val="auto"/>
        </w:rPr>
      </w:pPr>
      <w:r>
        <w:rPr>
          <w:rFonts w:ascii="Arial" w:cs="Arial" w:eastAsia="Arial" w:hAnsi="Arial"/>
          <w:sz w:val="16"/>
          <w:szCs w:val="16"/>
          <w:color w:val="auto"/>
        </w:rPr>
        <w:t xml:space="preserve">target timelines, we nominated the final VAX-A1 vaccine candidate in the first quarter of 2021. In January 2021, we announced the publication of preclinical data in the journal </w:t>
      </w:r>
      <w:r>
        <w:rPr>
          <w:rFonts w:ascii="Arial" w:cs="Arial" w:eastAsia="Arial" w:hAnsi="Arial"/>
          <w:sz w:val="16"/>
          <w:szCs w:val="16"/>
          <w:i w:val="1"/>
          <w:iCs w:val="1"/>
          <w:color w:val="auto"/>
        </w:rPr>
        <w:t>Infectious Microbes &amp; Diseases</w:t>
      </w:r>
      <w:r>
        <w:rPr>
          <w:rFonts w:ascii="Arial" w:cs="Arial" w:eastAsia="Arial" w:hAnsi="Arial"/>
          <w:sz w:val="16"/>
          <w:szCs w:val="16"/>
          <w:color w:val="auto"/>
        </w:rPr>
        <w:t>, which showed that VAX-A1 demonstrated meaningful protection against systemic and soft tissue infection after challenge with no evidence of cross-reactivity with human tissue.</w:t>
      </w:r>
    </w:p>
    <w:p>
      <w:pPr>
        <w:spacing w:after="0" w:line="2" w:lineRule="exact"/>
        <w:rPr>
          <w:sz w:val="20"/>
          <w:szCs w:val="20"/>
          <w:color w:val="auto"/>
        </w:rPr>
      </w:pPr>
    </w:p>
    <w:p>
      <w:pPr>
        <w:ind w:left="1620" w:right="380"/>
        <w:spacing w:after="0" w:line="260" w:lineRule="auto"/>
        <w:rPr>
          <w:sz w:val="20"/>
          <w:szCs w:val="20"/>
          <w:color w:val="auto"/>
        </w:rPr>
      </w:pPr>
      <w:r>
        <w:rPr>
          <w:rFonts w:ascii="Arial" w:cs="Arial" w:eastAsia="Arial" w:hAnsi="Arial"/>
          <w:sz w:val="18"/>
          <w:szCs w:val="18"/>
          <w:color w:val="auto"/>
        </w:rPr>
        <w:t>Additionally, at the end of 2020, we completed the initial funding period under our agreement with CARB-X and are now in the process of submitting our proposal to CARB-X for the next funding period of the agreement.</w:t>
      </w:r>
    </w:p>
    <w:p>
      <w:pPr>
        <w:spacing w:after="0" w:line="181" w:lineRule="exact"/>
        <w:rPr>
          <w:sz w:val="20"/>
          <w:szCs w:val="20"/>
          <w:color w:val="auto"/>
        </w:rPr>
      </w:pPr>
    </w:p>
    <w:p>
      <w:pPr>
        <w:ind w:left="1600" w:right="100" w:hanging="431"/>
        <w:spacing w:after="0" w:line="281" w:lineRule="auto"/>
        <w:tabs>
          <w:tab w:leader="none" w:pos="160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Completed Initial Public Offering (IPO) and Series D financing. </w:t>
      </w:r>
      <w:r>
        <w:rPr>
          <w:rFonts w:ascii="Arial" w:cs="Arial" w:eastAsia="Arial" w:hAnsi="Arial"/>
          <w:sz w:val="17"/>
          <w:szCs w:val="17"/>
          <w:color w:val="auto"/>
        </w:rPr>
        <w:t>In June 2020, we completed our IPO of 17,968,750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which included the full exercise of the underwriters’ option to purchase 2,343,750 additional shares, at a public offering price of $16.00 per share, resulting in aggregate net proceeds of $264.0 million. In March 2020, we completed our Series D convertible preferred stock financing, raising aggregate net proceeds of $109.9 million.</w:t>
      </w:r>
    </w:p>
    <w:p>
      <w:pPr>
        <w:spacing w:after="0" w:line="164" w:lineRule="exact"/>
        <w:rPr>
          <w:rFonts w:ascii="Arial" w:cs="Arial" w:eastAsia="Arial" w:hAnsi="Arial"/>
          <w:sz w:val="17"/>
          <w:szCs w:val="17"/>
          <w:color w:val="auto"/>
        </w:rPr>
      </w:pPr>
    </w:p>
    <w:p>
      <w:pPr>
        <w:ind w:left="1620" w:hanging="424"/>
        <w:spacing w:after="0" w:line="269" w:lineRule="auto"/>
        <w:tabs>
          <w:tab w:leader="none" w:pos="1620" w:val="left"/>
        </w:tabs>
        <w:numPr>
          <w:ilvl w:val="1"/>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Strengthened leadership team and advisory board with key appointments. </w:t>
      </w:r>
      <w:r>
        <w:rPr>
          <w:rFonts w:ascii="Arial" w:cs="Arial" w:eastAsia="Arial" w:hAnsi="Arial"/>
          <w:sz w:val="17"/>
          <w:szCs w:val="17"/>
          <w:color w:val="auto"/>
        </w:rPr>
        <w:t>During 2020, we added several key leaders,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Andrew Guggenhime, President and Chief Financial Officer, and appointed Halley Gilbert to our board of directors, each bringing over 20 years of biotechnology leadership experience. In 2021, we added William Hausdorff, PhD to our Scientific Advisory Board. Dr. Hausdorff has worked on the development, clinical evaluation, registration, implementation and post-marketing assessment of a variety of vaccines over the past 30 years. Since 2018, Dr. Hausdorff has served as the Lead, Public Health Value Propositions for Vaccines at PATH, a global organization that works to accelerate health equity by bringing together public institutions, businesses, social enterprises, and investors to solve the world’s most pressing health challenges. Prior to joining PATH, he worked for 12 years at GlaxoSmithKline (GSK) Vaccines, eight years at Wyeth Vaccines and was previously at the Centers for Disease Control and Prevention. In his roles at GSK Vaccines and Wyeth Vaccines, he was involved in the development of Synflorix</w:t>
      </w:r>
      <w:r>
        <w:rPr>
          <w:rFonts w:ascii="Arial" w:cs="Arial" w:eastAsia="Arial" w:hAnsi="Arial"/>
          <w:sz w:val="14"/>
          <w:szCs w:val="14"/>
          <w:color w:val="auto"/>
        </w:rPr>
        <w:t>®</w:t>
      </w:r>
      <w:r>
        <w:rPr>
          <w:rFonts w:ascii="Arial" w:cs="Arial" w:eastAsia="Arial" w:hAnsi="Arial"/>
          <w:sz w:val="17"/>
          <w:szCs w:val="17"/>
          <w:color w:val="auto"/>
        </w:rPr>
        <w:t xml:space="preserve"> and Prevnar 13</w:t>
      </w:r>
      <w:r>
        <w:rPr>
          <w:rFonts w:ascii="Arial" w:cs="Arial" w:eastAsia="Arial" w:hAnsi="Arial"/>
          <w:sz w:val="14"/>
          <w:szCs w:val="14"/>
          <w:color w:val="auto"/>
        </w:rPr>
        <w:t>®</w:t>
      </w:r>
      <w:r>
        <w:rPr>
          <w:rFonts w:ascii="Arial" w:cs="Arial" w:eastAsia="Arial" w:hAnsi="Arial"/>
          <w:sz w:val="17"/>
          <w:szCs w:val="17"/>
          <w:color w:val="auto"/>
        </w:rPr>
        <w:t>, respectively. Dr. Hausdorff received his PhD in Biology from The Johns Hopkins University and his BA in Biology from Carleton College.</w:t>
      </w:r>
    </w:p>
    <w:p>
      <w:pPr>
        <w:spacing w:after="0" w:line="186" w:lineRule="exact"/>
        <w:rPr>
          <w:sz w:val="20"/>
          <w:szCs w:val="20"/>
          <w:color w:val="auto"/>
        </w:rPr>
      </w:pPr>
    </w:p>
    <w:p>
      <w:pPr>
        <w:ind w:right="20" w:firstLine="1175"/>
        <w:spacing w:after="0" w:line="269" w:lineRule="auto"/>
        <w:rPr>
          <w:sz w:val="20"/>
          <w:szCs w:val="20"/>
          <w:color w:val="auto"/>
        </w:rPr>
      </w:pPr>
      <w:r>
        <w:rPr>
          <w:rFonts w:ascii="Arial" w:cs="Arial" w:eastAsia="Arial" w:hAnsi="Arial"/>
          <w:sz w:val="17"/>
          <w:szCs w:val="17"/>
          <w:color w:val="auto"/>
        </w:rPr>
        <w:t>Since our inception in November 2013, we have devoted substantially all of our resources to performing research and development, undertaking preclinical studies and enabling manufacturing activities in support of our product development efforts, acquiring and developing our technology and vaccine candidates, organizing and staffing our company, performing business planning, establishing our intellectual property portfolio and raising capital to support and expand such activities. We do not have any products approved for sale and have not generated any revenue from product sales. To date, we have financed our operations primarily with proceeds from the sales of our redeemable convertible preferred stock and our IPO. Through December 31, 2020, we have raised approximately $569.5 million in gross proceeds from the sale of our capital stock. We will continue to require additional capital to develop our vaccine candidates and fund operations for the foreseeable future. Accordingly, until such time as we can generate significant revenue from sales of our vaccine candidates, if ever, we expect to finance our cash needs through public or private equity or debt financings, third-party (including government) funding and marketing and distribution arrangements, as well as other collaborations, strategic alliances and licensing arrangements, or any combination of these approaches.</w:t>
      </w:r>
    </w:p>
    <w:p>
      <w:pPr>
        <w:spacing w:after="0" w:line="185" w:lineRule="exact"/>
        <w:rPr>
          <w:sz w:val="20"/>
          <w:szCs w:val="20"/>
          <w:color w:val="auto"/>
        </w:rPr>
      </w:pPr>
    </w:p>
    <w:p>
      <w:pPr>
        <w:ind w:firstLine="1175"/>
        <w:spacing w:after="0" w:line="291" w:lineRule="auto"/>
        <w:rPr>
          <w:sz w:val="20"/>
          <w:szCs w:val="20"/>
          <w:color w:val="auto"/>
        </w:rPr>
      </w:pPr>
      <w:r>
        <w:rPr>
          <w:rFonts w:ascii="Arial" w:cs="Arial" w:eastAsia="Arial" w:hAnsi="Arial"/>
          <w:sz w:val="16"/>
          <w:szCs w:val="16"/>
          <w:color w:val="auto"/>
        </w:rPr>
        <w:t>We have incurred net losses in each year since inception and expect to continue to incur net losses in the foreseeable future. Our net losses may fluctuate significantly from quarter-to-quarter and year-to-year, depending in large part on the timing of our preclinical studies, clinical trials and manufacturing activities, and our expenditures on other research and development activities. Our net losses were $89.2 million and $50.3 million for the years ended December 31, 2020 and 2019, respectively. As of December 31, 2020, we had an accumulated deficit of $198.6 million. As of December 31, 2020, we had cash and cash equivalents of $386.2 million, which we believe will be sufficient to fund our operating expenses and capital expenditure requirements through at least the completion and announcement of the topline data from our Phase 1/2 clinical proof-of-concept study of VAX-24 in adults, which we expect between late 2022 and early 2023, and to continue to advance our pipeline of other vaccine candidates.</w:t>
      </w:r>
    </w:p>
    <w:p>
      <w:pPr>
        <w:spacing w:after="0" w:line="166" w:lineRule="exact"/>
        <w:rPr>
          <w:sz w:val="20"/>
          <w:szCs w:val="20"/>
          <w:color w:val="auto"/>
        </w:rPr>
      </w:pPr>
    </w:p>
    <w:p>
      <w:pPr>
        <w:ind w:right="420" w:firstLine="1175"/>
        <w:spacing w:after="0" w:line="277" w:lineRule="auto"/>
        <w:rPr>
          <w:sz w:val="20"/>
          <w:szCs w:val="20"/>
          <w:color w:val="auto"/>
        </w:rPr>
      </w:pPr>
      <w:r>
        <w:rPr>
          <w:rFonts w:ascii="Arial" w:cs="Arial" w:eastAsia="Arial" w:hAnsi="Arial"/>
          <w:sz w:val="18"/>
          <w:szCs w:val="18"/>
          <w:color w:val="auto"/>
        </w:rPr>
        <w:t>We do not expect to generate any revenue from commercial product sales unless and until we successfully complete development and obtain regulatory approval for one or more of our vaccine candidates, which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we expect will take a number of years. We expect our expenses will increase substantially in connection with our ongoing activities, as we:</w:t>
      </w:r>
    </w:p>
    <w:p>
      <w:pPr>
        <w:spacing w:after="0" w:line="225" w:lineRule="exact"/>
        <w:rPr>
          <w:sz w:val="20"/>
          <w:szCs w:val="20"/>
          <w:color w:val="auto"/>
        </w:rPr>
      </w:pPr>
    </w:p>
    <w:p>
      <w:pPr>
        <w:ind w:left="1620" w:hanging="438"/>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advance vaccine candidates through preclinical studies and clinical trials;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require the manufacture of supplies for our preclinical studies and clinical trials, in particular our lead vaccine candidate, VAX-24;</w:t>
      </w:r>
    </w:p>
    <w:p>
      <w:pPr>
        <w:spacing w:after="0" w:line="275" w:lineRule="exact"/>
        <w:rPr>
          <w:rFonts w:ascii="Arial" w:cs="Arial" w:eastAsia="Arial" w:hAnsi="Arial"/>
          <w:sz w:val="16"/>
          <w:szCs w:val="16"/>
          <w:color w:val="auto"/>
        </w:rPr>
      </w:pPr>
    </w:p>
    <w:p>
      <w:pPr>
        <w:ind w:left="1620" w:hanging="438"/>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pursue regulatory approval of vaccine candidates;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acquire, discover, validate and develop additional vaccine candidates; and</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252" w:lineRule="exact"/>
        <w:rPr>
          <w:sz w:val="20"/>
          <w:szCs w:val="20"/>
          <w:color w:val="auto"/>
        </w:rPr>
      </w:pPr>
    </w:p>
    <w:p>
      <w:pPr>
        <w:ind w:right="120" w:firstLine="1175"/>
        <w:spacing w:after="0" w:line="275" w:lineRule="auto"/>
        <w:rPr>
          <w:sz w:val="20"/>
          <w:szCs w:val="20"/>
          <w:color w:val="auto"/>
        </w:rPr>
      </w:pPr>
      <w:r>
        <w:rPr>
          <w:rFonts w:ascii="Arial" w:cs="Arial" w:eastAsia="Arial" w:hAnsi="Arial"/>
          <w:sz w:val="17"/>
          <w:szCs w:val="17"/>
          <w:color w:val="auto"/>
        </w:rPr>
        <w:t>We rely and will continue to rely on third parties to conduct our preclinical studies and clinical trials and for manufacturing and supply of our vaccine candidates. We have no internal manufacturing capabilities, and we will continue to rely on third parties, of which the main suppliers are single-source suppliers, for our preclinical and clinical trial materials. Given our stage of development, we do not yet have a marketing or sales organization or commercial infrastructure. Accordingly, if we obtain regulatory approval for any of our vaccine candidates, we also would expect to incur significant commercialization expenses related to product sales, marketing, manufacturing and distribution.</w:t>
      </w:r>
    </w:p>
    <w:p>
      <w:pPr>
        <w:spacing w:after="0" w:line="176" w:lineRule="exact"/>
        <w:rPr>
          <w:sz w:val="20"/>
          <w:szCs w:val="20"/>
          <w:color w:val="auto"/>
        </w:rPr>
      </w:pPr>
    </w:p>
    <w:p>
      <w:pPr>
        <w:ind w:right="60" w:firstLine="1175"/>
        <w:spacing w:after="0" w:line="259" w:lineRule="auto"/>
        <w:rPr>
          <w:sz w:val="20"/>
          <w:szCs w:val="20"/>
          <w:color w:val="auto"/>
        </w:rPr>
      </w:pPr>
      <w:r>
        <w:rPr>
          <w:rFonts w:ascii="Arial" w:cs="Arial" w:eastAsia="Arial" w:hAnsi="Arial"/>
          <w:sz w:val="18"/>
          <w:szCs w:val="18"/>
          <w:color w:val="auto"/>
        </w:rPr>
        <w:t>Because of the numerous risks and uncertainties associated with vaccine development, we are unable to predict the timing or amount of increased expenses or when or if we will be able to achieve or maintain profitability. Even if we are able to generate revenue from the sale of our vaccines, we may not become profitable. If we fail to become profitable or are unable to sustain profitability on a continuing basis, then we may be unable to continue our operations at planned levels and may be forced to reduce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Significant Relationships</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Sutro Biopharma</w:t>
      </w:r>
    </w:p>
    <w:p>
      <w:pPr>
        <w:spacing w:after="0" w:line="225" w:lineRule="exact"/>
        <w:rPr>
          <w:sz w:val="20"/>
          <w:szCs w:val="20"/>
          <w:color w:val="auto"/>
        </w:rPr>
      </w:pPr>
    </w:p>
    <w:p>
      <w:pPr>
        <w:ind w:right="880" w:firstLine="1175"/>
        <w:spacing w:after="0" w:line="308" w:lineRule="auto"/>
        <w:rPr>
          <w:sz w:val="20"/>
          <w:szCs w:val="20"/>
          <w:color w:val="auto"/>
        </w:rPr>
      </w:pPr>
      <w:r>
        <w:rPr>
          <w:rFonts w:ascii="Arial" w:cs="Arial" w:eastAsia="Arial" w:hAnsi="Arial"/>
          <w:sz w:val="17"/>
          <w:szCs w:val="17"/>
          <w:color w:val="auto"/>
        </w:rPr>
        <w:t>Vaxcyte was formed through its relationship with Sutro Biopharma, in 2013 by our co-founders with the goal of utilizing Sutro Biopharma’s proprietary XpressCF platform for protein synthesis in the field of vaccines addressing infectious diseases.</w:t>
      </w:r>
    </w:p>
    <w:p>
      <w:pPr>
        <w:spacing w:after="0" w:line="146" w:lineRule="exact"/>
        <w:rPr>
          <w:sz w:val="20"/>
          <w:szCs w:val="20"/>
          <w:color w:val="auto"/>
        </w:rPr>
      </w:pPr>
    </w:p>
    <w:p>
      <w:pPr>
        <w:ind w:firstLine="1175"/>
        <w:spacing w:after="0" w:line="269" w:lineRule="auto"/>
        <w:rPr>
          <w:sz w:val="20"/>
          <w:szCs w:val="20"/>
          <w:color w:val="auto"/>
        </w:rPr>
      </w:pPr>
      <w:r>
        <w:rPr>
          <w:rFonts w:ascii="Arial" w:cs="Arial" w:eastAsia="Arial" w:hAnsi="Arial"/>
          <w:sz w:val="17"/>
          <w:szCs w:val="17"/>
          <w:color w:val="auto"/>
        </w:rPr>
        <w:t>In addition to receiving funding, we entered into a license agreement with Sutro Biopharma, or the Sutro License, on August 1, 2014. The Sutro License was amended on October 12, 2015 and again on May 9, 2018 and May 29, 2018. Under this license, we received an exclusive, worldwide, royalty-bearing, sublicensable license under Sutro Biopharma’s patents and know-how relating to cell-free expression of proteins to (i) research, develop, use, sell, offer for sale, export, import and otherwise exploit specified vaccine compositions, such rights being sublicensable, for the treatment or prophylaxis of infectious diseases, excluding cancer vaccines, and (ii) manufacture, or have manufactured by an approved contract manufacturing organization, such vaccine compositions from extracts supplied by Sutro Biopharma pursuant to the Sutro Biopharma Supply Agreement (as described below). We are obligated to use commercially reasonable efforts to develop, obtain regulatory approval for and commercialize the vaccine compositions. In consideration of the rights granted under the Sutro License, we are obligated to pay Sutro Biopharma a 4% royalty on worldwide aggregate net sales of vaccine products for human health and a 2% royalty on such net sales of vaccine products for animal health. Such royalty rates are subject to specified reductions, including standard reductions for third-party payments and for expiration of relevant patent claims. Royalties are payable on a vaccine composition-by-vaccine composition and country-by-country basis until the later of expiration of the last valid claim in the licensed patents covering such vaccine composition in such</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06" w:name="page107"/>
    <w:bookmarkEnd w:id="106"/>
    <w:p>
      <w:pPr>
        <w:ind w:right="80"/>
        <w:spacing w:after="0" w:line="263" w:lineRule="auto"/>
        <w:rPr>
          <w:sz w:val="20"/>
          <w:szCs w:val="20"/>
          <w:color w:val="auto"/>
        </w:rPr>
      </w:pPr>
      <w:r>
        <w:rPr>
          <w:rFonts w:ascii="Arial" w:cs="Arial" w:eastAsia="Arial" w:hAnsi="Arial"/>
          <w:sz w:val="18"/>
          <w:szCs w:val="18"/>
          <w:color w:val="auto"/>
        </w:rPr>
        <w:t>country and ten years after the first commercial sale of such vaccine composition. In addition, we are obligated to pay Sutro Biopharma a percentage in the low-double digits of any net sublicensing revenue received for sublicense agreements executed before July 2020. Our obligation to pay sublicense fees to Sutro Biopharma expired in July 2020.</w:t>
      </w:r>
    </w:p>
    <w:p>
      <w:pPr>
        <w:spacing w:after="0" w:line="184" w:lineRule="exact"/>
        <w:rPr>
          <w:sz w:val="20"/>
          <w:szCs w:val="20"/>
          <w:color w:val="auto"/>
        </w:rPr>
      </w:pPr>
    </w:p>
    <w:p>
      <w:pPr>
        <w:ind w:right="300" w:firstLine="1175"/>
        <w:spacing w:after="0" w:line="255" w:lineRule="auto"/>
        <w:rPr>
          <w:sz w:val="20"/>
          <w:szCs w:val="20"/>
          <w:color w:val="auto"/>
        </w:rPr>
      </w:pPr>
      <w:r>
        <w:rPr>
          <w:rFonts w:ascii="Arial" w:cs="Arial" w:eastAsia="Arial" w:hAnsi="Arial"/>
          <w:sz w:val="18"/>
          <w:szCs w:val="18"/>
          <w:color w:val="auto"/>
        </w:rPr>
        <w:t>In May 2018, we entered into a supply agreement, which we refer to as the Sutro Biopharma Supply Agreement, with Sutro Biopharma pursuant to which we purchase from Sutro Biopharma extract and custom reagents for use in manufacturing non-clinical and certain clinical supply of vaccine compositions utilizing the technology licensed under the Sutro License at prices not to exceed a specified percentage above Sutro Biopharma’s fully burdened manufacturing cost. If any extracts or custom reagents do not meet the specifications and warranties provided, then we will not have an obligation to pay for the non-conforming product, and Sutro Biopharma will be obligated to replace the non-conforming product within the shortest possible time with conforming product at our cost.</w:t>
      </w:r>
    </w:p>
    <w:p>
      <w:pPr>
        <w:spacing w:after="0" w:line="192" w:lineRule="exact"/>
        <w:rPr>
          <w:sz w:val="20"/>
          <w:szCs w:val="20"/>
          <w:color w:val="auto"/>
        </w:rPr>
      </w:pPr>
    </w:p>
    <w:p>
      <w:pPr>
        <w:ind w:right="660" w:firstLine="1175"/>
        <w:spacing w:after="0" w:line="277" w:lineRule="auto"/>
        <w:rPr>
          <w:sz w:val="20"/>
          <w:szCs w:val="20"/>
          <w:color w:val="auto"/>
        </w:rPr>
      </w:pPr>
      <w:r>
        <w:rPr>
          <w:rFonts w:ascii="Arial" w:cs="Arial" w:eastAsia="Arial" w:hAnsi="Arial"/>
          <w:sz w:val="18"/>
          <w:szCs w:val="18"/>
          <w:color w:val="auto"/>
        </w:rPr>
        <w:t>For additional details regarding our relationship with Sutro Biopharma, see Note 13, “Related Party Transactions,” to our financial statements included in Part II, Item 8 of this Annual Report on Form 10-K.</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Lonza</w:t>
      </w:r>
    </w:p>
    <w:p>
      <w:pPr>
        <w:spacing w:after="0" w:line="225" w:lineRule="exact"/>
        <w:rPr>
          <w:sz w:val="20"/>
          <w:szCs w:val="20"/>
          <w:color w:val="auto"/>
        </w:rPr>
      </w:pPr>
    </w:p>
    <w:p>
      <w:pPr>
        <w:jc w:val="both"/>
        <w:ind w:right="200" w:firstLine="1175"/>
        <w:spacing w:after="0" w:line="259" w:lineRule="auto"/>
        <w:rPr>
          <w:sz w:val="20"/>
          <w:szCs w:val="20"/>
          <w:color w:val="auto"/>
        </w:rPr>
      </w:pPr>
      <w:r>
        <w:rPr>
          <w:rFonts w:ascii="Arial" w:cs="Arial" w:eastAsia="Arial" w:hAnsi="Arial"/>
          <w:sz w:val="18"/>
          <w:szCs w:val="18"/>
          <w:color w:val="auto"/>
        </w:rPr>
        <w:t>In October 2016, we entered into a development and manufacturing services agreement with Lonza Ltd., or Lonza, which we refer to, as amended, as the 2016 Lonza Agreement, pursuant to which Lonza is obligated to perform manufacturing process development and clinical manufacture and supply of components for VAX-24, including the manufacture of polysaccharide antigens, our proprietary eCRM protein carrier and conjugated drug substances.</w:t>
      </w:r>
    </w:p>
    <w:p>
      <w:pPr>
        <w:spacing w:after="0" w:line="187" w:lineRule="exact"/>
        <w:rPr>
          <w:sz w:val="20"/>
          <w:szCs w:val="20"/>
          <w:color w:val="auto"/>
        </w:rPr>
      </w:pPr>
    </w:p>
    <w:p>
      <w:pPr>
        <w:ind w:firstLine="1175"/>
        <w:spacing w:after="0" w:line="263" w:lineRule="auto"/>
        <w:rPr>
          <w:sz w:val="20"/>
          <w:szCs w:val="20"/>
          <w:color w:val="auto"/>
        </w:rPr>
      </w:pPr>
      <w:r>
        <w:rPr>
          <w:rFonts w:ascii="Arial" w:cs="Arial" w:eastAsia="Arial" w:hAnsi="Arial"/>
          <w:sz w:val="18"/>
          <w:szCs w:val="18"/>
          <w:color w:val="auto"/>
        </w:rPr>
        <w:t>In October 2018, we entered into a second development and manufacturing services agreement with Lonza, which we refer to as the 2018 Lonza Agreement, and together with the 2016 Lonza Agreement, as the Lonza Agreements, pursuant to which Lonza is obligated to perform manufacturing process development and clinical manufacture and supply of VAX-24 finished drug product.</w:t>
      </w:r>
    </w:p>
    <w:p>
      <w:pPr>
        <w:spacing w:after="0" w:line="184" w:lineRule="exact"/>
        <w:rPr>
          <w:sz w:val="20"/>
          <w:szCs w:val="20"/>
          <w:color w:val="auto"/>
        </w:rPr>
      </w:pPr>
    </w:p>
    <w:p>
      <w:pPr>
        <w:ind w:right="20" w:firstLine="1175"/>
        <w:spacing w:after="0" w:line="273" w:lineRule="auto"/>
        <w:rPr>
          <w:sz w:val="20"/>
          <w:szCs w:val="20"/>
          <w:color w:val="auto"/>
        </w:rPr>
      </w:pPr>
      <w:r>
        <w:rPr>
          <w:rFonts w:ascii="Arial" w:cs="Arial" w:eastAsia="Arial" w:hAnsi="Arial"/>
          <w:sz w:val="17"/>
          <w:szCs w:val="17"/>
          <w:color w:val="auto"/>
        </w:rPr>
        <w:t>In June 2018, we entered into a letter agreement, or the Lonza Letter Agreement, with Lonza, pursuant to which we agreed to certain terms for potential future equity payments as partial satisfaction of future obligations to Lonza under the Lonza Agreements. Specifically, we and Lonza agreed that the initial pre-IND cash payments made by us to Lonza are subject to a specified dollar cap, which we refer to as the Initial Cash Cap. After the Initial Cash Cap has been reached, then at our election, we can make any further pre-IND payments owed to Lonza under the Lonza Agreements in cash, equity at then market prevailing prices, or a combination of both. Lonza may elect to receive up to 25% of pre-IND payments in equity, up to a maximum of $2.5 million, and no more than $10 million of pre-IND payments may be satisfied by issuances of our common stock.</w:t>
      </w:r>
    </w:p>
    <w:p>
      <w:pPr>
        <w:spacing w:after="0" w:line="178" w:lineRule="exact"/>
        <w:rPr>
          <w:sz w:val="20"/>
          <w:szCs w:val="20"/>
          <w:color w:val="auto"/>
        </w:rPr>
      </w:pPr>
    </w:p>
    <w:p>
      <w:pPr>
        <w:ind w:right="220" w:firstLine="1175"/>
        <w:spacing w:after="0" w:line="286" w:lineRule="auto"/>
        <w:rPr>
          <w:sz w:val="20"/>
          <w:szCs w:val="20"/>
          <w:color w:val="auto"/>
        </w:rPr>
      </w:pPr>
      <w:r>
        <w:rPr>
          <w:rFonts w:ascii="Arial" w:cs="Arial" w:eastAsia="Arial" w:hAnsi="Arial"/>
          <w:sz w:val="17"/>
          <w:szCs w:val="17"/>
          <w:color w:val="auto"/>
        </w:rPr>
        <w:t>Under the Lonza Agreements, we will pay Lonza agreed upon fees for Lonza’s performance of manufacturing services, and we will reimburse Lonza for its out-of-pocket costs associated with purchasing raw materials, plus a customary handling fee. Each Lonza Agreement is managed by a steering committee and any dispute at the steering committee will be resolved by senior executives of the parties.</w:t>
      </w:r>
    </w:p>
    <w:p>
      <w:pPr>
        <w:spacing w:after="0" w:line="165" w:lineRule="exact"/>
        <w:rPr>
          <w:sz w:val="20"/>
          <w:szCs w:val="20"/>
          <w:color w:val="auto"/>
        </w:rPr>
      </w:pPr>
    </w:p>
    <w:p>
      <w:pPr>
        <w:ind w:right="260" w:firstLine="1175"/>
        <w:spacing w:after="0" w:line="277" w:lineRule="auto"/>
        <w:rPr>
          <w:sz w:val="20"/>
          <w:szCs w:val="20"/>
          <w:color w:val="auto"/>
        </w:rPr>
      </w:pPr>
      <w:r>
        <w:rPr>
          <w:rFonts w:ascii="Arial" w:cs="Arial" w:eastAsia="Arial" w:hAnsi="Arial"/>
          <w:sz w:val="18"/>
          <w:szCs w:val="18"/>
          <w:color w:val="auto"/>
        </w:rPr>
        <w:t>For additional details regarding our relationship with Lonza, see Note 5, “Commitments and Contingencies,” to our financial statements included in Part II, Item 8 of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ind w:right="300" w:firstLine="1175"/>
        <w:spacing w:after="0" w:line="275" w:lineRule="auto"/>
        <w:rPr>
          <w:sz w:val="20"/>
          <w:szCs w:val="20"/>
          <w:color w:val="auto"/>
        </w:rPr>
      </w:pPr>
      <w:r>
        <w:rPr>
          <w:rFonts w:ascii="Arial" w:cs="Arial" w:eastAsia="Arial" w:hAnsi="Arial"/>
          <w:sz w:val="17"/>
          <w:szCs w:val="17"/>
          <w:color w:val="auto"/>
        </w:rPr>
        <w:t>We are continuing to closely monitor the impact of the global COVID-19 pandemic on our business and are taking proactive efforts designed to protect the health and safety of our employees and to maintain business continuity. We believe that the measures we have implemented and continue to implement are appropriate, and we will continue to monitor and seek to comply with guidance from governmental authorities and adjust our activities as appropriate. Based on guidance issued by federal, state and local authorities, we transitioned to a remote work model for our non-lab based employees in March 2020, while maintaining essential in-person laboratory functions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7" w:name="page108"/>
    <w:bookmarkEnd w:id="107"/>
    <w:p>
      <w:pPr>
        <w:ind w:right="460"/>
        <w:spacing w:after="0" w:line="277" w:lineRule="auto"/>
        <w:rPr>
          <w:sz w:val="20"/>
          <w:szCs w:val="20"/>
          <w:color w:val="auto"/>
        </w:rPr>
      </w:pPr>
      <w:r>
        <w:rPr>
          <w:rFonts w:ascii="Arial" w:cs="Arial" w:eastAsia="Arial" w:hAnsi="Arial"/>
          <w:sz w:val="18"/>
          <w:szCs w:val="18"/>
          <w:color w:val="auto"/>
        </w:rPr>
        <w:t>in order to advance key research and development initiatives, supported by the implementation of updated onsite safety procedures, including routine testing of employees.</w:t>
      </w:r>
    </w:p>
    <w:p>
      <w:pPr>
        <w:spacing w:after="0" w:line="170" w:lineRule="exact"/>
        <w:rPr>
          <w:sz w:val="20"/>
          <w:szCs w:val="20"/>
          <w:color w:val="auto"/>
        </w:rPr>
      </w:pPr>
    </w:p>
    <w:p>
      <w:pPr>
        <w:ind w:right="40" w:firstLine="1175"/>
        <w:spacing w:after="0" w:line="273" w:lineRule="auto"/>
        <w:rPr>
          <w:sz w:val="20"/>
          <w:szCs w:val="20"/>
          <w:color w:val="auto"/>
        </w:rPr>
      </w:pPr>
      <w:r>
        <w:rPr>
          <w:rFonts w:ascii="Arial" w:cs="Arial" w:eastAsia="Arial" w:hAnsi="Arial"/>
          <w:sz w:val="17"/>
          <w:szCs w:val="17"/>
          <w:color w:val="auto"/>
        </w:rPr>
        <w:t>In particular, the COVID-19 pandemic slowed raw material supply chains and travel restrictions delayed the qualification of key analytical equipment used in manufacturing and curtailed in-person CMO oversight of manufacturing, affecting our manufacturing processes. As the pandemic continues, we could see an additional impact on our ability to advance our programs, obtain supplies from our contract manufacturers or interact with regulators, ethics committees or other important agencies due to limitations in regulatory authority, employee resources or otherwise. In any event, if the COVID-19 pandemic continues and persists for an extended period of time, we could experience significant disruptions to our development timelines, which would adversely affect our business, financial condition, results of operations and growth prospects.</w:t>
      </w:r>
    </w:p>
    <w:p>
      <w:pPr>
        <w:spacing w:after="0" w:line="178" w:lineRule="exact"/>
        <w:rPr>
          <w:sz w:val="20"/>
          <w:szCs w:val="20"/>
          <w:color w:val="auto"/>
        </w:rPr>
      </w:pPr>
    </w:p>
    <w:p>
      <w:pPr>
        <w:ind w:right="60" w:firstLine="1175"/>
        <w:spacing w:after="0" w:line="259" w:lineRule="auto"/>
        <w:rPr>
          <w:sz w:val="20"/>
          <w:szCs w:val="20"/>
          <w:color w:val="auto"/>
        </w:rPr>
      </w:pPr>
      <w:r>
        <w:rPr>
          <w:rFonts w:ascii="Arial" w:cs="Arial" w:eastAsia="Arial" w:hAnsi="Arial"/>
          <w:sz w:val="18"/>
          <w:szCs w:val="18"/>
          <w:color w:val="auto"/>
        </w:rPr>
        <w:t>In addition, while the potential economic impact brought by, and the duration of, the COVID-19 pandemic may be difficult to assess or predict, the pandemic could result in significant and prolonged disruption of global financial markets, reducing our ability to access capital, which could in the future negatively affect our liquidity. In addition, a recession or market correction resulting from the continued spread of COVID-19 could materially affect our business and the potential value of our common stock.</w:t>
      </w:r>
    </w:p>
    <w:p>
      <w:pPr>
        <w:spacing w:after="0" w:line="187" w:lineRule="exact"/>
        <w:rPr>
          <w:sz w:val="20"/>
          <w:szCs w:val="20"/>
          <w:color w:val="auto"/>
        </w:rPr>
      </w:pPr>
    </w:p>
    <w:p>
      <w:pPr>
        <w:ind w:right="20" w:firstLine="1175"/>
        <w:spacing w:after="0" w:line="255" w:lineRule="auto"/>
        <w:rPr>
          <w:sz w:val="20"/>
          <w:szCs w:val="20"/>
          <w:color w:val="auto"/>
        </w:rPr>
      </w:pPr>
      <w:r>
        <w:rPr>
          <w:rFonts w:ascii="Arial" w:cs="Arial" w:eastAsia="Arial" w:hAnsi="Arial"/>
          <w:sz w:val="18"/>
          <w:szCs w:val="18"/>
          <w:color w:val="auto"/>
        </w:rPr>
        <w:t>The extent of the impact of the COVID-19 pandemic on our development and regulatory efforts, our ability to raise sufficient additional capital on acceptable terms, if at all,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in the United States and in other countries, and the effectiveness of actions taken globally to contain and treat COVID-19. For additional information about risks and uncertainties related to the COVID-19 pandemic that may impact our business, financial condition and results of operations, see the section titled “Risk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80" w:firstLine="1175"/>
        <w:spacing w:after="0" w:line="293" w:lineRule="auto"/>
        <w:rPr>
          <w:sz w:val="20"/>
          <w:szCs w:val="20"/>
          <w:color w:val="auto"/>
        </w:rPr>
      </w:pPr>
      <w:r>
        <w:rPr>
          <w:rFonts w:ascii="Arial" w:cs="Arial" w:eastAsia="Arial" w:hAnsi="Arial"/>
          <w:sz w:val="16"/>
          <w:szCs w:val="16"/>
          <w:color w:val="auto"/>
        </w:rPr>
        <w:t>Research and development expenses represent costs incurred in performing research, development and manufacturing activities in support of our own product development efforts and include personnel-related costs (such as salaries, employee benefits and stock-based compensation) for our personnel in research and development functions; costs related to acquiring, developing and manufacturing supplies for preclinical studies, clinical trials and other studies, including fees paid to contract manufacturing organizations; costs and expenses related to agreements with contract research organizations, investigative sites and consultants to conduct non-clinical and preclinical studies and clinical trials; professional and consulting services costs; research and development consumables costs; laboratory supplies and equipment costs; and facility and other allocated costs.</w:t>
      </w:r>
    </w:p>
    <w:p>
      <w:pPr>
        <w:spacing w:after="0" w:line="164" w:lineRule="exact"/>
        <w:rPr>
          <w:sz w:val="20"/>
          <w:szCs w:val="20"/>
          <w:color w:val="auto"/>
        </w:rPr>
      </w:pPr>
    </w:p>
    <w:p>
      <w:pPr>
        <w:ind w:firstLine="1175"/>
        <w:spacing w:after="0" w:line="275" w:lineRule="auto"/>
        <w:rPr>
          <w:sz w:val="20"/>
          <w:szCs w:val="20"/>
          <w:color w:val="auto"/>
        </w:rPr>
      </w:pPr>
      <w:r>
        <w:rPr>
          <w:rFonts w:ascii="Arial" w:cs="Arial" w:eastAsia="Arial" w:hAnsi="Arial"/>
          <w:sz w:val="17"/>
          <w:szCs w:val="17"/>
          <w:color w:val="auto"/>
        </w:rPr>
        <w:t>Research and development expenses are expensed as incurred. Non-refundable advance payments for services that will be used or rendered for future research and development activities are recorded as prepaid expenses and recognized as expenses as the related services are performed. We do not allocate our costs by vaccine candidates, as our vaccine candidates are at an early stage of development and our research and development expenses include internal costs, such as payroll and other personnel expenses, which are not tracked by vaccine candidate. In particular, with respect to internal costs, several of our departments support multiple vaccine candidate research and development programs.</w:t>
      </w:r>
    </w:p>
    <w:p>
      <w:pPr>
        <w:spacing w:after="0" w:line="176" w:lineRule="exact"/>
        <w:rPr>
          <w:sz w:val="20"/>
          <w:szCs w:val="20"/>
          <w:color w:val="auto"/>
        </w:rPr>
      </w:pPr>
    </w:p>
    <w:p>
      <w:pPr>
        <w:jc w:val="both"/>
        <w:ind w:right="20" w:firstLine="1175"/>
        <w:spacing w:after="0" w:line="287" w:lineRule="auto"/>
        <w:rPr>
          <w:sz w:val="20"/>
          <w:szCs w:val="20"/>
          <w:color w:val="auto"/>
        </w:rPr>
      </w:pPr>
      <w:r>
        <w:rPr>
          <w:rFonts w:ascii="Arial" w:cs="Arial" w:eastAsia="Arial" w:hAnsi="Arial"/>
          <w:sz w:val="16"/>
          <w:szCs w:val="16"/>
          <w:color w:val="auto"/>
        </w:rPr>
        <w:t>We expect our research and development expenses to increase substantially in absolute dollars for the foreseeable future as we advance our vaccine candidates into and through preclinical studies and clinical trials, pursue regulatory approval of our vaccine candidates and expand our pipeline of vaccine candidates. The process of conducting the necessary preclinical and clinical research to obtain regulatory approval is costly and time-consuming.</w:t>
      </w:r>
    </w:p>
    <w:p>
      <w:pPr>
        <w:spacing w:after="0" w:line="2"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The actual probability of success for our vaccine candidates may be affected by a variety of factors, including the safety and efficacy of our vaccine candidates, early clinical data, investment in our clinical programs,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8" w:name="page109"/>
    <w:bookmarkEnd w:id="108"/>
    <w:p>
      <w:pPr>
        <w:jc w:val="both"/>
        <w:ind w:right="20"/>
        <w:spacing w:after="0" w:line="286" w:lineRule="auto"/>
        <w:rPr>
          <w:sz w:val="20"/>
          <w:szCs w:val="20"/>
          <w:color w:val="auto"/>
        </w:rPr>
      </w:pPr>
      <w:r>
        <w:rPr>
          <w:rFonts w:ascii="Arial" w:cs="Arial" w:eastAsia="Arial" w:hAnsi="Arial"/>
          <w:sz w:val="17"/>
          <w:szCs w:val="17"/>
          <w:color w:val="auto"/>
        </w:rPr>
        <w:t>competition, manufacturing capability and commercial viability. We may never succeed in achieving regulatory approval for any of our vaccine candidates. As a result of the uncertainties discussed above, we are unable to determine the duration and completion costs of our research and development projects or if, when and to what extent we will generate revenue from the commercialization and sale of our vaccine candidates.</w:t>
      </w:r>
    </w:p>
    <w:p>
      <w:pPr>
        <w:spacing w:after="0" w:line="165" w:lineRule="exact"/>
        <w:rPr>
          <w:sz w:val="20"/>
          <w:szCs w:val="20"/>
          <w:color w:val="auto"/>
        </w:rPr>
      </w:pPr>
    </w:p>
    <w:p>
      <w:pPr>
        <w:ind w:firstLine="1175"/>
        <w:spacing w:after="0" w:line="290" w:lineRule="auto"/>
        <w:rPr>
          <w:sz w:val="20"/>
          <w:szCs w:val="20"/>
          <w:color w:val="auto"/>
        </w:rPr>
      </w:pPr>
      <w:r>
        <w:rPr>
          <w:rFonts w:ascii="Arial" w:cs="Arial" w:eastAsia="Arial" w:hAnsi="Arial"/>
          <w:sz w:val="16"/>
          <w:szCs w:val="16"/>
          <w:color w:val="auto"/>
        </w:rPr>
        <w:t>We accrue for costs related to research and development activities based on our estimates of the services received and efforts expended pursuant to quotes and contracts with vendors, including contract manufacturing organizations, or CMOs, that conduct research and development on our behalf. The financial terms of these agreements are subject to negotiation, vary from contract to contract and may result in uneven payment flows. There may be instances in which payments made to our vendors exceed the level of services provided and result in a prepayment of the research and development expense. Advance payments for goods and services to be used in future research and development activities are expensed when the activity has been performed or when the goods have been received. We make significant judgments and estimates in determining accrued research and development liabilities as of each reporting period based on the estimated time period over which services will be performed and the level of effort to be expended. If the actual timing of the performance of services or the level of effort varies from our estimate, we adjust the accrual or prepaid expense accordingly.</w:t>
      </w:r>
    </w:p>
    <w:p>
      <w:pPr>
        <w:spacing w:after="0" w:line="165" w:lineRule="exact"/>
        <w:rPr>
          <w:sz w:val="20"/>
          <w:szCs w:val="20"/>
          <w:color w:val="auto"/>
        </w:rPr>
      </w:pPr>
    </w:p>
    <w:p>
      <w:pPr>
        <w:ind w:right="20" w:firstLine="1175"/>
        <w:spacing w:after="0" w:line="263" w:lineRule="auto"/>
        <w:rPr>
          <w:sz w:val="20"/>
          <w:szCs w:val="20"/>
          <w:color w:val="auto"/>
        </w:rPr>
      </w:pPr>
      <w:r>
        <w:rPr>
          <w:rFonts w:ascii="Arial" w:cs="Arial" w:eastAsia="Arial" w:hAnsi="Arial"/>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w:t>
      </w:r>
    </w:p>
    <w:p>
      <w:pPr>
        <w:spacing w:after="0" w:line="18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Our clinical development costs may vary significantly based on factors such as:</w:t>
      </w:r>
    </w:p>
    <w:p>
      <w:pPr>
        <w:spacing w:after="0" w:line="225" w:lineRule="exact"/>
        <w:rPr>
          <w:sz w:val="20"/>
          <w:szCs w:val="20"/>
          <w:color w:val="auto"/>
        </w:rPr>
      </w:pPr>
    </w:p>
    <w:p>
      <w:pPr>
        <w:ind w:left="1620" w:right="280" w:hanging="438"/>
        <w:spacing w:after="0" w:line="277"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costs and timing of our chemistry, manufacturing and controls, or CMC, activities, including fulfilling GMP-related standards and compliance, and identifying and qualifying a second supplier;</w:t>
      </w:r>
    </w:p>
    <w:p>
      <w:pPr>
        <w:spacing w:after="0" w:line="170" w:lineRule="exact"/>
        <w:rPr>
          <w:rFonts w:ascii="Arial" w:cs="Arial" w:eastAsia="Arial" w:hAnsi="Arial"/>
          <w:sz w:val="18"/>
          <w:szCs w:val="18"/>
          <w:color w:val="auto"/>
        </w:rPr>
      </w:pPr>
    </w:p>
    <w:p>
      <w:pPr>
        <w:ind w:left="1620" w:hanging="438"/>
        <w:spacing w:after="0"/>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costs related to raw materials estimates from our third-party manufacturing and supply partners;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 of clinical trials of our vaccine candidates being greater than we anticipate;</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changes in the standard of care on which a clinical development plan was based, which may require new or additional trials;</w:t>
      </w:r>
    </w:p>
    <w:p>
      <w:pPr>
        <w:spacing w:after="0" w:line="263" w:lineRule="exact"/>
        <w:rPr>
          <w:rFonts w:ascii="Arial" w:cs="Arial" w:eastAsia="Arial" w:hAnsi="Arial"/>
          <w:sz w:val="17"/>
          <w:szCs w:val="17"/>
          <w:color w:val="auto"/>
        </w:rPr>
      </w:pPr>
    </w:p>
    <w:p>
      <w:pPr>
        <w:ind w:left="1620" w:hanging="438"/>
        <w:spacing w:after="0"/>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delays in adding a sufficient number of trial sites and recruiting suitable volunteers to participate in our clinical trials;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subjects that participate in the trials;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doses that subjects receive;</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subjects dropping out of a study or lost in follow-up;</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duration of subject participation in the trials and follow-up;</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 and timing of manufacturing our vaccine candidates;</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phase of development of our vaccine candidates; and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9" w:name="page110"/>
    <w:bookmarkEnd w:id="109"/>
    <w:p>
      <w:pPr>
        <w:ind w:left="1620" w:hanging="438"/>
        <w:spacing w:after="0"/>
        <w:tabs>
          <w:tab w:leader="none" w:pos="1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efficacy and safety profile of our vaccine candidates.</w:t>
      </w:r>
    </w:p>
    <w:p>
      <w:pPr>
        <w:spacing w:after="0" w:line="252"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firstLine="1175"/>
        <w:spacing w:after="0" w:line="290" w:lineRule="auto"/>
        <w:rPr>
          <w:sz w:val="20"/>
          <w:szCs w:val="20"/>
          <w:color w:val="auto"/>
        </w:rPr>
      </w:pPr>
      <w:r>
        <w:rPr>
          <w:rFonts w:ascii="Arial" w:cs="Arial" w:eastAsia="Arial" w:hAnsi="Arial"/>
          <w:sz w:val="16"/>
          <w:szCs w:val="16"/>
          <w:color w:val="auto"/>
        </w:rPr>
        <w:t>General and administrative expenses consist primarily of costs and expenses related to personnel (including salaries, employee benefits and stock-based compensation) in our executive, legal, finance and accounting, human resources and other administrative functions; legal services, including relating to intellectual property and corporate matters; accounting, auditing, consulting and tax services; insurance; and facility and other allocated costs not otherwise included in research and development expenses. We expect our general and administrative expenses to increase substantially in absolute dollars for the foreseeable future as we increase our headcount to support our continued research and development activities and grow our business. We also anticipate that we will incur increased expenses as a result of operating as a public company, including expenses related to audit, legal, regulatory and tax-related services associated with maintaining compliance with SEC rules and regulations and those of any national securities exchange on which our securities are traded, additional insurance expenses, investor relations activities and other administrative and professional services.</w:t>
      </w:r>
    </w:p>
    <w:p>
      <w:pPr>
        <w:spacing w:after="0" w:line="165"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220" w:firstLine="1175"/>
        <w:spacing w:after="0" w:line="296" w:lineRule="auto"/>
        <w:rPr>
          <w:sz w:val="20"/>
          <w:szCs w:val="20"/>
          <w:color w:val="auto"/>
        </w:rPr>
      </w:pPr>
      <w:r>
        <w:rPr>
          <w:rFonts w:ascii="Arial" w:cs="Arial" w:eastAsia="Arial" w:hAnsi="Arial"/>
          <w:sz w:val="16"/>
          <w:szCs w:val="16"/>
          <w:color w:val="auto"/>
        </w:rPr>
        <w:t>Other income (expense), net includes interest expense incurred on our capital leases for lab equipment, interest income earned from our cash and cash equivalents, grant income, foreign currency transaction gains (losses) related to our Swiss Franc cash and liability balances and changes in the fair value of our redeemable convertible preferred stock tranche liability (see Note 2, “Basis of Presentation and Summary of Significant Accounting Policies,” Note 3, “Fair Value Measurements and Fair Value of Financial Instruments,” and Note 6, “Redeemable Convertible Preferred Stock,” to our financial statements included in Part II, Item 8 of this Annual Report on Form 10-K for more detail).</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Grant Income</w:t>
      </w:r>
    </w:p>
    <w:p>
      <w:pPr>
        <w:spacing w:after="0" w:line="225" w:lineRule="exact"/>
        <w:rPr>
          <w:sz w:val="20"/>
          <w:szCs w:val="20"/>
          <w:color w:val="auto"/>
        </w:rPr>
      </w:pPr>
    </w:p>
    <w:p>
      <w:pPr>
        <w:ind w:right="120" w:firstLine="1175"/>
        <w:spacing w:after="0" w:line="271" w:lineRule="auto"/>
        <w:rPr>
          <w:sz w:val="20"/>
          <w:szCs w:val="20"/>
          <w:color w:val="auto"/>
        </w:rPr>
      </w:pPr>
      <w:r>
        <w:rPr>
          <w:rFonts w:ascii="Arial" w:cs="Arial" w:eastAsia="Arial" w:hAnsi="Arial"/>
          <w:sz w:val="17"/>
          <w:szCs w:val="17"/>
          <w:color w:val="auto"/>
        </w:rPr>
        <w:t>In July 2019, CARB-X awarded us up to $1.6 million in initial funding to advance the development of a universal vaccine to prevent infections caused by Group A Strep Bacteria. In July 2020, the CARB-X agreement was amended to increase the funding percentage for reimbursable expenses during the initial funding period from 50% to 90%. As a result, the initial funding amount increased from $1.6 million to $2.7 million. Income is recognized as we incur and pay qualifying expenses over a period that ends on December 31, 2020. Qualifying expenses under this funding arrangement are recorded as a receivable when we have both incurred and paid the expenses. We recognized $2.5 million and $0.2 million in grant income for funding research and development under this award during the years ended December 31, 2020 and 2019, respectively. No grant income was recognized for the year ended December 31, 2018 because the grant was not awarded until 2019. Grant income is included as a component of Other income (expense), net in the statements of operations and comprehensive loss.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4"/>
              </w:rPr>
              <w:t>Year Ended December 31,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Change</w:t>
            </w:r>
          </w:p>
        </w:tc>
        <w:tc>
          <w:tcPr>
            <w:tcW w:w="1120" w:type="dxa"/>
            <w:vAlign w:val="bottom"/>
            <w:tcBorders>
              <w:bottom w:val="single" w:sz="8" w:color="auto"/>
            </w:tcBorders>
          </w:tcPr>
          <w:p>
            <w:pPr>
              <w:spacing w:after="0"/>
              <w:rPr>
                <w:sz w:val="20"/>
                <w:szCs w:val="20"/>
                <w:color w:val="auto"/>
              </w:rPr>
            </w:pPr>
          </w:p>
        </w:tc>
      </w:tr>
      <w:tr>
        <w:trPr>
          <w:trHeight w:val="223"/>
        </w:trPr>
        <w:tc>
          <w:tcPr>
            <w:tcW w:w="2600" w:type="dxa"/>
            <w:vAlign w:val="bottom"/>
            <w:tcBorders>
              <w:bottom w:val="single" w:sz="8" w:color="CFF0FC"/>
            </w:tcBorders>
          </w:tcPr>
          <w:p>
            <w:pPr>
              <w:spacing w:after="0"/>
              <w:rPr>
                <w:sz w:val="19"/>
                <w:szCs w:val="19"/>
                <w:color w:val="auto"/>
              </w:rPr>
            </w:pPr>
          </w:p>
        </w:tc>
        <w:tc>
          <w:tcPr>
            <w:tcW w:w="18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r>
      <w:tr>
        <w:trPr>
          <w:trHeight w:val="223"/>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4440" w:type="dxa"/>
            <w:vAlign w:val="bottom"/>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73,564</w:t>
            </w:r>
          </w:p>
        </w:tc>
        <w:tc>
          <w:tcPr>
            <w:tcW w:w="1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45,607</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27,957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30"/>
        </w:trPr>
        <w:tc>
          <w:tcPr>
            <w:tcW w:w="4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16,017</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8,546</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7,471</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w:t>
            </w:r>
          </w:p>
        </w:tc>
      </w:tr>
      <w:tr>
        <w:trPr>
          <w:trHeight w:val="223"/>
        </w:trPr>
        <w:tc>
          <w:tcPr>
            <w:tcW w:w="44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89,581</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54,153</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35,428</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65.4%</w:t>
            </w:r>
          </w:p>
        </w:tc>
      </w:tr>
      <w:tr>
        <w:trPr>
          <w:trHeight w:val="223"/>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(89,581)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(54,153)</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(35,428)</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r>
      <w:tr>
        <w:trPr>
          <w:trHeight w:val="229"/>
        </w:trPr>
        <w:tc>
          <w:tcPr>
            <w:tcW w:w="4440" w:type="dxa"/>
            <w:vAlign w:val="bottom"/>
            <w:gridSpan w:val="2"/>
          </w:tcPr>
          <w:p>
            <w:pPr>
              <w:ind w:left="260"/>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632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29"/>
        </w:trPr>
        <w:tc>
          <w:tcPr>
            <w:tcW w:w="4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Grant income</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2,478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2,241</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gridSpan w:val="2"/>
          </w:tcPr>
          <w:p>
            <w:pPr>
              <w:ind w:left="260"/>
              <w:spacing w:after="0"/>
              <w:rPr>
                <w:sz w:val="20"/>
                <w:szCs w:val="20"/>
                <w:color w:val="auto"/>
              </w:rPr>
            </w:pPr>
            <w:r>
              <w:rPr>
                <w:rFonts w:ascii="Arial" w:cs="Arial" w:eastAsia="Arial" w:hAnsi="Arial"/>
                <w:sz w:val="18"/>
                <w:szCs w:val="18"/>
                <w:color w:val="auto"/>
              </w:rPr>
              <w:t>Foreign currency transaction losses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5"/>
        </w:trPr>
        <w:tc>
          <w:tcPr>
            <w:tcW w:w="4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Change in fair value of the redeemable</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30"/>
        </w:trPr>
        <w:tc>
          <w:tcPr>
            <w:tcW w:w="44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convertible preferred stock tranche liability</w:t>
            </w: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3,185</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(3,185)</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44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other income (expense), net</w:t>
            </w:r>
          </w:p>
        </w:tc>
        <w:tc>
          <w:tcPr>
            <w:tcW w:w="9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364</w:t>
            </w:r>
          </w:p>
        </w:tc>
        <w:tc>
          <w:tcPr>
            <w:tcW w:w="1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3,879</w:t>
            </w:r>
          </w:p>
        </w:tc>
        <w:tc>
          <w:tcPr>
            <w:tcW w:w="1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(90.6)%</w:t>
            </w:r>
          </w:p>
        </w:tc>
      </w:tr>
      <w:tr>
        <w:trPr>
          <w:trHeight w:val="223"/>
        </w:trPr>
        <w:tc>
          <w:tcPr>
            <w:tcW w:w="44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9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(89,217)</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(50,274)</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(38,943)</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77.5%</w:t>
            </w:r>
          </w:p>
        </w:tc>
      </w:tr>
      <w:tr>
        <w:trPr>
          <w:trHeight w:val="20"/>
        </w:trPr>
        <w:tc>
          <w:tcPr>
            <w:tcW w:w="2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16"/>
        </w:trPr>
        <w:tc>
          <w:tcPr>
            <w:tcW w:w="2600" w:type="dxa"/>
            <w:vAlign w:val="bottom"/>
            <w:tcBorders>
              <w:bottom w:val="single" w:sz="8" w:color="auto"/>
            </w:tcBorders>
          </w:tcPr>
          <w:p>
            <w:pPr>
              <w:spacing w:after="0"/>
              <w:rPr>
                <w:sz w:val="10"/>
                <w:szCs w:val="10"/>
                <w:color w:val="auto"/>
              </w:rPr>
            </w:pPr>
          </w:p>
        </w:tc>
        <w:tc>
          <w:tcPr>
            <w:tcW w:w="1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spacing w:after="0" w:line="26" w:lineRule="exact"/>
        <w:rPr>
          <w:sz w:val="20"/>
          <w:szCs w:val="20"/>
          <w:color w:val="auto"/>
        </w:rPr>
      </w:pPr>
    </w:p>
    <w:p>
      <w:pPr>
        <w:ind w:left="440" w:hanging="432"/>
        <w:spacing w:after="0"/>
        <w:tabs>
          <w:tab w:leader="none" w:pos="44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not meaningful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following table summarizes our research and development expenses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5"/>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20"/>
                <w:szCs w:val="20"/>
                <w:color w:val="auto"/>
              </w:rPr>
            </w:pPr>
          </w:p>
        </w:tc>
      </w:tr>
      <w:tr>
        <w:trPr>
          <w:trHeight w:val="223"/>
        </w:trPr>
        <w:tc>
          <w:tcPr>
            <w:tcW w:w="53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Product and clinical development </w:t>
            </w:r>
            <w:r>
              <w:rPr>
                <w:rFonts w:ascii="Arial" w:cs="Arial" w:eastAsia="Arial" w:hAnsi="Arial"/>
                <w:sz w:val="15"/>
                <w:szCs w:val="15"/>
                <w:color w:val="auto"/>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51,072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27,985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36"/>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0"/>
              </w:rPr>
              <w:t>23,087</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Personnel-related</w:t>
            </w:r>
          </w:p>
        </w:tc>
        <w:tc>
          <w:tcPr>
            <w:tcW w:w="2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9,943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5,947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3,996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67.2%</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Professional and consulting services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4,184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4,669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Research and development consumables</w:t>
            </w:r>
          </w:p>
        </w:tc>
        <w:tc>
          <w:tcPr>
            <w:tcW w:w="2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2,288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2,474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Facility related and other allocated</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2,957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2,422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535</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Laboratory supplies and equipment</w:t>
            </w:r>
          </w:p>
        </w:tc>
        <w:tc>
          <w:tcPr>
            <w:tcW w:w="2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2,032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1,174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858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1,088</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r>
      <w:tr>
        <w:trPr>
          <w:trHeight w:val="223"/>
        </w:trPr>
        <w:tc>
          <w:tcPr>
            <w:tcW w:w="5360" w:type="dxa"/>
            <w:vAlign w:val="bottom"/>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73,564</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45,607</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36"/>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27,957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459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55" w:lineRule="exact"/>
        <w:rPr>
          <w:sz w:val="20"/>
          <w:szCs w:val="20"/>
          <w:color w:val="auto"/>
        </w:rPr>
      </w:pPr>
    </w:p>
    <w:p>
      <w:pPr>
        <w:ind w:left="440" w:hanging="432"/>
        <w:spacing w:after="0"/>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expenses for third-party manufacturing and outsourced contract services, including preclinical studies and outsourced assays.</w:t>
      </w:r>
    </w:p>
    <w:p>
      <w:pPr>
        <w:spacing w:after="0" w:line="23" w:lineRule="exact"/>
        <w:rPr>
          <w:rFonts w:ascii="Arial" w:cs="Arial" w:eastAsia="Arial" w:hAnsi="Arial"/>
          <w:sz w:val="18"/>
          <w:szCs w:val="18"/>
          <w:color w:val="auto"/>
        </w:rPr>
      </w:pPr>
    </w:p>
    <w:p>
      <w:pPr>
        <w:ind w:left="440" w:hanging="432"/>
        <w:spacing w:after="0"/>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travel-related expenses, warrant expense and other miscellaneous office expenses.</w:t>
      </w:r>
    </w:p>
    <w:p>
      <w:pPr>
        <w:spacing w:after="0" w:line="224" w:lineRule="exact"/>
        <w:rPr>
          <w:sz w:val="20"/>
          <w:szCs w:val="20"/>
          <w:color w:val="auto"/>
        </w:rPr>
      </w:pPr>
    </w:p>
    <w:p>
      <w:pPr>
        <w:ind w:right="60" w:firstLine="1175"/>
        <w:spacing w:after="0" w:line="255" w:lineRule="auto"/>
        <w:rPr>
          <w:sz w:val="20"/>
          <w:szCs w:val="20"/>
          <w:color w:val="auto"/>
        </w:rPr>
      </w:pPr>
      <w:r>
        <w:rPr>
          <w:rFonts w:ascii="Arial" w:cs="Arial" w:eastAsia="Arial" w:hAnsi="Arial"/>
          <w:sz w:val="18"/>
          <w:szCs w:val="18"/>
          <w:color w:val="auto"/>
        </w:rPr>
        <w:t>Research and development expenses increased by $28.0 million, or 61.3%, in 2020 compared to 2019. The increase was primarily attributable to an increase of $23.1 million in product and clinical development expenses mainly related to our lead vaccine candidate, VAX-24, driven by increases of $18.6 million in outsourced manufacturing activities and $4.5 million in outsourced research services due to the ramp-up of the eCRM and polysaccharide GMP campaigns and conjugation and drug product activities in preparation for our anticipated IND application submission between January and June 2022 and Phase 1/2 clinical study initiation thereafter. The increase in personnel-related expenses of $4.0 million was primarily related to the increase in the number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1" w:name="page112"/>
    <w:bookmarkEnd w:id="111"/>
    <w:p>
      <w:pPr>
        <w:ind w:right="100"/>
        <w:spacing w:after="0" w:line="342" w:lineRule="auto"/>
        <w:rPr>
          <w:sz w:val="20"/>
          <w:szCs w:val="20"/>
          <w:color w:val="auto"/>
        </w:rPr>
      </w:pPr>
      <w:r>
        <w:rPr>
          <w:rFonts w:ascii="Arial" w:cs="Arial" w:eastAsia="Arial" w:hAnsi="Arial"/>
          <w:sz w:val="16"/>
          <w:szCs w:val="16"/>
          <w:color w:val="auto"/>
        </w:rPr>
        <w:t>employees to support our expansion in research and development activities and higher stock-based compensation expense resulting from an increase in the number of options granted during the year and an increase in the fair value of our common stock affecting the valuation of new option grants.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40" w:firstLine="1175"/>
        <w:spacing w:after="0" w:line="255" w:lineRule="auto"/>
        <w:rPr>
          <w:sz w:val="20"/>
          <w:szCs w:val="20"/>
          <w:color w:val="auto"/>
        </w:rPr>
      </w:pPr>
      <w:r>
        <w:rPr>
          <w:rFonts w:ascii="Arial" w:cs="Arial" w:eastAsia="Arial" w:hAnsi="Arial"/>
          <w:sz w:val="18"/>
          <w:szCs w:val="18"/>
          <w:color w:val="auto"/>
        </w:rPr>
        <w:t>General and administrative expenses increased by $7.5 million, or 87.4%, in 2020 compared to 2019. The increase was mainly due to increases of $3.9 million in personnel-related costs related to higher stock-based compensation expense resulting from an increase in the number of options granted during the year and an increase in the fair value of our common stock affecting the valuation of new option grants, as well as growth in the number of employees in our general and administrative functions, $1.6 million in professional and consulting services resulting from increased legal expenses and consulting costs, and $1.7 million in other expenses primarily due to an increase in directors and officers insurance expense as a result of being a public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20" w:firstLine="1175"/>
        <w:spacing w:after="0" w:line="257" w:lineRule="auto"/>
        <w:rPr>
          <w:sz w:val="20"/>
          <w:szCs w:val="20"/>
          <w:color w:val="auto"/>
        </w:rPr>
      </w:pPr>
      <w:r>
        <w:rPr>
          <w:rFonts w:ascii="Arial" w:cs="Arial" w:eastAsia="Arial" w:hAnsi="Arial"/>
          <w:sz w:val="18"/>
          <w:szCs w:val="18"/>
          <w:color w:val="auto"/>
        </w:rPr>
        <w:t>Other income (expense), net decreased by $3.5 million, or 90.6%, in 2020 compared to 2019. During 2019, we recognized a $3.2 million gain resulting from a change in the fair value of the redeemable convertible preferred stock tranche liability, which was settled in December 2019, and there was no such gain recognized during 2020. Other income (expense), net also decreased due to an increase in foreign currency losses of $2.2 million resulting from the depreciation of the U.S. Dollar against the Swiss Franc. These decreases were partially offset by an increase of $2.2 million in grant income from the CARB-X program, which commenced in July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4"/>
              </w:rPr>
              <w:t>Year Ended December 31,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Change</w:t>
            </w:r>
          </w:p>
        </w:tc>
        <w:tc>
          <w:tcPr>
            <w:tcW w:w="1120" w:type="dxa"/>
            <w:vAlign w:val="bottom"/>
            <w:tcBorders>
              <w:bottom w:val="single" w:sz="8" w:color="auto"/>
            </w:tcBorders>
          </w:tcPr>
          <w:p>
            <w:pPr>
              <w:spacing w:after="0"/>
              <w:rPr>
                <w:sz w:val="20"/>
                <w:szCs w:val="20"/>
                <w:color w:val="auto"/>
              </w:rPr>
            </w:pPr>
          </w:p>
        </w:tc>
      </w:tr>
      <w:tr>
        <w:trPr>
          <w:trHeight w:val="223"/>
        </w:trPr>
        <w:tc>
          <w:tcPr>
            <w:tcW w:w="2600" w:type="dxa"/>
            <w:vAlign w:val="bottom"/>
            <w:tcBorders>
              <w:bottom w:val="single" w:sz="8" w:color="CFF0FC"/>
            </w:tcBorders>
          </w:tcPr>
          <w:p>
            <w:pPr>
              <w:spacing w:after="0"/>
              <w:rPr>
                <w:sz w:val="19"/>
                <w:szCs w:val="19"/>
                <w:color w:val="auto"/>
              </w:rPr>
            </w:pPr>
          </w:p>
        </w:tc>
        <w:tc>
          <w:tcPr>
            <w:tcW w:w="18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r>
      <w:tr>
        <w:trPr>
          <w:trHeight w:val="223"/>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4440" w:type="dxa"/>
            <w:vAlign w:val="bottom"/>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45,607</w:t>
            </w:r>
          </w:p>
        </w:tc>
        <w:tc>
          <w:tcPr>
            <w:tcW w:w="1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30,145</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15,462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30"/>
        </w:trPr>
        <w:tc>
          <w:tcPr>
            <w:tcW w:w="4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8,546</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5,388</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3,158</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r>
      <w:tr>
        <w:trPr>
          <w:trHeight w:val="223"/>
        </w:trPr>
        <w:tc>
          <w:tcPr>
            <w:tcW w:w="44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54,153</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35,533</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18,620</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52.4%</w:t>
            </w:r>
          </w:p>
        </w:tc>
      </w:tr>
      <w:tr>
        <w:trPr>
          <w:trHeight w:val="223"/>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(54,153)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(35,533)</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(18,620)</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r>
      <w:tr>
        <w:trPr>
          <w:trHeight w:val="230"/>
        </w:trPr>
        <w:tc>
          <w:tcPr>
            <w:tcW w:w="4440" w:type="dxa"/>
            <w:vAlign w:val="bottom"/>
            <w:gridSpan w:val="2"/>
          </w:tcPr>
          <w:p>
            <w:pPr>
              <w:ind w:left="260"/>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903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4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Grant income</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gridSpan w:val="2"/>
          </w:tcPr>
          <w:p>
            <w:pPr>
              <w:ind w:left="260"/>
              <w:spacing w:after="0"/>
              <w:rPr>
                <w:sz w:val="20"/>
                <w:szCs w:val="20"/>
                <w:color w:val="auto"/>
              </w:rPr>
            </w:pPr>
            <w:r>
              <w:rPr>
                <w:rFonts w:ascii="Arial" w:cs="Arial" w:eastAsia="Arial" w:hAnsi="Arial"/>
                <w:sz w:val="18"/>
                <w:szCs w:val="18"/>
                <w:color w:val="auto"/>
              </w:rPr>
              <w:t>Foreign currency transaction losses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15"/>
        </w:trPr>
        <w:tc>
          <w:tcPr>
            <w:tcW w:w="4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Change in fair value of the redeemable</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30"/>
        </w:trPr>
        <w:tc>
          <w:tcPr>
            <w:tcW w:w="44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convertible preferred stock tranche liability</w:t>
            </w:r>
          </w:p>
        </w:tc>
        <w:tc>
          <w:tcPr>
            <w:tcW w:w="9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3,185</w:t>
            </w:r>
          </w:p>
        </w:tc>
        <w:tc>
          <w:tcPr>
            <w:tcW w:w="14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5,178</w:t>
            </w:r>
          </w:p>
        </w:tc>
        <w:tc>
          <w:tcPr>
            <w:tcW w:w="14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r>
      <w:tr>
        <w:trPr>
          <w:trHeight w:val="223"/>
        </w:trPr>
        <w:tc>
          <w:tcPr>
            <w:tcW w:w="44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other income (expense), net</w:t>
            </w: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3,879</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6,048</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(35.9)%</w:t>
            </w:r>
          </w:p>
        </w:tc>
      </w:tr>
      <w:tr>
        <w:trPr>
          <w:trHeight w:val="223"/>
        </w:trPr>
        <w:tc>
          <w:tcPr>
            <w:tcW w:w="44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9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(50,274)</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(29,485)</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(20,789)</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70.5%</w:t>
            </w:r>
          </w:p>
        </w:tc>
      </w:tr>
      <w:tr>
        <w:trPr>
          <w:trHeight w:val="20"/>
        </w:trPr>
        <w:tc>
          <w:tcPr>
            <w:tcW w:w="2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16"/>
        </w:trPr>
        <w:tc>
          <w:tcPr>
            <w:tcW w:w="2600" w:type="dxa"/>
            <w:vAlign w:val="bottom"/>
            <w:tcBorders>
              <w:bottom w:val="single" w:sz="8" w:color="auto"/>
            </w:tcBorders>
          </w:tcPr>
          <w:p>
            <w:pPr>
              <w:spacing w:after="0"/>
              <w:rPr>
                <w:sz w:val="10"/>
                <w:szCs w:val="10"/>
                <w:color w:val="auto"/>
              </w:rPr>
            </w:pPr>
          </w:p>
        </w:tc>
        <w:tc>
          <w:tcPr>
            <w:tcW w:w="1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spacing w:after="0" w:line="26" w:lineRule="exact"/>
        <w:rPr>
          <w:sz w:val="20"/>
          <w:szCs w:val="20"/>
          <w:color w:val="auto"/>
        </w:rPr>
      </w:pPr>
    </w:p>
    <w:p>
      <w:pPr>
        <w:ind w:left="440" w:hanging="432"/>
        <w:spacing w:after="0"/>
        <w:tabs>
          <w:tab w:leader="none" w:pos="44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not meaningful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8320" w:type="dxa"/>
            <w:vAlign w:val="bottom"/>
            <w:gridSpan w:val="8"/>
          </w:tcPr>
          <w:p>
            <w:pPr>
              <w:ind w:left="1180"/>
              <w:spacing w:after="0"/>
              <w:rPr>
                <w:sz w:val="20"/>
                <w:szCs w:val="20"/>
                <w:color w:val="auto"/>
              </w:rPr>
            </w:pPr>
            <w:r>
              <w:rPr>
                <w:rFonts w:ascii="Arial" w:cs="Arial" w:eastAsia="Arial" w:hAnsi="Arial"/>
                <w:sz w:val="18"/>
                <w:szCs w:val="18"/>
                <w:color w:val="auto"/>
                <w:w w:val="89"/>
              </w:rPr>
              <w:t>The following table summarizes our research and development expenses for the periods presented:</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73"/>
        </w:trPr>
        <w:tc>
          <w:tcPr>
            <w:tcW w:w="26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5"/>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3"/>
          </w:tcPr>
          <w:p>
            <w:pPr>
              <w:ind w:left="72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24"/>
                <w:szCs w:val="24"/>
                <w:color w:val="auto"/>
              </w:rPr>
            </w:pPr>
          </w:p>
        </w:tc>
      </w:tr>
      <w:tr>
        <w:trPr>
          <w:trHeight w:val="223"/>
        </w:trPr>
        <w:tc>
          <w:tcPr>
            <w:tcW w:w="2600" w:type="dxa"/>
            <w:vAlign w:val="bottom"/>
            <w:tcBorders>
              <w:bottom w:val="single" w:sz="8" w:color="CFF0FC"/>
            </w:tcBorders>
          </w:tcPr>
          <w:p>
            <w:pPr>
              <w:spacing w:after="0"/>
              <w:rPr>
                <w:sz w:val="19"/>
                <w:szCs w:val="19"/>
                <w:color w:val="auto"/>
              </w:rPr>
            </w:pPr>
          </w:p>
        </w:tc>
        <w:tc>
          <w:tcPr>
            <w:tcW w:w="27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r>
      <w:tr>
        <w:trPr>
          <w:trHeight w:val="223"/>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Product and clinical development </w:t>
            </w:r>
            <w:r>
              <w:rPr>
                <w:rFonts w:ascii="Arial" w:cs="Arial" w:eastAsia="Arial" w:hAnsi="Arial"/>
                <w:sz w:val="15"/>
                <w:szCs w:val="15"/>
                <w:color w:val="auto"/>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27,985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14,824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13,161</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w:t>
            </w:r>
          </w:p>
        </w:tc>
      </w:tr>
      <w:tr>
        <w:trPr>
          <w:trHeight w:val="229"/>
        </w:trPr>
        <w:tc>
          <w:tcPr>
            <w:tcW w:w="5360" w:type="dxa"/>
            <w:vAlign w:val="bottom"/>
            <w:gridSpan w:val="2"/>
          </w:tcPr>
          <w:p>
            <w:pPr>
              <w:spacing w:after="0"/>
              <w:rPr>
                <w:sz w:val="20"/>
                <w:szCs w:val="20"/>
                <w:color w:val="auto"/>
              </w:rPr>
            </w:pPr>
            <w:r>
              <w:rPr>
                <w:rFonts w:ascii="Arial" w:cs="Arial" w:eastAsia="Arial" w:hAnsi="Arial"/>
                <w:sz w:val="18"/>
                <w:szCs w:val="18"/>
                <w:color w:val="auto"/>
              </w:rPr>
              <w:t>Personnel-related</w:t>
            </w:r>
          </w:p>
        </w:tc>
        <w:tc>
          <w:tcPr>
            <w:tcW w:w="2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5,947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5,328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619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Professional and consulting services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4,669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3,567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1,102</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r>
      <w:tr>
        <w:trPr>
          <w:trHeight w:val="229"/>
        </w:trPr>
        <w:tc>
          <w:tcPr>
            <w:tcW w:w="5360" w:type="dxa"/>
            <w:vAlign w:val="bottom"/>
            <w:gridSpan w:val="2"/>
          </w:tcPr>
          <w:p>
            <w:pPr>
              <w:spacing w:after="0"/>
              <w:rPr>
                <w:sz w:val="20"/>
                <w:szCs w:val="20"/>
                <w:color w:val="auto"/>
              </w:rPr>
            </w:pPr>
            <w:r>
              <w:rPr>
                <w:rFonts w:ascii="Arial" w:cs="Arial" w:eastAsia="Arial" w:hAnsi="Arial"/>
                <w:sz w:val="18"/>
                <w:szCs w:val="18"/>
                <w:color w:val="auto"/>
              </w:rPr>
              <w:t>Research and development consumables</w:t>
            </w:r>
          </w:p>
        </w:tc>
        <w:tc>
          <w:tcPr>
            <w:tcW w:w="2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2,474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2,435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Facility related and other allocated</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2,422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1,962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460</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Laboratory supplies and equipment</w:t>
            </w:r>
          </w:p>
        </w:tc>
        <w:tc>
          <w:tcPr>
            <w:tcW w:w="2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1,174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951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29"/>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936</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1,078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5360" w:type="dxa"/>
            <w:vAlign w:val="bottom"/>
            <w:gridSpan w:val="2"/>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45,607</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30,145</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15,462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0"/>
        </w:trPr>
        <w:tc>
          <w:tcPr>
            <w:tcW w:w="26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15"/>
        </w:trPr>
        <w:tc>
          <w:tcPr>
            <w:tcW w:w="2600" w:type="dxa"/>
            <w:vAlign w:val="bottom"/>
            <w:tcBorders>
              <w:bottom w:val="single" w:sz="8" w:color="auto"/>
            </w:tcBorders>
          </w:tcPr>
          <w:p>
            <w:pPr>
              <w:spacing w:after="0"/>
              <w:rPr>
                <w:sz w:val="10"/>
                <w:szCs w:val="10"/>
                <w:color w:val="auto"/>
              </w:rPr>
            </w:pPr>
          </w:p>
        </w:tc>
        <w:tc>
          <w:tcPr>
            <w:tcW w:w="2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spacing w:after="0" w:line="26" w:lineRule="exact"/>
        <w:rPr>
          <w:sz w:val="20"/>
          <w:szCs w:val="20"/>
          <w:color w:val="auto"/>
        </w:rPr>
      </w:pPr>
    </w:p>
    <w:p>
      <w:pPr>
        <w:ind w:left="440" w:hanging="432"/>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expenses for third-party manufacturing and outsourced contract services, including preclinical studies and outsourced assays.</w:t>
      </w:r>
    </w:p>
    <w:p>
      <w:pPr>
        <w:spacing w:after="0" w:line="23" w:lineRule="exact"/>
        <w:rPr>
          <w:rFonts w:ascii="Arial" w:cs="Arial" w:eastAsia="Arial" w:hAnsi="Arial"/>
          <w:sz w:val="18"/>
          <w:szCs w:val="18"/>
          <w:color w:val="auto"/>
        </w:rPr>
      </w:pPr>
    </w:p>
    <w:p>
      <w:pPr>
        <w:ind w:left="440" w:hanging="432"/>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travel-related expenses, warrant expense and other miscellaneous office expenses.</w:t>
      </w:r>
    </w:p>
    <w:p>
      <w:pPr>
        <w:spacing w:after="0" w:line="211" w:lineRule="exact"/>
        <w:rPr>
          <w:sz w:val="20"/>
          <w:szCs w:val="20"/>
          <w:color w:val="auto"/>
        </w:rPr>
      </w:pPr>
    </w:p>
    <w:p>
      <w:pPr>
        <w:ind w:right="140" w:firstLine="1175"/>
        <w:spacing w:after="0" w:line="311" w:lineRule="auto"/>
        <w:rPr>
          <w:sz w:val="20"/>
          <w:szCs w:val="20"/>
          <w:color w:val="auto"/>
        </w:rPr>
      </w:pPr>
      <w:r>
        <w:rPr>
          <w:rFonts w:ascii="Arial" w:cs="Arial" w:eastAsia="Arial" w:hAnsi="Arial"/>
          <w:sz w:val="16"/>
          <w:szCs w:val="16"/>
          <w:color w:val="auto"/>
        </w:rPr>
        <w:t>Research and development expenses increased by $15.5 million, or 51.3%, in 2019 compared to 2018. The increase was primarily attributable to an increase of $13.2 million in product and clinical development expenses mainly related to our lead vaccine candidate, VAX-24, driven by an $11.5 million increase in costs related to outsourced manufacturing activities and an $1.8 million increase in contracted research services.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60" w:firstLine="1175"/>
        <w:spacing w:after="0" w:line="263" w:lineRule="auto"/>
        <w:rPr>
          <w:sz w:val="20"/>
          <w:szCs w:val="20"/>
          <w:color w:val="auto"/>
        </w:rPr>
      </w:pPr>
      <w:r>
        <w:rPr>
          <w:rFonts w:ascii="Arial" w:cs="Arial" w:eastAsia="Arial" w:hAnsi="Arial"/>
          <w:sz w:val="18"/>
          <w:szCs w:val="18"/>
          <w:color w:val="auto"/>
        </w:rPr>
        <w:t>General and administrative expenses increased by $3.2 million, or 58.6%, in 2019 compared to 2018. The increase was primarily attributable to increases in personnel-related costs of $1.7 million due to increase in the number of employees in our general and administrative functions, employee development and stock-based compensation expenses, and audit, tax and legal fees of $1.3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Other income (expense), net decreased by $2.2 million, or 35.9%, in 2019 compared to 2018. The decrease was primarily attributable to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decrease in income resulting from a change in the fair value of the redeemable convertible preferred stock tranche liabilities. In 2019, we recognized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 million gain as a result of a decrease in the fair value of the Series C preferred stock tranche liability, compared to $5.2 million in income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decreases in the fair value of the Series B and Series C preferred stock tranche liabilities in 2018 of $3.8 million and $1.4 million, respectively.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decreases in fair value of the Series B and Series C preferred stock tranche liabilities were due to a reduction in their time to maturity following their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respective settlements in May 2018 and December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540" w:firstLine="1175"/>
        <w:spacing w:after="0" w:line="279" w:lineRule="auto"/>
        <w:rPr>
          <w:sz w:val="20"/>
          <w:szCs w:val="20"/>
          <w:color w:val="auto"/>
        </w:rPr>
      </w:pPr>
      <w:r>
        <w:rPr>
          <w:rFonts w:ascii="Arial" w:cs="Arial" w:eastAsia="Arial" w:hAnsi="Arial"/>
          <w:sz w:val="17"/>
          <w:szCs w:val="17"/>
          <w:color w:val="auto"/>
        </w:rPr>
        <w:t>We have incurred losses and negative cash flows from operations from inception through December 31, 2020. We have funded our operations to date primarily through equity financings, including our IPO that was completed in June 2020, totaling approximately $569.5 million in aggregate gross proceeds and $545.2 million net of underwriting discounts, commissions and offering expenses. As of December 31, 2020, we had $386.2 million of cash and cash equivalents and an accumulated deficit of $198.6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5" w:lineRule="exact"/>
        <w:rPr>
          <w:sz w:val="20"/>
          <w:szCs w:val="20"/>
          <w:color w:val="auto"/>
        </w:rPr>
      </w:pPr>
    </w:p>
    <w:p>
      <w:pPr>
        <w:ind w:right="460" w:firstLine="1175"/>
        <w:spacing w:after="0" w:line="277" w:lineRule="auto"/>
        <w:rPr>
          <w:sz w:val="20"/>
          <w:szCs w:val="20"/>
          <w:color w:val="auto"/>
        </w:rPr>
      </w:pPr>
      <w:r>
        <w:rPr>
          <w:rFonts w:ascii="Arial" w:cs="Arial" w:eastAsia="Arial" w:hAnsi="Arial"/>
          <w:sz w:val="18"/>
          <w:szCs w:val="18"/>
          <w:color w:val="auto"/>
        </w:rPr>
        <w:t>Our primary uses of cash are to fund our operations, which consist primarily of research and development expenditures related to our programs and, to a lesser extent, general and administrative expenditures.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3" w:name="page114"/>
    <w:bookmarkEnd w:id="113"/>
    <w:p>
      <w:pPr>
        <w:ind w:right="200"/>
        <w:spacing w:after="0" w:line="275" w:lineRule="auto"/>
        <w:rPr>
          <w:sz w:val="20"/>
          <w:szCs w:val="20"/>
          <w:color w:val="auto"/>
        </w:rPr>
      </w:pPr>
      <w:r>
        <w:rPr>
          <w:rFonts w:ascii="Arial" w:cs="Arial" w:eastAsia="Arial" w:hAnsi="Arial"/>
          <w:sz w:val="17"/>
          <w:szCs w:val="17"/>
          <w:color w:val="auto"/>
        </w:rPr>
        <w:t>We anticipate that we will continue to incur significant expenses for the foreseeable future as we continue to advance our vaccine candidates, expand our corporate infrastructure, including the costs associated with being a public company, further our research and development initiatives for our vaccine candidates and scale our laboratory and manufacturing operations. We are subject to all of the risks typically related to the development of new drug candidates,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76" w:lineRule="exact"/>
        <w:rPr>
          <w:sz w:val="20"/>
          <w:szCs w:val="20"/>
          <w:color w:val="auto"/>
        </w:rPr>
      </w:pPr>
    </w:p>
    <w:p>
      <w:pPr>
        <w:ind w:firstLine="1175"/>
        <w:spacing w:after="0" w:line="268" w:lineRule="auto"/>
        <w:rPr>
          <w:sz w:val="20"/>
          <w:szCs w:val="20"/>
          <w:color w:val="auto"/>
        </w:rPr>
      </w:pPr>
      <w:r>
        <w:rPr>
          <w:rFonts w:ascii="Arial" w:cs="Arial" w:eastAsia="Arial" w:hAnsi="Arial"/>
          <w:sz w:val="17"/>
          <w:szCs w:val="17"/>
          <w:color w:val="auto"/>
        </w:rPr>
        <w:t>We believe that our existing cash and cash equivalents as of the date of this Annual Report on Form 10-K will be sufficient to fund our operating expenses and capital expenditure requirements through at least the completion and announcement of the topline data from our Phase 1/2 clinical proof-of-concept study of VAX-24 in adults, which we expect between late 2022 and early 2023, and to continue to advance our pipeline of other vaccine candidates. However, we will need to raise additional capital prior to commencing pivotal trials for any of our vaccine candidates. Until we can generate a sufficient amount of revenue from the commercialization of our vaccine candidates or from collaboration agreements with third parties, if ever, we expect to finance our future cash needs through public or private equity or debt financings, third-party (including government) funding and marketing and distribution arrangements, as well as other collaborations, strategic alliances and licensing arrangements, or any combination of these approaches. The sale of equity or convertible debt securities may result in dilution to our stockholders and, in the case of preferred equity securities or convertible debt, those securities could provide for rights, preferences or privileges senior to those of our common stock. Debt financings may subject us to covenant limitations or restrictions on our ability to take specific actions, such as incurring additional debt, making capital expenditures or declaring dividends. Our ability to raise additional funds may be adversely impacted by deteriorating global economic conditions and the recent disruptions to and volatility in the credit and financial markets in the United States and worldwide resulting from the ongoing COVID-19 pandemic. There can be no assurance that we will be successful in acquiring additional funding at levels sufficient to fund our operations or on terms favorable or acceptable to us. If we are unable to obtain adequate financing when needed or on terms favorable or acceptable to us, we may be forced to delay, reduce the scope of or eliminate one or more of our research and development programs.</w:t>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1620" w:right="260" w:hanging="438"/>
        <w:spacing w:after="0" w:line="277"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timing, scope, progress, results and costs of research and development, testing, screening, manufacturing, preclinical and non-clinical studies and clinical trials, including any impacts related to the COVID-19 pandemic;</w:t>
      </w:r>
    </w:p>
    <w:p>
      <w:pPr>
        <w:spacing w:after="0" w:line="170" w:lineRule="exact"/>
        <w:rPr>
          <w:rFonts w:ascii="Arial" w:cs="Arial" w:eastAsia="Arial" w:hAnsi="Arial"/>
          <w:sz w:val="18"/>
          <w:szCs w:val="18"/>
          <w:color w:val="auto"/>
        </w:rPr>
      </w:pPr>
    </w:p>
    <w:p>
      <w:pPr>
        <w:ind w:left="1620" w:right="440" w:hanging="438"/>
        <w:spacing w:after="0" w:line="259"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field efficacy studies for our PCV candidates, require more studies than those that we currently expect or change their requirements regarding the data required to support a marketing application;</w:t>
      </w:r>
    </w:p>
    <w:p>
      <w:pPr>
        <w:spacing w:after="0" w:line="186" w:lineRule="exact"/>
        <w:rPr>
          <w:rFonts w:ascii="Arial" w:cs="Arial" w:eastAsia="Arial" w:hAnsi="Arial"/>
          <w:sz w:val="18"/>
          <w:szCs w:val="18"/>
          <w:color w:val="auto"/>
        </w:rPr>
      </w:pPr>
    </w:p>
    <w:p>
      <w:pPr>
        <w:ind w:left="1620" w:hanging="438"/>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any product commercialization;</w:t>
      </w:r>
    </w:p>
    <w:p>
      <w:pPr>
        <w:spacing w:after="0" w:line="252" w:lineRule="exact"/>
        <w:rPr>
          <w:rFonts w:ascii="Arial" w:cs="Arial" w:eastAsia="Arial" w:hAnsi="Arial"/>
          <w:sz w:val="18"/>
          <w:szCs w:val="18"/>
          <w:color w:val="auto"/>
        </w:rPr>
      </w:pPr>
    </w:p>
    <w:p>
      <w:pPr>
        <w:ind w:left="1620" w:right="20" w:hanging="438"/>
        <w:spacing w:after="0" w:line="277"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including product manufacturing, marketing, sales, royalties and distribution, for any of our vaccine candidates for which we receive marketing approval;</w:t>
      </w:r>
    </w:p>
    <w:p>
      <w:pPr>
        <w:spacing w:after="0" w:line="170" w:lineRule="exact"/>
        <w:rPr>
          <w:rFonts w:ascii="Arial" w:cs="Arial" w:eastAsia="Arial" w:hAnsi="Arial"/>
          <w:sz w:val="18"/>
          <w:szCs w:val="18"/>
          <w:color w:val="auto"/>
        </w:rPr>
      </w:pPr>
    </w:p>
    <w:p>
      <w:pPr>
        <w:ind w:left="1620" w:right="20" w:hanging="438"/>
        <w:spacing w:after="0" w:line="263"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83" w:lineRule="exact"/>
        <w:rPr>
          <w:rFonts w:ascii="Arial" w:cs="Arial" w:eastAsia="Arial" w:hAnsi="Arial"/>
          <w:sz w:val="18"/>
          <w:szCs w:val="18"/>
          <w:color w:val="auto"/>
        </w:rPr>
      </w:pPr>
    </w:p>
    <w:p>
      <w:pPr>
        <w:ind w:left="1620" w:hanging="438"/>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252" w:lineRule="exact"/>
        <w:rPr>
          <w:rFonts w:ascii="Arial" w:cs="Arial" w:eastAsia="Arial" w:hAnsi="Arial"/>
          <w:sz w:val="18"/>
          <w:szCs w:val="18"/>
          <w:color w:val="auto"/>
        </w:rPr>
      </w:pPr>
    </w:p>
    <w:p>
      <w:pPr>
        <w:ind w:left="1620" w:right="260" w:hanging="438"/>
        <w:spacing w:after="0" w:line="277"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or sales to foreign governments, of our vaccine candidates for which we may receive marketing approval;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4" w:name="page115"/>
    <w:bookmarkEnd w:id="114"/>
    <w:p>
      <w:pPr>
        <w:ind w:left="1620" w:right="40" w:hanging="438"/>
        <w:spacing w:after="0" w:line="263"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costs to establish, maintain, expand, enforce and defend the scope of our intellectual property portfolio, including the amount and timing of any payments we may be required to make, or that we may receive, in connection with licensing, preparing, filing, prosecuting, defending and enforcing our patents or other intellectual property rights;</w:t>
      </w:r>
    </w:p>
    <w:p>
      <w:pPr>
        <w:spacing w:after="0" w:line="183" w:lineRule="exact"/>
        <w:rPr>
          <w:rFonts w:ascii="Arial" w:cs="Arial" w:eastAsia="Arial" w:hAnsi="Arial"/>
          <w:sz w:val="18"/>
          <w:szCs w:val="18"/>
          <w:color w:val="auto"/>
        </w:rPr>
      </w:pPr>
    </w:p>
    <w:p>
      <w:pPr>
        <w:ind w:left="1620" w:hanging="438"/>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expenses needed to attract, hire and retain skilled personnel;</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252" w:lineRule="exact"/>
        <w:rPr>
          <w:rFonts w:ascii="Arial" w:cs="Arial" w:eastAsia="Arial" w:hAnsi="Arial"/>
          <w:sz w:val="18"/>
          <w:szCs w:val="18"/>
          <w:color w:val="auto"/>
        </w:rPr>
      </w:pPr>
    </w:p>
    <w:p>
      <w:pPr>
        <w:ind w:left="1620" w:hanging="438"/>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52" w:lineRule="exact"/>
        <w:rPr>
          <w:sz w:val="20"/>
          <w:szCs w:val="20"/>
          <w:color w:val="auto"/>
        </w:rPr>
      </w:pPr>
    </w:p>
    <w:p>
      <w:pPr>
        <w:ind w:right="20" w:firstLine="1175"/>
        <w:spacing w:after="0" w:line="263" w:lineRule="auto"/>
        <w:rPr>
          <w:sz w:val="20"/>
          <w:szCs w:val="20"/>
          <w:color w:val="auto"/>
        </w:rPr>
      </w:pPr>
      <w:r>
        <w:rPr>
          <w:rFonts w:ascii="Arial" w:cs="Arial" w:eastAsia="Arial" w:hAnsi="Arial"/>
          <w:sz w:val="18"/>
          <w:szCs w:val="18"/>
          <w:color w:val="auto"/>
        </w:rPr>
        <w:t>A change in the outcome of any of these or other variables could significantly change the costs and timing associated with the development of our vaccine candidates. Furthermore, our operating plans may change in the future, and we may need additional funds to meet operational needs and capital requirements associated with such change.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center"/>
              <w:ind w:left="730"/>
              <w:spacing w:after="0"/>
              <w:rPr>
                <w:sz w:val="20"/>
                <w:szCs w:val="20"/>
                <w:color w:val="auto"/>
              </w:rPr>
            </w:pPr>
            <w:r>
              <w:rPr>
                <w:rFonts w:ascii="Arial" w:cs="Arial" w:eastAsia="Arial" w:hAnsi="Arial"/>
                <w:sz w:val="18"/>
                <w:szCs w:val="18"/>
                <w:b w:val="1"/>
                <w:bCs w:val="1"/>
                <w:color w:val="auto"/>
                <w:w w:val="89"/>
              </w:rPr>
              <w:t>Year Ended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23"/>
        </w:trPr>
        <w:tc>
          <w:tcPr>
            <w:tcW w:w="5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22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(46,628)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(47,145)</w:t>
            </w:r>
          </w:p>
        </w:tc>
        <w:tc>
          <w:tcPr>
            <w:tcW w:w="4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(30,466)</w:t>
            </w: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(1,773)</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374,870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41,567</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62,190</w:t>
            </w:r>
          </w:p>
        </w:tc>
      </w:tr>
      <w:tr>
        <w:trPr>
          <w:trHeight w:val="229"/>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increase (decrease) in cash and cash equivalents</w:t>
            </w:r>
          </w:p>
        </w:tc>
        <w:tc>
          <w:tcPr>
            <w:tcW w:w="9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327,224</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(7,114)</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29,951</w:t>
            </w:r>
          </w:p>
        </w:tc>
      </w:tr>
      <w:tr>
        <w:trPr>
          <w:trHeight w:val="20"/>
        </w:trPr>
        <w:tc>
          <w:tcPr>
            <w:tcW w:w="5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right="80" w:firstLine="1175"/>
        <w:spacing w:after="0" w:line="254" w:lineRule="auto"/>
        <w:rPr>
          <w:sz w:val="20"/>
          <w:szCs w:val="20"/>
          <w:color w:val="auto"/>
        </w:rPr>
      </w:pPr>
      <w:r>
        <w:rPr>
          <w:rFonts w:ascii="Arial" w:cs="Arial" w:eastAsia="Arial" w:hAnsi="Arial"/>
          <w:sz w:val="18"/>
          <w:szCs w:val="18"/>
          <w:color w:val="auto"/>
        </w:rPr>
        <w:t>Net cash used in operating activities for the year ended December 31, 2020 was $46.6 million, which primarily resulted from a net loss of $89.2 million, partially offset by a net change in operating assets and liabilities of $35.3 million and non-cash charges of $7.3 million. The net change in operating assets and liabilities of $35.3 million was primarily due to increases in accounts payable of $26.1 million resulting from the deferral of completion payments until April 2021 in accordance with our contract with Lonza, accrued manufacturing expenses of $7.2 million related to outsourced manufacturing activities and accrued expenses of $2.2 million related primarily to increases in contract research services related to the VAX-24 program. Non-cash charges primarily consisted of $5.4 million in stock-based compensation expense, $1.4 million in depreciation and amortization and $0.3 million in asset impairment charges.</w:t>
      </w:r>
    </w:p>
    <w:p>
      <w:pPr>
        <w:spacing w:after="0" w:line="195" w:lineRule="exact"/>
        <w:rPr>
          <w:sz w:val="20"/>
          <w:szCs w:val="20"/>
          <w:color w:val="auto"/>
        </w:rPr>
      </w:pPr>
    </w:p>
    <w:p>
      <w:pPr>
        <w:ind w:right="100" w:firstLine="1175"/>
        <w:spacing w:after="0" w:line="285" w:lineRule="auto"/>
        <w:rPr>
          <w:sz w:val="20"/>
          <w:szCs w:val="20"/>
          <w:color w:val="auto"/>
        </w:rPr>
      </w:pPr>
      <w:r>
        <w:rPr>
          <w:rFonts w:ascii="Arial" w:cs="Arial" w:eastAsia="Arial" w:hAnsi="Arial"/>
          <w:sz w:val="16"/>
          <w:szCs w:val="16"/>
          <w:color w:val="auto"/>
        </w:rPr>
        <w:t>Net cash used in operating activities for the year ended December 31, 2019 was $47.1 million, which primarily resulted from a net loss of $50.3 million and net non-cash charges of $0.8 million, partially offset by a net change in operating assets and liabilities of $3.9 million. Non-cash charges primarily consisted of a $3.2 million decrease in the fair value of our redeemable convertible preferred stock tranche liabilities primarily related to a reduction in the time to maturity during the year and the settlement of the Series C tranche liability in December 2019, partially offset by $1.2 million of depreciation and amortization expense and $1.2 million of stock-based compensation expense. The net change in operating assets and liabilities of</w:t>
      </w:r>
    </w:p>
    <w:p>
      <w:pPr>
        <w:spacing w:after="0" w:line="2"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$3.9 million was primarily due increases of $4.7 million in accrued liabilities resulting primarily from our increased contract manufacturing activities in 2019 and $0.9 million in accounts payable resulting from timing of billings and payments, partially offset by a $1.1 million increase in prepaid expenses and other current assets, a $0.8 million decrease in accrued compensation due primarily to the timing of the payment of our annual performance bonuses and a $0.7 million in prepaid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expenditures mainly related to contract manufacturing activities, contract research services and maintenance contracts.</w:t>
      </w:r>
    </w:p>
    <w:p>
      <w:pPr>
        <w:spacing w:after="0" w:line="225" w:lineRule="exact"/>
        <w:rPr>
          <w:sz w:val="20"/>
          <w:szCs w:val="20"/>
          <w:color w:val="auto"/>
        </w:rPr>
      </w:pPr>
    </w:p>
    <w:p>
      <w:pPr>
        <w:ind w:right="100" w:firstLine="1175"/>
        <w:spacing w:after="0" w:line="270" w:lineRule="auto"/>
        <w:rPr>
          <w:sz w:val="20"/>
          <w:szCs w:val="20"/>
          <w:color w:val="auto"/>
        </w:rPr>
      </w:pPr>
      <w:r>
        <w:rPr>
          <w:rFonts w:ascii="Arial" w:cs="Arial" w:eastAsia="Arial" w:hAnsi="Arial"/>
          <w:sz w:val="17"/>
          <w:szCs w:val="17"/>
          <w:color w:val="auto"/>
        </w:rPr>
        <w:t>Net cash used in operating activities for the year ended December 31, 2018 was $30.5 million, which primarily resulted from a net loss of $29.5 million and net non-cash charges of $2.9 million, partially offset by a net change in operating assets and liabilities of $1.9 million. Non-cash charges primarily consisted of a $5.2 million decrease in the fair value of our redeemable convertible preferred stock tranche liabilities primarily related to the settlement of the Series B tranche liability, partially offset by $1.0 million of depreciation and amortization expense, $0.7 million of stock-based compensation expense and $0.5 million of warrant expense related to the preferred stock warrant issued to Sutro Biopharma in 2018. The net change in operating assets and liabilities of $1.9 million was primarily due to a $1.7 million increase in accrued liabilities resulting primarily from our commencement of contract manufacturing activities in 2018, a $1.3 million increase in accounts payable resulting primarily from increased contract manufacturing activities and a $0.5 million increase in accrued compensation, partially offset by the payment of a legal settlement of $0.9 million and a $0.4 million increase in prepaid expenses and other current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right="200" w:firstLine="1175"/>
        <w:spacing w:after="0" w:line="277" w:lineRule="auto"/>
        <w:rPr>
          <w:sz w:val="20"/>
          <w:szCs w:val="20"/>
          <w:color w:val="auto"/>
        </w:rPr>
      </w:pPr>
      <w:r>
        <w:rPr>
          <w:rFonts w:ascii="Arial" w:cs="Arial" w:eastAsia="Arial" w:hAnsi="Arial"/>
          <w:sz w:val="18"/>
          <w:szCs w:val="18"/>
          <w:color w:val="auto"/>
        </w:rPr>
        <w:t>Cash used in investing activities for the years ended December 31, 2020, 2019 and 2018 was $1.1 million, $1.2 million and $1.8 million, respectively, which related primarily to purchases of lab equipment and leasehold improvements.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right="20" w:firstLine="1175"/>
        <w:spacing w:after="0" w:line="277" w:lineRule="auto"/>
        <w:rPr>
          <w:sz w:val="20"/>
          <w:szCs w:val="20"/>
          <w:color w:val="auto"/>
        </w:rPr>
      </w:pPr>
      <w:r>
        <w:rPr>
          <w:rFonts w:ascii="Arial" w:cs="Arial" w:eastAsia="Arial" w:hAnsi="Arial"/>
          <w:sz w:val="18"/>
          <w:szCs w:val="18"/>
          <w:color w:val="auto"/>
        </w:rPr>
        <w:t>Cash provided by financing activities for the year ended December 31, 2020 was $374.9 million, which primarily consisted of net proceeds of $264.0 million from our IPO and $109.9 million from the issuance of our Series D redeemable convertible preferred stock.</w:t>
      </w:r>
    </w:p>
    <w:p>
      <w:pPr>
        <w:spacing w:after="0" w:line="170" w:lineRule="exact"/>
        <w:rPr>
          <w:sz w:val="20"/>
          <w:szCs w:val="20"/>
          <w:color w:val="auto"/>
        </w:rPr>
      </w:pPr>
    </w:p>
    <w:p>
      <w:pPr>
        <w:jc w:val="both"/>
        <w:ind w:right="120" w:firstLine="1175"/>
        <w:spacing w:after="0" w:line="263" w:lineRule="auto"/>
        <w:rPr>
          <w:sz w:val="20"/>
          <w:szCs w:val="20"/>
          <w:color w:val="auto"/>
        </w:rPr>
      </w:pPr>
      <w:r>
        <w:rPr>
          <w:rFonts w:ascii="Arial" w:cs="Arial" w:eastAsia="Arial" w:hAnsi="Arial"/>
          <w:sz w:val="18"/>
          <w:szCs w:val="18"/>
          <w:color w:val="auto"/>
        </w:rPr>
        <w:t>Cash provided by financing activities for the year ended December 31, 2019 was $41.6 million, which primarily consisted of net proceeds from the issuance of the second tranche of our Series C redeemable convertible preferred stock of $42.5 million, partially offset by deferred offering costs of $1.1 million.</w:t>
      </w:r>
    </w:p>
    <w:p>
      <w:pPr>
        <w:spacing w:after="0" w:line="184" w:lineRule="exact"/>
        <w:rPr>
          <w:sz w:val="20"/>
          <w:szCs w:val="20"/>
          <w:color w:val="auto"/>
        </w:rPr>
      </w:pPr>
    </w:p>
    <w:p>
      <w:pPr>
        <w:jc w:val="both"/>
        <w:ind w:right="60" w:firstLine="1175"/>
        <w:spacing w:after="0" w:line="263" w:lineRule="auto"/>
        <w:rPr>
          <w:sz w:val="20"/>
          <w:szCs w:val="20"/>
          <w:color w:val="auto"/>
        </w:rPr>
      </w:pPr>
      <w:r>
        <w:rPr>
          <w:rFonts w:ascii="Arial" w:cs="Arial" w:eastAsia="Arial" w:hAnsi="Arial"/>
          <w:sz w:val="18"/>
          <w:szCs w:val="18"/>
          <w:color w:val="auto"/>
        </w:rPr>
        <w:t>Cash provided by financing activities for the year ended December 31, 2018 was $62.2 million, which primarily consisted of net proceeds from the issuance of the first tranche of our Series C redeemable convertible preferred stock and the second tranche of our Series B redeemable convertible preferred stock of $42.3 million and $20.0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following table summarizes our contractual obligations and commitments at December 31,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8"/>
                <w:szCs w:val="18"/>
                <w:b w:val="1"/>
                <w:bCs w:val="1"/>
                <w:color w:val="auto"/>
                <w:w w:val="89"/>
              </w:rPr>
              <w:t>Payments Due by Period</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18"/>
        </w:trPr>
        <w:tc>
          <w:tcPr>
            <w:tcW w:w="26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2"/>
              </w:rPr>
              <w:t>Less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More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6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than</w:t>
            </w:r>
          </w:p>
        </w:tc>
        <w:tc>
          <w:tcPr>
            <w:tcW w:w="18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1 - 3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3 - 5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than</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26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2"/>
              </w:rPr>
              <w:t>1 Year</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Years</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7"/>
              </w:rPr>
              <w:t>5 Years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23"/>
        </w:trPr>
        <w:tc>
          <w:tcPr>
            <w:tcW w:w="26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190</w:t>
            </w: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932</w:t>
            </w:r>
          </w:p>
        </w:tc>
      </w:tr>
      <w:tr>
        <w:trPr>
          <w:trHeight w:val="223"/>
        </w:trPr>
        <w:tc>
          <w:tcPr>
            <w:tcW w:w="522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932</w:t>
            </w:r>
          </w:p>
        </w:tc>
      </w:tr>
      <w:tr>
        <w:trPr>
          <w:trHeight w:val="20"/>
        </w:trPr>
        <w:tc>
          <w:tcPr>
            <w:tcW w:w="2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15"/>
        </w:trPr>
        <w:tc>
          <w:tcPr>
            <w:tcW w:w="2600" w:type="dxa"/>
            <w:vAlign w:val="bottom"/>
            <w:tcBorders>
              <w:bottom w:val="single" w:sz="8" w:color="auto"/>
            </w:tcBorders>
          </w:tcPr>
          <w:p>
            <w:pPr>
              <w:spacing w:after="0"/>
              <w:rPr>
                <w:sz w:val="10"/>
                <w:szCs w:val="10"/>
                <w:color w:val="auto"/>
              </w:rPr>
            </w:pPr>
          </w:p>
        </w:tc>
        <w:tc>
          <w:tcPr>
            <w:tcW w:w="2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r>
    </w:tbl>
    <w:p>
      <w:pPr>
        <w:spacing w:after="0" w:line="26" w:lineRule="exact"/>
        <w:rPr>
          <w:sz w:val="20"/>
          <w:szCs w:val="20"/>
          <w:color w:val="auto"/>
        </w:rPr>
      </w:pPr>
    </w:p>
    <w:p>
      <w:pPr>
        <w:ind w:left="440" w:right="360" w:hanging="432"/>
        <w:spacing w:after="0" w:line="277" w:lineRule="auto"/>
        <w:tabs>
          <w:tab w:leader="none" w:pos="4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our corporate headquarters lease in Foster City, California that expires in March 2022, our second lease in Foster City, California that expires in April 2022 and a small office lease in San Diego, California that expires in April 2021.</w:t>
      </w:r>
    </w:p>
    <w:p>
      <w:pPr>
        <w:spacing w:after="0" w:line="170" w:lineRule="exact"/>
        <w:rPr>
          <w:sz w:val="20"/>
          <w:szCs w:val="20"/>
          <w:color w:val="auto"/>
        </w:rPr>
      </w:pPr>
    </w:p>
    <w:p>
      <w:pPr>
        <w:ind w:right="560" w:firstLine="1175"/>
        <w:spacing w:after="0" w:line="277" w:lineRule="auto"/>
        <w:rPr>
          <w:sz w:val="20"/>
          <w:szCs w:val="20"/>
          <w:color w:val="auto"/>
        </w:rPr>
      </w:pPr>
      <w:r>
        <w:rPr>
          <w:rFonts w:ascii="Arial" w:cs="Arial" w:eastAsia="Arial" w:hAnsi="Arial"/>
          <w:sz w:val="18"/>
          <w:szCs w:val="18"/>
          <w:color w:val="auto"/>
        </w:rPr>
        <w:t>We have certain payment obligations under various license agreements. Under these agreements, we are required to make milestone payments upon successful completion and achievement of certain intellectual property,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6" w:name="page117"/>
    <w:bookmarkEnd w:id="116"/>
    <w:p>
      <w:pPr>
        <w:ind w:right="20"/>
        <w:spacing w:after="0" w:line="255" w:lineRule="auto"/>
        <w:rPr>
          <w:sz w:val="20"/>
          <w:szCs w:val="20"/>
          <w:color w:val="auto"/>
        </w:rPr>
      </w:pPr>
      <w:r>
        <w:rPr>
          <w:rFonts w:ascii="Arial" w:cs="Arial" w:eastAsia="Arial" w:hAnsi="Arial"/>
          <w:sz w:val="18"/>
          <w:szCs w:val="18"/>
          <w:color w:val="auto"/>
        </w:rPr>
        <w:t>clinical, regulatory and sales milestones. The payment obligations under the license agreements are contingent upon future events such as our achievement of specified development, clinical, regulatory and commercial milestones, and we will be required to make development milestone payments and royalty payments in connection with the sale of products developed under these agreements. As the achievement and timing of these future milestone payments are not probable or estimable, such amounts have not been included in our balance sheets as of December 31, 2020 or December 31, 2019, or in the contractual obligations table above. See Note 13, “Related Party Transactions,” to our financial statements included in Part II, Item 8 of this Annual Report on Form 10-K.</w:t>
      </w:r>
    </w:p>
    <w:p>
      <w:pPr>
        <w:spacing w:after="0" w:line="192" w:lineRule="exact"/>
        <w:rPr>
          <w:sz w:val="20"/>
          <w:szCs w:val="20"/>
          <w:color w:val="auto"/>
        </w:rPr>
      </w:pPr>
    </w:p>
    <w:p>
      <w:pPr>
        <w:ind w:right="80" w:firstLine="1175"/>
        <w:spacing w:after="0" w:line="259" w:lineRule="auto"/>
        <w:rPr>
          <w:sz w:val="20"/>
          <w:szCs w:val="20"/>
          <w:color w:val="auto"/>
        </w:rPr>
      </w:pPr>
      <w:r>
        <w:rPr>
          <w:rFonts w:ascii="Arial" w:cs="Arial" w:eastAsia="Arial" w:hAnsi="Arial"/>
          <w:sz w:val="18"/>
          <w:szCs w:val="18"/>
          <w:color w:val="auto"/>
        </w:rPr>
        <w:t>We enter into agreements in the normal course of business with vendors for preclinical and non-clinical studies, manufacturing and supply of our preclinical materials and for other services and products used for operating purposes. These contracts are generally cancelable following a certain period after written notice, and therefore, we believe that our non-cancelable obligations under these agreements are not material and have not been included in the table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229" w:lineRule="exact"/>
        <w:rPr>
          <w:sz w:val="20"/>
          <w:szCs w:val="20"/>
          <w:color w:val="auto"/>
        </w:rPr>
      </w:pPr>
    </w:p>
    <w:p>
      <w:pPr>
        <w:ind w:right="60" w:firstLine="1175"/>
        <w:spacing w:after="0" w:line="279" w:lineRule="auto"/>
        <w:rPr>
          <w:sz w:val="20"/>
          <w:szCs w:val="20"/>
          <w:color w:val="auto"/>
        </w:rPr>
      </w:pPr>
      <w:r>
        <w:rPr>
          <w:rFonts w:ascii="Arial" w:cs="Arial" w:eastAsia="Arial" w:hAnsi="Arial"/>
          <w:sz w:val="17"/>
          <w:szCs w:val="17"/>
          <w:color w:val="auto"/>
        </w:rPr>
        <w:t>From time to time, we may become involved in legal proceedings arising from the ordinary course of business. We record a liability for such matters when it is probable that future losses will be incurred and that such losses can be reasonably estimated. Significant judgment by us is required to determine both probability and the estimated amount. We do not believe that there is any litigation or asserted or unasserted claim pending that could, individually or in the aggregate, have a material adverse effect on our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00" w:firstLine="1175"/>
        <w:spacing w:after="0" w:line="277"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firstLine="1175"/>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expenses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While our significant accounting policies are described in the notes to our financial statements included elsewhere in this Annual Report 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Form 10-K, we believe that the following critical accounting policies are most important to understanding and evaluating our reported financial results: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left="120" w:right="340" w:firstLine="1150"/>
        <w:spacing w:after="0" w:line="291" w:lineRule="auto"/>
        <w:rPr>
          <w:sz w:val="20"/>
          <w:szCs w:val="20"/>
          <w:color w:val="auto"/>
        </w:rPr>
      </w:pPr>
      <w:r>
        <w:rPr>
          <w:rFonts w:ascii="Arial" w:cs="Arial" w:eastAsia="Arial" w:hAnsi="Arial"/>
          <w:sz w:val="16"/>
          <w:szCs w:val="16"/>
          <w:color w:val="auto"/>
        </w:rPr>
        <w:t>We have entered into various agreements with contract manufacturing organizations, or CMOs, and may enter into contracts with clinical research organizations, or CROs, in the future. As part of the process of preparing our financial statements, we are required to estimate our accrued research and development expenses as of each balance sheet date. This process involves reviewing open contracts and purchase orders, communicating with our personnel and third parties to identify services that have been performed on our behalf and estimating the level of service performed and the associated cost incurred for the service when we have not yet been invoiced or otherwise notified of the actual cost. We make estimates of our accrued research and development expenses as of each balance sheet date based on facts and circumstances known to us at that time. We periodically confirm the accuracy of our estimates with the service providers and make adjustments, if necessary. The significant estimates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7" w:name="page118"/>
    <w:bookmarkEnd w:id="117"/>
    <w:p>
      <w:pPr>
        <w:ind w:left="120" w:right="280"/>
        <w:spacing w:after="0" w:line="277" w:lineRule="auto"/>
        <w:rPr>
          <w:sz w:val="20"/>
          <w:szCs w:val="20"/>
          <w:color w:val="auto"/>
        </w:rPr>
      </w:pPr>
      <w:r>
        <w:rPr>
          <w:rFonts w:ascii="Arial" w:cs="Arial" w:eastAsia="Arial" w:hAnsi="Arial"/>
          <w:sz w:val="18"/>
          <w:szCs w:val="18"/>
          <w:color w:val="auto"/>
        </w:rPr>
        <w:t>in our accrued research and development expenses include the costs incurred for services performed by our vendors in connection with research and development activities for which we have not yet been invoiced.</w:t>
      </w:r>
    </w:p>
    <w:p>
      <w:pPr>
        <w:spacing w:after="0" w:line="103" w:lineRule="exact"/>
        <w:rPr>
          <w:sz w:val="20"/>
          <w:szCs w:val="20"/>
          <w:color w:val="auto"/>
        </w:rPr>
      </w:pPr>
    </w:p>
    <w:p>
      <w:pPr>
        <w:ind w:left="120" w:right="20" w:firstLine="1150"/>
        <w:spacing w:after="0" w:line="290" w:lineRule="auto"/>
        <w:rPr>
          <w:sz w:val="20"/>
          <w:szCs w:val="20"/>
          <w:color w:val="auto"/>
        </w:rPr>
      </w:pPr>
      <w:r>
        <w:rPr>
          <w:rFonts w:ascii="Arial" w:cs="Arial" w:eastAsia="Arial" w:hAnsi="Arial"/>
          <w:sz w:val="16"/>
          <w:szCs w:val="16"/>
          <w:color w:val="auto"/>
        </w:rPr>
        <w:t>We accrue for costs related to research and development activities based on our estimates of the services received and efforts expended pursuant to quotes and contracts with vendors, including CMOs,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Advance payments for goods and services that will be used in future research and development activities are expensed when the activity has been performed or when the goods have been received. We make significant judgments and estimates in determining accrued research and development liabilities as of each reporting period based on the estimated time period over which services will be performed and the level of effort to be expended. If the actual timing of the performance of services or the level of effort varies from our estimate, we adjust the accrual or prepaid expense accordingly.</w:t>
      </w:r>
    </w:p>
    <w:p>
      <w:pPr>
        <w:spacing w:after="0" w:line="300" w:lineRule="exact"/>
        <w:rPr>
          <w:sz w:val="20"/>
          <w:szCs w:val="20"/>
          <w:color w:val="auto"/>
        </w:rPr>
      </w:pPr>
    </w:p>
    <w:p>
      <w:pPr>
        <w:ind w:left="120" w:right="320" w:firstLine="1124"/>
        <w:spacing w:after="0" w:line="259" w:lineRule="auto"/>
        <w:rPr>
          <w:sz w:val="20"/>
          <w:szCs w:val="20"/>
          <w:color w:val="auto"/>
        </w:rPr>
      </w:pPr>
      <w:r>
        <w:rPr>
          <w:rFonts w:ascii="Arial" w:cs="Arial" w:eastAsia="Arial" w:hAnsi="Arial"/>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120" w:firstLine="1150"/>
        <w:spacing w:after="0" w:line="286" w:lineRule="auto"/>
        <w:rPr>
          <w:sz w:val="20"/>
          <w:szCs w:val="20"/>
          <w:color w:val="auto"/>
        </w:rPr>
      </w:pPr>
      <w:r>
        <w:rPr>
          <w:rFonts w:ascii="Arial" w:cs="Arial" w:eastAsia="Arial" w:hAnsi="Arial"/>
          <w:sz w:val="17"/>
          <w:szCs w:val="17"/>
          <w:color w:val="auto"/>
        </w:rPr>
        <w:t>Stock-based compensation expense related to awards to employees is measured at the grant date based on the fair value of the award. The fair value of the award that is ultimately expected to vest is recognized as expense on a straight-line basis over the requisite service period, which is generally the vesting period, net of the impact of actual forfeitures recorded in the period in which they occur.</w:t>
      </w:r>
    </w:p>
    <w:p>
      <w:pPr>
        <w:spacing w:after="0" w:line="165" w:lineRule="exact"/>
        <w:rPr>
          <w:sz w:val="20"/>
          <w:szCs w:val="20"/>
          <w:color w:val="auto"/>
        </w:rPr>
      </w:pPr>
    </w:p>
    <w:p>
      <w:pPr>
        <w:ind w:left="120" w:right="100" w:firstLine="1139"/>
        <w:spacing w:after="0" w:line="275" w:lineRule="auto"/>
        <w:rPr>
          <w:sz w:val="20"/>
          <w:szCs w:val="20"/>
          <w:color w:val="auto"/>
        </w:rPr>
      </w:pPr>
      <w:r>
        <w:rPr>
          <w:rFonts w:ascii="Arial" w:cs="Arial" w:eastAsia="Arial" w:hAnsi="Arial"/>
          <w:sz w:val="17"/>
          <w:szCs w:val="17"/>
          <w:color w:val="auto"/>
        </w:rPr>
        <w:t>Stock-based compensation expense related to awards to non-employees is recognized based on the then-current fair value at each measurement date over the associated service period of the award, which is generally the vesting term, using the straight-line method. The fair value of non-employee stock options is estimated using the Black-Scholes valuation model with assumptions generally consistent with those used for employee stock options, with the exception of the expected term, which is the remaining contractual life at each measurement date. Refer to Notes 2 and 11 for more information on assumptions used in estimating stock-based compensation expense.</w:t>
      </w:r>
    </w:p>
    <w:p>
      <w:pPr>
        <w:spacing w:after="0" w:line="176" w:lineRule="exact"/>
        <w:rPr>
          <w:sz w:val="20"/>
          <w:szCs w:val="20"/>
          <w:color w:val="auto"/>
        </w:rPr>
      </w:pPr>
    </w:p>
    <w:p>
      <w:pPr>
        <w:ind w:left="120" w:right="360" w:firstLine="1117"/>
        <w:spacing w:after="0" w:line="277" w:lineRule="auto"/>
        <w:rPr>
          <w:sz w:val="20"/>
          <w:szCs w:val="20"/>
          <w:color w:val="auto"/>
        </w:rPr>
      </w:pPr>
      <w:r>
        <w:rPr>
          <w:rFonts w:ascii="Arial" w:cs="Arial" w:eastAsia="Arial" w:hAnsi="Arial"/>
          <w:sz w:val="18"/>
          <w:szCs w:val="18"/>
          <w:color w:val="auto"/>
        </w:rPr>
        <w:t>We use the Black-Scholes option-pricing model (“Black-Scholes”) as the method for determining the estimated fair value of certain financial instruments, which requires the input of the following assumptions: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Fair Value of Common Stock</w:t>
      </w:r>
    </w:p>
    <w:p>
      <w:pPr>
        <w:spacing w:after="0" w:line="225" w:lineRule="exact"/>
        <w:rPr>
          <w:sz w:val="20"/>
          <w:szCs w:val="20"/>
          <w:color w:val="auto"/>
        </w:rPr>
      </w:pPr>
    </w:p>
    <w:p>
      <w:pPr>
        <w:ind w:left="120" w:right="80" w:firstLine="1142"/>
        <w:spacing w:after="0" w:line="288" w:lineRule="auto"/>
        <w:rPr>
          <w:sz w:val="20"/>
          <w:szCs w:val="20"/>
          <w:color w:val="auto"/>
        </w:rPr>
      </w:pPr>
      <w:r>
        <w:rPr>
          <w:rFonts w:ascii="Arial" w:cs="Arial" w:eastAsia="Arial" w:hAnsi="Arial"/>
          <w:sz w:val="16"/>
          <w:szCs w:val="16"/>
          <w:color w:val="auto"/>
        </w:rPr>
        <w:t>The fair value of our common stock is determined by the Board of Directors with assistance from management and external appraisers. Management’s approach to estimate the fair value of our common stock is consistent with the methods outlined in the American Institute of Certified Public Accountants’ Practice Aid</w:t>
      </w:r>
      <w:r>
        <w:rPr>
          <w:rFonts w:ascii="Arial" w:cs="Arial" w:eastAsia="Arial" w:hAnsi="Arial"/>
          <w:sz w:val="16"/>
          <w:szCs w:val="16"/>
          <w:i w:val="1"/>
          <w:iCs w:val="1"/>
          <w:color w:val="auto"/>
        </w:rPr>
        <w:t>, Valuation of Privately-Held-Company Equity Securities Issued as Compensation</w:t>
      </w:r>
      <w:r>
        <w:rPr>
          <w:rFonts w:ascii="Arial" w:cs="Arial" w:eastAsia="Arial" w:hAnsi="Arial"/>
          <w:sz w:val="16"/>
          <w:szCs w:val="16"/>
          <w:color w:val="auto"/>
        </w:rPr>
        <w:t xml:space="preserve"> (the “Practice Aid”), considering a number of objective and subjective factors including: valuations of our common stock performed with the assistance of independent third-party valuation specialists; our stage of development and business strategy, including the status of research and development efforts of our vaccine candidates, and the material risks related to our business and industry; our results of operations and financial position, including our levels of available capital resources; the valuation of publicly traded companies in the life sciences and biotechnology sectors, as well as recently completed mergers and acquisitions of peer companies; the lack of marketability of our common stock; the prices of our redeemable convertible preferred stock sold to investors in arm’s length transactions and the rights, preferences, and privileges of our redeemable convertible preferred stock relative to those of our common stock; the likelihood of achieving a liquidity event for the holders of our common and</w:t>
      </w:r>
    </w:p>
    <w:p>
      <w:pPr>
        <w:spacing w:after="0" w:line="1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41" w:right="499" w:bottom="1440" w:gutter="0" w:footer="0" w:header="0"/>
        </w:sectPr>
      </w:pPr>
    </w:p>
    <w:bookmarkStart w:id="118" w:name="page119"/>
    <w:bookmarkEnd w:id="118"/>
    <w:p>
      <w:pPr>
        <w:ind w:left="120" w:right="260"/>
        <w:spacing w:after="0" w:line="286" w:lineRule="auto"/>
        <w:rPr>
          <w:sz w:val="20"/>
          <w:szCs w:val="20"/>
          <w:color w:val="auto"/>
        </w:rPr>
      </w:pPr>
      <w:r>
        <w:rPr>
          <w:rFonts w:ascii="Arial" w:cs="Arial" w:eastAsia="Arial" w:hAnsi="Arial"/>
          <w:sz w:val="17"/>
          <w:szCs w:val="17"/>
          <w:color w:val="auto"/>
        </w:rPr>
        <w:t>redeemable convertible preferred stock, such as an initial public offering or a sale, given prevailing market conditions; trends and developments in our industry; and external market conditions affecting the life sciences and biotechnology industry sectors. The fair values of the common stock were approved by the Board of Directors until our common stock started listing on the Nasdaq Global Select Market upon our IPO.</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The valuation assumptions were determined as follows: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Expected Term</w:t>
      </w:r>
    </w:p>
    <w:p>
      <w:pPr>
        <w:spacing w:after="0" w:line="225" w:lineRule="exact"/>
        <w:rPr>
          <w:sz w:val="20"/>
          <w:szCs w:val="20"/>
          <w:color w:val="auto"/>
        </w:rPr>
      </w:pPr>
    </w:p>
    <w:p>
      <w:pPr>
        <w:ind w:left="120" w:right="180" w:firstLine="1147"/>
        <w:spacing w:after="0" w:line="293" w:lineRule="auto"/>
        <w:rPr>
          <w:sz w:val="20"/>
          <w:szCs w:val="20"/>
          <w:color w:val="auto"/>
        </w:rPr>
      </w:pPr>
      <w:r>
        <w:rPr>
          <w:rFonts w:ascii="Arial" w:cs="Arial" w:eastAsia="Arial" w:hAnsi="Arial"/>
          <w:sz w:val="16"/>
          <w:szCs w:val="16"/>
          <w:color w:val="auto"/>
        </w:rPr>
        <w:t>Expected term represents the period that our stock-based awards are expected to be outstanding. The expected term for employee stock options is calculated using the simplified method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 from grant until the mid-points for each of the tranches may be averaged to provide an overall expected term. The expected term for non-employee stock options is the remaining contractual term.</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Expected Volatility</w:t>
      </w:r>
    </w:p>
    <w:p>
      <w:pPr>
        <w:spacing w:after="0" w:line="225" w:lineRule="exact"/>
        <w:rPr>
          <w:sz w:val="20"/>
          <w:szCs w:val="20"/>
          <w:color w:val="auto"/>
        </w:rPr>
      </w:pPr>
    </w:p>
    <w:p>
      <w:pPr>
        <w:ind w:left="120" w:right="100" w:firstLine="1150"/>
        <w:spacing w:after="0" w:line="259" w:lineRule="auto"/>
        <w:rPr>
          <w:sz w:val="20"/>
          <w:szCs w:val="20"/>
          <w:color w:val="auto"/>
        </w:rPr>
      </w:pPr>
      <w:r>
        <w:rPr>
          <w:rFonts w:ascii="Arial" w:cs="Arial" w:eastAsia="Arial" w:hAnsi="Arial"/>
          <w:sz w:val="18"/>
          <w:szCs w:val="18"/>
          <w:color w:val="auto"/>
        </w:rPr>
        <w:t>Expected volatility is estimated from the average historical volatilities of publicly traded companies within the life sciences industry that are considered to be comparable to our business over a period approximately equal to the expected term for employees’ options and the remaining contractual life for non-employees’ options. We will continue to apply this process until a sufficient amount of historical information regarding the volatility of our own stock price becomes available.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Expected Dividend</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We have not paid and do not anticipate paying any dividends in the near future. Accordingly, we have estimated the dividend yield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 zero.</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Risk-Free Interest Rate</w:t>
      </w:r>
    </w:p>
    <w:p>
      <w:pPr>
        <w:spacing w:after="0" w:line="212" w:lineRule="exact"/>
        <w:rPr>
          <w:sz w:val="20"/>
          <w:szCs w:val="20"/>
          <w:color w:val="auto"/>
        </w:rPr>
      </w:pPr>
    </w:p>
    <w:p>
      <w:pPr>
        <w:ind w:left="120" w:right="1640" w:firstLine="1034"/>
        <w:spacing w:after="0" w:line="277" w:lineRule="auto"/>
        <w:rPr>
          <w:sz w:val="20"/>
          <w:szCs w:val="20"/>
          <w:color w:val="auto"/>
        </w:rPr>
      </w:pPr>
      <w:r>
        <w:rPr>
          <w:rFonts w:ascii="Arial" w:cs="Arial" w:eastAsia="Arial" w:hAnsi="Arial"/>
          <w:sz w:val="18"/>
          <w:szCs w:val="18"/>
          <w:color w:val="auto"/>
        </w:rPr>
        <w:t>The risk-free interest rate is based on the U.S. Treasury yield in effect at the time of grant for zero-coupon notes with remaining terms corresponding with the expected term of the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firstLine="1175"/>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or the JOBS Act. Under the JOBS Act, emerging growth companies can delay the adoption of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of audited financial statements in a registration statement for an initial public offering, an exemption from the requirement to provide an auditor’s report on internal controls over financial reporting pursuant to Section 404 of the Sarbanes-Oxley Act of 2002, as amended, an exemption from any requirement that may be adopted by the Public Company Accounting Oversight Board regarding mandatory audit firm rotation and less extensive disclosure about our executive compensation arrangements. We have elected to use the extended transition period for complying with new or revised accounting standards that have different effective dates for public and private companies until the earlier of the date that (i) we are no longer an emerging growth company or (ii) we affirmatively and irrevocably opt out of the extended transition period provided in the JOBS Act. However, as described in Note 3 to our financial statements included elsewhere in this Annual Report on Form 10-K, we early adopted certain accounting standards, as the JOBS Act does not preclude an emerging growth company from adopting a new or revised accounting standard earlier than the time that such standard applies to private companies to the extent early adoption is permitted. As a result, our financial statements may not be comparable to companies that comply with the new or revised accounting pronouncements as of public company effective dates.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9" w:name="page120"/>
    <w:bookmarkEnd w:id="119"/>
    <w:p>
      <w:pPr>
        <w:jc w:val="both"/>
        <w:ind w:right="60" w:firstLine="1175"/>
        <w:spacing w:after="0" w:line="257" w:lineRule="auto"/>
        <w:rPr>
          <w:sz w:val="20"/>
          <w:szCs w:val="20"/>
          <w:color w:val="auto"/>
        </w:rPr>
      </w:pPr>
      <w:r>
        <w:rPr>
          <w:rFonts w:ascii="Arial" w:cs="Arial" w:eastAsia="Arial" w:hAnsi="Arial"/>
          <w:sz w:val="18"/>
          <w:szCs w:val="18"/>
          <w:color w:val="auto"/>
        </w:rPr>
        <w:t>We will remain an emerging growth company until the earliest of (i) the last day of our first fiscal year in which we have total annual gross revenues of $1.07 billion or more, (ii) the last day of our fiscal year following the fifth anniversary of the consummation of the IPO, (iii) the date on which we are deemed to be a “large accelerated filer,” under the rules of the SEC, which means the market value of equity securities that is held by non-affiliates exceeds $700.0 million as of the prior June 30</w:t>
      </w:r>
      <w:r>
        <w:rPr>
          <w:rFonts w:ascii="Arial" w:cs="Arial" w:eastAsia="Arial" w:hAnsi="Arial"/>
          <w:sz w:val="15"/>
          <w:szCs w:val="15"/>
          <w:color w:val="auto"/>
        </w:rPr>
        <w:t>th</w:t>
      </w:r>
      <w:r>
        <w:rPr>
          <w:rFonts w:ascii="Arial" w:cs="Arial" w:eastAsia="Arial" w:hAnsi="Arial"/>
          <w:sz w:val="18"/>
          <w:szCs w:val="18"/>
          <w:color w:val="auto"/>
        </w:rPr>
        <w:t xml:space="preserve"> and (iv) the date on which we have issued more than $1.0 billion in non-convertible debt securities during the prior three-year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See Note 2, “Basis of Presentation and Summary of Significant Accounting Policies,” to our financial statements for additional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0" w:firstLine="1175"/>
        <w:spacing w:after="0" w:line="255" w:lineRule="auto"/>
        <w:rPr>
          <w:sz w:val="20"/>
          <w:szCs w:val="20"/>
          <w:color w:val="auto"/>
        </w:rPr>
      </w:pPr>
      <w:r>
        <w:rPr>
          <w:rFonts w:ascii="Arial" w:cs="Arial" w:eastAsia="Arial" w:hAnsi="Arial"/>
          <w:sz w:val="18"/>
          <w:szCs w:val="18"/>
          <w:color w:val="auto"/>
        </w:rPr>
        <w:t>Our cash and cash equivalents as of December 31, 2020 and December 31, 2019 consisted of readily available checking and money market funds. Our primary exposure to market risk is interest rate sensitivity, which is affected by changes in the general level of U.S. interest rates. However, because of the nature of the instruments in our portfolio, a sudden change in market interest rates would not be expected to have a material impact on our financial condition or results of operations. We believe that our exposure to interest rate risks is not significant and that a hypothetical 10% movement in market interest rates would not have a significant impact on the total value of our portfolio or our interest income. In addition, we do not believe that our cash and cash equivalents have significant risk of default or illiquidity.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firstLine="1175"/>
        <w:spacing w:after="0" w:line="269" w:lineRule="auto"/>
        <w:rPr>
          <w:sz w:val="20"/>
          <w:szCs w:val="20"/>
          <w:color w:val="auto"/>
        </w:rPr>
      </w:pPr>
      <w:r>
        <w:rPr>
          <w:rFonts w:ascii="Arial" w:cs="Arial" w:eastAsia="Arial" w:hAnsi="Arial"/>
          <w:sz w:val="17"/>
          <w:szCs w:val="17"/>
          <w:color w:val="auto"/>
        </w:rPr>
        <w:t>We are exposed to market risk related to changes in foreign currency exchange rates, mainly relating to our contract with Lonza, our contract manufacturing organization in Switzerland. We have also entered into a limited number of contracts with other parties with payments denominated in foreign currencies. Payments under these contracts are made in foreign currencies and are subject to fluctuations in foreign currency rates. We do not currently have a formal program in place to hedge foreign currency risks. However, from time to time, we buy Swiss Francs, or CHF, which is the majority of our foreign currency exposure, at market and are holding CHF in our bank accounts. As of December 31, 2020, we had approximately $4.3 million of CHF held at one financial institution and as of December 31, 2019, a total of $10.3 million of CHF held at two financial institutions. As of December 31, 2020 and December 31, 2019, we had foreign currency denominated accounts payable and accrued expenses of $41.2 million and $7.1 million, respectively. To date, foreign currency transaction gains and losses have not been material to our financial statements. The following table shows the impact of a hypothetical 10% increase or decrease in current exchange rates on our net assets as of December 31, 2020 and our net loss for the three months ended December 31, 2020: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1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Impact on Net Loss for</w:t>
            </w:r>
          </w:p>
        </w:tc>
      </w:tr>
      <w:tr>
        <w:trPr>
          <w:trHeight w:val="216"/>
        </w:trPr>
        <w:tc>
          <w:tcPr>
            <w:tcW w:w="5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Three Months</w:t>
            </w:r>
          </w:p>
        </w:tc>
      </w:tr>
      <w:tr>
        <w:trPr>
          <w:trHeight w:val="216"/>
        </w:trPr>
        <w:tc>
          <w:tcPr>
            <w:tcW w:w="5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1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89"/>
              </w:rPr>
              <w:t>Impact on Net Assets as</w:t>
            </w:r>
          </w:p>
        </w:tc>
        <w:tc>
          <w:tcPr>
            <w:tcW w:w="24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 December 31,</w:t>
            </w:r>
          </w:p>
        </w:tc>
      </w:tr>
      <w:tr>
        <w:trPr>
          <w:trHeight w:val="234"/>
        </w:trPr>
        <w:tc>
          <w:tcPr>
            <w:tcW w:w="5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of December 31, 2020</w:t>
            </w: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r>
      <w:tr>
        <w:trPr>
          <w:trHeight w:val="223"/>
        </w:trPr>
        <w:tc>
          <w:tcPr>
            <w:tcW w:w="5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20" w:type="dxa"/>
            <w:vAlign w:val="bottom"/>
            <w:gridSpan w:val="3"/>
          </w:tcPr>
          <w:p>
            <w:pPr>
              <w:jc w:val="right"/>
              <w:ind w:right="14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Hypothetical Change in Currency Exchange Rates</w:t>
            </w: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10% increase</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(3,684)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(5,123)</w:t>
            </w: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10% decrease</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3,684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480" w:firstLine="1175"/>
        <w:spacing w:after="0" w:line="277" w:lineRule="auto"/>
        <w:rPr>
          <w:sz w:val="20"/>
          <w:szCs w:val="20"/>
          <w:color w:val="auto"/>
        </w:rPr>
      </w:pPr>
      <w:r>
        <w:rPr>
          <w:rFonts w:ascii="Arial" w:cs="Arial" w:eastAsia="Arial" w:hAnsi="Arial"/>
          <w:sz w:val="18"/>
          <w:szCs w:val="18"/>
          <w:color w:val="auto"/>
        </w:rPr>
        <w:t>As our foreign currency risk increases in the future, we will evaluate alternative strategies, including hedging, to mitigate our foreign currency exposure.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ind w:firstLine="1175"/>
        <w:spacing w:after="0" w:line="277"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 costs. We do not believe inflation had a material effect on our results of operations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4"/>
        </w:trPr>
        <w:tc>
          <w:tcPr>
            <w:tcW w:w="932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92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INDEX TO FINANCIAL STATEMENTS</w:t>
            </w:r>
          </w:p>
        </w:tc>
        <w:tc>
          <w:tcPr>
            <w:tcW w:w="1920" w:type="dxa"/>
            <w:vAlign w:val="bottom"/>
          </w:tcPr>
          <w:p>
            <w:pPr>
              <w:spacing w:after="0"/>
              <w:rPr>
                <w:sz w:val="24"/>
                <w:szCs w:val="24"/>
                <w:color w:val="auto"/>
              </w:rPr>
            </w:pPr>
          </w:p>
        </w:tc>
      </w:tr>
      <w:tr>
        <w:trPr>
          <w:trHeight w:val="445"/>
        </w:trPr>
        <w:tc>
          <w:tcPr>
            <w:tcW w:w="9320" w:type="dxa"/>
            <w:vAlign w:val="bottom"/>
            <w:gridSpan w:val="7"/>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Report of Independent Registered Public Accounting Firm</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5"/>
        </w:trPr>
        <w:tc>
          <w:tcPr>
            <w:tcW w:w="4220" w:type="dxa"/>
            <w:vAlign w:val="bottom"/>
            <w:tcBorders>
              <w:top w:val="single" w:sz="8" w:color="0000EE"/>
            </w:tcBorders>
            <w:gridSpan w:val="5"/>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Balance Sheets</w:t>
              </w:r>
            </w:hyperlink>
          </w:p>
        </w:tc>
        <w:tc>
          <w:tcPr>
            <w:tcW w:w="5100" w:type="dxa"/>
            <w:vAlign w:val="bottom"/>
            <w:gridSpan w:val="2"/>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44"/>
        </w:trPr>
        <w:tc>
          <w:tcPr>
            <w:tcW w:w="37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25">
              <w:r>
                <w:rPr>
                  <w:rFonts w:ascii="Arial" w:cs="Arial" w:eastAsia="Arial" w:hAnsi="Arial"/>
                  <w:sz w:val="18"/>
                  <w:szCs w:val="18"/>
                  <w:color w:val="0000EE"/>
                  <w:w w:val="89"/>
                </w:rPr>
                <w:t>Statements of Operations and Comprehensive Loss</w:t>
              </w:r>
            </w:hyperlink>
          </w:p>
        </w:tc>
        <w:tc>
          <w:tcPr>
            <w:tcW w:w="5620" w:type="dxa"/>
            <w:vAlign w:val="bottom"/>
            <w:gridSpan w:val="3"/>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5"/>
        </w:trPr>
        <w:tc>
          <w:tcPr>
            <w:tcW w:w="9320" w:type="dxa"/>
            <w:vAlign w:val="bottom"/>
            <w:gridSpan w:val="7"/>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Statements of Redeemable Convertible Preferred Stock and Stockholders’ Equity (Deficit</w:t>
              </w:r>
            </w:hyperlink>
            <w:r>
              <w:rPr>
                <w:rFonts w:ascii="Arial" w:cs="Arial" w:eastAsia="Arial" w:hAnsi="Arial"/>
                <w:sz w:val="18"/>
                <w:szCs w:val="18"/>
                <w:u w:val="single" w:color="auto"/>
                <w:color w:val="000000"/>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4"/>
        </w:trPr>
        <w:tc>
          <w:tcPr>
            <w:tcW w:w="6460" w:type="dxa"/>
            <w:vAlign w:val="bottom"/>
            <w:tcBorders>
              <w:top w:val="single" w:sz="8" w:color="0000EE"/>
            </w:tcBorders>
            <w:gridSpan w:val="6"/>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Statements of Cash Flows</w:t>
              </w:r>
            </w:hyperlink>
          </w:p>
        </w:tc>
        <w:tc>
          <w:tcPr>
            <w:tcW w:w="28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8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6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44"/>
        </w:trPr>
        <w:tc>
          <w:tcPr>
            <w:tcW w:w="9320" w:type="dxa"/>
            <w:vAlign w:val="bottom"/>
            <w:gridSpan w:val="7"/>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Notes to Financial Statements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696"/>
        </w:trPr>
        <w:tc>
          <w:tcPr>
            <w:tcW w:w="2160" w:type="dxa"/>
            <w:vAlign w:val="bottom"/>
            <w:tcBorders>
              <w:top w:val="single" w:sz="8" w:color="0000EE"/>
            </w:tcBorders>
            <w:gridSpan w:val="3"/>
          </w:tcPr>
          <w:p>
            <w:pPr>
              <w:spacing w:after="0"/>
              <w:rPr>
                <w:sz w:val="24"/>
                <w:szCs w:val="24"/>
                <w:color w:val="auto"/>
              </w:rPr>
            </w:pPr>
          </w:p>
        </w:tc>
        <w:tc>
          <w:tcPr>
            <w:tcW w:w="4300" w:type="dxa"/>
            <w:vAlign w:val="bottom"/>
            <w:gridSpan w:val="3"/>
          </w:tcPr>
          <w:p>
            <w:pPr>
              <w:jc w:val="right"/>
              <w:ind w:right="610"/>
              <w:spacing w:after="0"/>
              <w:rPr>
                <w:sz w:val="20"/>
                <w:szCs w:val="20"/>
                <w:color w:val="auto"/>
              </w:rPr>
            </w:pPr>
            <w:r>
              <w:rPr>
                <w:rFonts w:ascii="Arial" w:cs="Arial" w:eastAsia="Arial" w:hAnsi="Arial"/>
                <w:sz w:val="18"/>
                <w:szCs w:val="18"/>
                <w:color w:val="auto"/>
              </w:rPr>
              <w:t>117</w:t>
            </w:r>
          </w:p>
        </w:tc>
        <w:tc>
          <w:tcPr>
            <w:tcW w:w="28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2" w:name="page123"/>
    <w:bookmarkEnd w:id="122"/>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Vaxcyte,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00" w:firstLine="1175"/>
        <w:spacing w:after="0" w:line="255" w:lineRule="auto"/>
        <w:rPr>
          <w:sz w:val="20"/>
          <w:szCs w:val="20"/>
          <w:color w:val="auto"/>
        </w:rPr>
      </w:pPr>
      <w:r>
        <w:rPr>
          <w:rFonts w:ascii="Arial" w:cs="Arial" w:eastAsia="Arial" w:hAnsi="Arial"/>
          <w:sz w:val="18"/>
          <w:szCs w:val="18"/>
          <w:color w:val="auto"/>
        </w:rPr>
        <w:t>We have audited the accompanying balance sheets of Vaxcyte, Inc. (the "Company") as of December 31, 2020 and 2019, the related statements of operations and comprehensive loss, redeemable convertible preferred stock and stockholders' equity (deficit),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320" w:firstLine="1175"/>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firstLine="1175"/>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00" w:firstLine="1175"/>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3" w:name="page124"/>
    <w:bookmarkEnd w:id="123"/>
    <w:p>
      <w:pPr>
        <w:jc w:val="center"/>
        <w:ind w:right="-59"/>
        <w:spacing w:after="0"/>
        <w:rPr>
          <w:sz w:val="20"/>
          <w:szCs w:val="20"/>
          <w:color w:val="auto"/>
        </w:rPr>
      </w:pPr>
      <w:r>
        <w:rPr>
          <w:rFonts w:ascii="Arial" w:cs="Arial" w:eastAsia="Arial" w:hAnsi="Arial"/>
          <w:sz w:val="18"/>
          <w:szCs w:val="18"/>
          <w:b w:val="1"/>
          <w:bCs w:val="1"/>
          <w:color w:val="auto"/>
        </w:rPr>
        <w:t>VAXCYTE,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3"/>
                <w:szCs w:val="13"/>
                <w:b w:val="1"/>
                <w:bCs w:val="1"/>
                <w:color w:val="auto"/>
              </w:rPr>
              <w:t>December 31,</w:t>
            </w:r>
          </w:p>
        </w:tc>
        <w:tc>
          <w:tcPr>
            <w:tcW w:w="1220" w:type="dxa"/>
            <w:vAlign w:val="bottom"/>
            <w:tcBorders>
              <w:bottom w:val="single" w:sz="8" w:color="auto"/>
            </w:tcBorders>
          </w:tcPr>
          <w:p>
            <w:pPr>
              <w:spacing w:after="0"/>
              <w:rPr>
                <w:sz w:val="14"/>
                <w:szCs w:val="14"/>
                <w:color w:val="auto"/>
              </w:rPr>
            </w:pPr>
          </w:p>
        </w:tc>
      </w:tr>
      <w:tr>
        <w:trPr>
          <w:trHeight w:val="155"/>
        </w:trPr>
        <w:tc>
          <w:tcPr>
            <w:tcW w:w="77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2020</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73"/>
              <w:spacing w:after="0"/>
              <w:rPr>
                <w:sz w:val="20"/>
                <w:szCs w:val="20"/>
                <w:color w:val="auto"/>
              </w:rPr>
            </w:pPr>
            <w:r>
              <w:rPr>
                <w:rFonts w:ascii="Arial" w:cs="Arial" w:eastAsia="Arial" w:hAnsi="Arial"/>
                <w:sz w:val="13"/>
                <w:szCs w:val="13"/>
                <w:b w:val="1"/>
                <w:bCs w:val="1"/>
                <w:color w:val="auto"/>
              </w:rPr>
              <w:t>2019</w:t>
            </w:r>
          </w:p>
        </w:tc>
      </w:tr>
      <w:tr>
        <w:trPr>
          <w:trHeight w:val="156"/>
        </w:trPr>
        <w:tc>
          <w:tcPr>
            <w:tcW w:w="77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Assets</w:t>
            </w:r>
          </w:p>
        </w:tc>
        <w:tc>
          <w:tcPr>
            <w:tcW w:w="9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r>
      <w:tr>
        <w:trPr>
          <w:trHeight w:val="162"/>
        </w:trPr>
        <w:tc>
          <w:tcPr>
            <w:tcW w:w="7700" w:type="dxa"/>
            <w:vAlign w:val="bottom"/>
          </w:tcPr>
          <w:p>
            <w:pPr>
              <w:spacing w:after="0"/>
              <w:rPr>
                <w:sz w:val="20"/>
                <w:szCs w:val="20"/>
                <w:color w:val="auto"/>
              </w:rPr>
            </w:pPr>
            <w:r>
              <w:rPr>
                <w:rFonts w:ascii="Arial" w:cs="Arial" w:eastAsia="Arial" w:hAnsi="Arial"/>
                <w:sz w:val="13"/>
                <w:szCs w:val="13"/>
                <w:color w:val="auto"/>
              </w:rPr>
              <w:t>Current assets:</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7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and cash equivalents</w:t>
            </w:r>
          </w:p>
        </w:tc>
        <w:tc>
          <w:tcPr>
            <w:tcW w:w="980" w:type="dxa"/>
            <w:vAlign w:val="bottom"/>
            <w:shd w:val="clear" w:color="auto" w:fill="CFF0FC"/>
          </w:tcPr>
          <w:p>
            <w:pPr>
              <w:jc w:val="right"/>
              <w:ind w:right="833"/>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386,200</w:t>
            </w:r>
          </w:p>
        </w:tc>
        <w:tc>
          <w:tcPr>
            <w:tcW w:w="16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293"/>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58,976</w:t>
            </w:r>
          </w:p>
        </w:tc>
      </w:tr>
      <w:tr>
        <w:trPr>
          <w:trHeight w:val="162"/>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Prepaid expenses and other current assets</w:t>
            </w:r>
          </w:p>
        </w:tc>
        <w:tc>
          <w:tcPr>
            <w:tcW w:w="9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2,804</w:t>
            </w:r>
          </w:p>
        </w:tc>
        <w:tc>
          <w:tcPr>
            <w:tcW w:w="16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2,747</w:t>
            </w:r>
          </w:p>
        </w:tc>
      </w:tr>
      <w:tr>
        <w:trPr>
          <w:trHeight w:val="156"/>
        </w:trPr>
        <w:tc>
          <w:tcPr>
            <w:tcW w:w="77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Total current assets</w:t>
            </w:r>
          </w:p>
        </w:tc>
        <w:tc>
          <w:tcPr>
            <w:tcW w:w="9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389,004</w:t>
            </w: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61,723</w:t>
            </w:r>
          </w:p>
        </w:tc>
      </w:tr>
      <w:tr>
        <w:trPr>
          <w:trHeight w:val="162"/>
        </w:trPr>
        <w:tc>
          <w:tcPr>
            <w:tcW w:w="7700" w:type="dxa"/>
            <w:vAlign w:val="bottom"/>
          </w:tcPr>
          <w:p>
            <w:pPr>
              <w:ind w:left="260"/>
              <w:spacing w:after="0"/>
              <w:rPr>
                <w:sz w:val="20"/>
                <w:szCs w:val="20"/>
                <w:color w:val="auto"/>
              </w:rPr>
            </w:pPr>
            <w:r>
              <w:rPr>
                <w:rFonts w:ascii="Arial" w:cs="Arial" w:eastAsia="Arial" w:hAnsi="Arial"/>
                <w:sz w:val="13"/>
                <w:szCs w:val="13"/>
                <w:color w:val="auto"/>
              </w:rPr>
              <w:t>Property and equipment, net</w:t>
            </w:r>
          </w:p>
        </w:tc>
        <w:tc>
          <w:tcPr>
            <w:tcW w:w="980" w:type="dxa"/>
            <w:vAlign w:val="bottom"/>
          </w:tcPr>
          <w:p>
            <w:pPr>
              <w:spacing w:after="0"/>
              <w:rPr>
                <w:sz w:val="14"/>
                <w:szCs w:val="14"/>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3,272</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3,391</w:t>
            </w:r>
          </w:p>
        </w:tc>
      </w:tr>
      <w:tr>
        <w:trPr>
          <w:trHeight w:val="162"/>
        </w:trPr>
        <w:tc>
          <w:tcPr>
            <w:tcW w:w="7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assets</w:t>
            </w:r>
          </w:p>
        </w:tc>
        <w:tc>
          <w:tcPr>
            <w:tcW w:w="9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550</w:t>
            </w:r>
          </w:p>
        </w:tc>
        <w:tc>
          <w:tcPr>
            <w:tcW w:w="160" w:type="dxa"/>
            <w:vAlign w:val="bottom"/>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584</w:t>
            </w:r>
          </w:p>
        </w:tc>
      </w:tr>
      <w:tr>
        <w:trPr>
          <w:trHeight w:val="196"/>
        </w:trPr>
        <w:tc>
          <w:tcPr>
            <w:tcW w:w="77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Total assets</w:t>
            </w:r>
          </w:p>
        </w:tc>
        <w:tc>
          <w:tcPr>
            <w:tcW w:w="980" w:type="dxa"/>
            <w:vAlign w:val="bottom"/>
            <w:tcBorders>
              <w:bottom w:val="single" w:sz="8" w:color="auto"/>
            </w:tcBorders>
          </w:tcPr>
          <w:p>
            <w:pPr>
              <w:jc w:val="right"/>
              <w:ind w:right="83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392,826</w:t>
            </w:r>
          </w:p>
        </w:tc>
        <w:tc>
          <w:tcPr>
            <w:tcW w:w="16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65,698</w:t>
            </w:r>
          </w:p>
        </w:tc>
      </w:tr>
      <w:tr>
        <w:trPr>
          <w:trHeight w:val="143"/>
        </w:trPr>
        <w:tc>
          <w:tcPr>
            <w:tcW w:w="77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r>
      <w:tr>
        <w:trPr>
          <w:trHeight w:val="162"/>
        </w:trPr>
        <w:tc>
          <w:tcPr>
            <w:tcW w:w="7700" w:type="dxa"/>
            <w:vAlign w:val="bottom"/>
          </w:tcPr>
          <w:p>
            <w:pPr>
              <w:spacing w:after="0"/>
              <w:rPr>
                <w:sz w:val="20"/>
                <w:szCs w:val="20"/>
                <w:color w:val="auto"/>
              </w:rPr>
            </w:pPr>
            <w:r>
              <w:rPr>
                <w:rFonts w:ascii="Arial" w:cs="Arial" w:eastAsia="Arial" w:hAnsi="Arial"/>
                <w:sz w:val="13"/>
                <w:szCs w:val="13"/>
                <w:b w:val="1"/>
                <w:bCs w:val="1"/>
                <w:color w:val="auto"/>
              </w:rPr>
              <w:t>Liabilities, Redeemable Convertible Preferred Stock and Stockholders' Equity (Deficit)</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Current liabilities:</w:t>
            </w:r>
          </w:p>
        </w:tc>
        <w:tc>
          <w:tcPr>
            <w:tcW w:w="9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r>
      <w:tr>
        <w:trPr>
          <w:trHeight w:val="162"/>
        </w:trPr>
        <w:tc>
          <w:tcPr>
            <w:tcW w:w="7700" w:type="dxa"/>
            <w:vAlign w:val="bottom"/>
          </w:tcPr>
          <w:p>
            <w:pPr>
              <w:ind w:left="260"/>
              <w:spacing w:after="0"/>
              <w:rPr>
                <w:sz w:val="20"/>
                <w:szCs w:val="20"/>
                <w:color w:val="auto"/>
              </w:rPr>
            </w:pPr>
            <w:r>
              <w:rPr>
                <w:rFonts w:ascii="Arial" w:cs="Arial" w:eastAsia="Arial" w:hAnsi="Arial"/>
                <w:sz w:val="13"/>
                <w:szCs w:val="13"/>
                <w:color w:val="auto"/>
              </w:rPr>
              <w:t>Accounts payable</w:t>
            </w:r>
          </w:p>
        </w:tc>
        <w:tc>
          <w:tcPr>
            <w:tcW w:w="980" w:type="dxa"/>
            <w:vAlign w:val="bottom"/>
          </w:tcPr>
          <w:p>
            <w:pPr>
              <w:jc w:val="right"/>
              <w:ind w:right="833"/>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29,785</w:t>
            </w:r>
          </w:p>
        </w:tc>
        <w:tc>
          <w:tcPr>
            <w:tcW w:w="160" w:type="dxa"/>
            <w:vAlign w:val="bottom"/>
          </w:tcPr>
          <w:p>
            <w:pPr>
              <w:spacing w:after="0"/>
              <w:rPr>
                <w:sz w:val="14"/>
                <w:szCs w:val="14"/>
                <w:color w:val="auto"/>
              </w:rPr>
            </w:pPr>
          </w:p>
        </w:tc>
        <w:tc>
          <w:tcPr>
            <w:tcW w:w="440" w:type="dxa"/>
            <w:vAlign w:val="bottom"/>
          </w:tcPr>
          <w:p>
            <w:pPr>
              <w:jc w:val="right"/>
              <w:ind w:right="293"/>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3,376</w:t>
            </w:r>
          </w:p>
        </w:tc>
      </w:tr>
      <w:tr>
        <w:trPr>
          <w:trHeight w:val="162"/>
        </w:trPr>
        <w:tc>
          <w:tcPr>
            <w:tcW w:w="7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compensation</w:t>
            </w:r>
          </w:p>
        </w:tc>
        <w:tc>
          <w:tcPr>
            <w:tcW w:w="9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284</w:t>
            </w:r>
          </w:p>
        </w:tc>
        <w:tc>
          <w:tcPr>
            <w:tcW w:w="1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414</w:t>
            </w:r>
          </w:p>
        </w:tc>
      </w:tr>
      <w:tr>
        <w:trPr>
          <w:trHeight w:val="162"/>
        </w:trPr>
        <w:tc>
          <w:tcPr>
            <w:tcW w:w="7700" w:type="dxa"/>
            <w:vAlign w:val="bottom"/>
          </w:tcPr>
          <w:p>
            <w:pPr>
              <w:ind w:left="260"/>
              <w:spacing w:after="0"/>
              <w:rPr>
                <w:sz w:val="20"/>
                <w:szCs w:val="20"/>
                <w:color w:val="auto"/>
              </w:rPr>
            </w:pPr>
            <w:r>
              <w:rPr>
                <w:rFonts w:ascii="Arial" w:cs="Arial" w:eastAsia="Arial" w:hAnsi="Arial"/>
                <w:sz w:val="13"/>
                <w:szCs w:val="13"/>
                <w:color w:val="auto"/>
              </w:rPr>
              <w:t>Accrued manufacturing expenses</w:t>
            </w:r>
          </w:p>
        </w:tc>
        <w:tc>
          <w:tcPr>
            <w:tcW w:w="980" w:type="dxa"/>
            <w:vAlign w:val="bottom"/>
          </w:tcPr>
          <w:p>
            <w:pPr>
              <w:spacing w:after="0"/>
              <w:rPr>
                <w:sz w:val="14"/>
                <w:szCs w:val="14"/>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13,012</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5,777</w:t>
            </w:r>
          </w:p>
        </w:tc>
      </w:tr>
      <w:tr>
        <w:trPr>
          <w:trHeight w:val="151"/>
        </w:trPr>
        <w:tc>
          <w:tcPr>
            <w:tcW w:w="7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expenses (including related party accrual of $677 and $15 as of</w:t>
            </w:r>
          </w:p>
        </w:tc>
        <w:tc>
          <w:tcPr>
            <w:tcW w:w="9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r>
      <w:tr>
        <w:trPr>
          <w:trHeight w:val="159"/>
        </w:trPr>
        <w:tc>
          <w:tcPr>
            <w:tcW w:w="7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December 31, 2020 and December 31, 2019, respectively)</w:t>
            </w:r>
          </w:p>
        </w:tc>
        <w:tc>
          <w:tcPr>
            <w:tcW w:w="9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3,766</w:t>
            </w: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1,305</w:t>
            </w:r>
          </w:p>
        </w:tc>
      </w:tr>
      <w:tr>
        <w:trPr>
          <w:trHeight w:val="162"/>
        </w:trPr>
        <w:tc>
          <w:tcPr>
            <w:tcW w:w="7700" w:type="dxa"/>
            <w:vAlign w:val="bottom"/>
          </w:tcPr>
          <w:p>
            <w:pPr>
              <w:ind w:left="260"/>
              <w:spacing w:after="0"/>
              <w:rPr>
                <w:sz w:val="20"/>
                <w:szCs w:val="20"/>
                <w:color w:val="auto"/>
              </w:rPr>
            </w:pPr>
            <w:r>
              <w:rPr>
                <w:rFonts w:ascii="Arial" w:cs="Arial" w:eastAsia="Arial" w:hAnsi="Arial"/>
                <w:sz w:val="13"/>
                <w:szCs w:val="13"/>
                <w:color w:val="auto"/>
              </w:rPr>
              <w:t>Deferred rent — current portion</w:t>
            </w:r>
          </w:p>
        </w:tc>
        <w:tc>
          <w:tcPr>
            <w:tcW w:w="980" w:type="dxa"/>
            <w:vAlign w:val="bottom"/>
          </w:tcPr>
          <w:p>
            <w:pPr>
              <w:spacing w:after="0"/>
              <w:rPr>
                <w:sz w:val="14"/>
                <w:szCs w:val="14"/>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14</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19</w:t>
            </w:r>
          </w:p>
        </w:tc>
      </w:tr>
      <w:tr>
        <w:trPr>
          <w:trHeight w:val="162"/>
        </w:trPr>
        <w:tc>
          <w:tcPr>
            <w:tcW w:w="7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Lease liability — current portion</w:t>
            </w:r>
          </w:p>
        </w:tc>
        <w:tc>
          <w:tcPr>
            <w:tcW w:w="9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161</w:t>
            </w:r>
          </w:p>
        </w:tc>
      </w:tr>
      <w:tr>
        <w:trPr>
          <w:trHeight w:val="156"/>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Total current liabilities</w:t>
            </w:r>
          </w:p>
        </w:tc>
        <w:tc>
          <w:tcPr>
            <w:tcW w:w="9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rPr>
              <w:t>46,861</w:t>
            </w:r>
          </w:p>
        </w:tc>
        <w:tc>
          <w:tcPr>
            <w:tcW w:w="160" w:type="dxa"/>
            <w:vAlign w:val="bottom"/>
            <w:tcBorders>
              <w:bottom w:val="single" w:sz="8" w:color="CFF0FC"/>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rPr>
              <w:t>11,052</w:t>
            </w:r>
          </w:p>
        </w:tc>
      </w:tr>
      <w:tr>
        <w:trPr>
          <w:trHeight w:val="155"/>
        </w:trPr>
        <w:tc>
          <w:tcPr>
            <w:tcW w:w="7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rent — long-term portion</w:t>
            </w:r>
          </w:p>
        </w:tc>
        <w:tc>
          <w:tcPr>
            <w:tcW w:w="9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10</w:t>
            </w: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17</w:t>
            </w:r>
          </w:p>
        </w:tc>
      </w:tr>
      <w:tr>
        <w:trPr>
          <w:trHeight w:val="162"/>
        </w:trPr>
        <w:tc>
          <w:tcPr>
            <w:tcW w:w="7700" w:type="dxa"/>
            <w:vAlign w:val="bottom"/>
          </w:tcPr>
          <w:p>
            <w:pPr>
              <w:ind w:left="260"/>
              <w:spacing w:after="0"/>
              <w:rPr>
                <w:sz w:val="20"/>
                <w:szCs w:val="20"/>
                <w:color w:val="auto"/>
              </w:rPr>
            </w:pPr>
            <w:r>
              <w:rPr>
                <w:rFonts w:ascii="Arial" w:cs="Arial" w:eastAsia="Arial" w:hAnsi="Arial"/>
                <w:sz w:val="13"/>
                <w:szCs w:val="13"/>
                <w:color w:val="auto"/>
              </w:rPr>
              <w:t>Redeemable convertible preferred stock warrant liability</w:t>
            </w:r>
          </w:p>
        </w:tc>
        <w:tc>
          <w:tcPr>
            <w:tcW w:w="9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450</w:t>
            </w:r>
          </w:p>
        </w:tc>
      </w:tr>
      <w:tr>
        <w:trPr>
          <w:trHeight w:val="162"/>
        </w:trPr>
        <w:tc>
          <w:tcPr>
            <w:tcW w:w="7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liabilities</w:t>
            </w:r>
          </w:p>
        </w:tc>
        <w:tc>
          <w:tcPr>
            <w:tcW w:w="9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112</w:t>
            </w:r>
          </w:p>
        </w:tc>
        <w:tc>
          <w:tcPr>
            <w:tcW w:w="160" w:type="dxa"/>
            <w:vAlign w:val="bottom"/>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242</w:t>
            </w:r>
          </w:p>
        </w:tc>
      </w:tr>
      <w:tr>
        <w:trPr>
          <w:trHeight w:val="156"/>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Total liabilities</w:t>
            </w: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46,983</w:t>
            </w:r>
          </w:p>
        </w:tc>
        <w:tc>
          <w:tcPr>
            <w:tcW w:w="16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11,761</w:t>
            </w:r>
          </w:p>
        </w:tc>
      </w:tr>
      <w:tr>
        <w:trPr>
          <w:trHeight w:val="155"/>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Commitments and contingencies (Note 5)</w:t>
            </w:r>
          </w:p>
        </w:tc>
        <w:tc>
          <w:tcPr>
            <w:tcW w:w="9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r>
      <w:tr>
        <w:trPr>
          <w:trHeight w:val="162"/>
        </w:trPr>
        <w:tc>
          <w:tcPr>
            <w:tcW w:w="7700" w:type="dxa"/>
            <w:vAlign w:val="bottom"/>
          </w:tcPr>
          <w:p>
            <w:pPr>
              <w:spacing w:after="0"/>
              <w:rPr>
                <w:sz w:val="20"/>
                <w:szCs w:val="20"/>
                <w:color w:val="auto"/>
              </w:rPr>
            </w:pPr>
            <w:r>
              <w:rPr>
                <w:rFonts w:ascii="Arial" w:cs="Arial" w:eastAsia="Arial" w:hAnsi="Arial"/>
                <w:sz w:val="13"/>
                <w:szCs w:val="13"/>
                <w:b w:val="1"/>
                <w:bCs w:val="1"/>
                <w:color w:val="auto"/>
              </w:rPr>
              <w:t>Redeemable Convertible Preferred Stock</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1"/>
        </w:trPr>
        <w:tc>
          <w:tcPr>
            <w:tcW w:w="7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Series A redeemable convertible preferred stock, $0.001 par value; no and 10,502,804 shares</w:t>
            </w:r>
          </w:p>
        </w:tc>
        <w:tc>
          <w:tcPr>
            <w:tcW w:w="9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r>
      <w:tr>
        <w:trPr>
          <w:trHeight w:val="149"/>
        </w:trPr>
        <w:tc>
          <w:tcPr>
            <w:tcW w:w="7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authorized at December 31, 2020 and December 31, 2019, respectively; no and 6,225,719 shares</w:t>
            </w:r>
          </w:p>
        </w:tc>
        <w:tc>
          <w:tcPr>
            <w:tcW w:w="9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r>
      <w:tr>
        <w:trPr>
          <w:trHeight w:val="148"/>
        </w:trPr>
        <w:tc>
          <w:tcPr>
            <w:tcW w:w="7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issued and outstanding at December 31, 2020 and December 31, 2019, respectively;</w:t>
            </w:r>
          </w:p>
        </w:tc>
        <w:tc>
          <w:tcPr>
            <w:tcW w:w="9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r>
      <w:tr>
        <w:trPr>
          <w:trHeight w:val="148"/>
        </w:trPr>
        <w:tc>
          <w:tcPr>
            <w:tcW w:w="7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liquidation value of $0 and $26,887 at December 31, 2020 and December 31, 2019,</w:t>
            </w:r>
          </w:p>
        </w:tc>
        <w:tc>
          <w:tcPr>
            <w:tcW w:w="9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r>
      <w:tr>
        <w:trPr>
          <w:trHeight w:val="159"/>
        </w:trPr>
        <w:tc>
          <w:tcPr>
            <w:tcW w:w="7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respectively</w:t>
            </w:r>
          </w:p>
        </w:tc>
        <w:tc>
          <w:tcPr>
            <w:tcW w:w="9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24,967</w:t>
            </w:r>
          </w:p>
        </w:tc>
      </w:tr>
      <w:tr>
        <w:trPr>
          <w:trHeight w:val="151"/>
        </w:trPr>
        <w:tc>
          <w:tcPr>
            <w:tcW w:w="7700" w:type="dxa"/>
            <w:vAlign w:val="bottom"/>
          </w:tcPr>
          <w:p>
            <w:pPr>
              <w:ind w:left="260"/>
              <w:spacing w:after="0"/>
              <w:rPr>
                <w:sz w:val="20"/>
                <w:szCs w:val="20"/>
                <w:color w:val="auto"/>
              </w:rPr>
            </w:pPr>
            <w:r>
              <w:rPr>
                <w:rFonts w:ascii="Arial" w:cs="Arial" w:eastAsia="Arial" w:hAnsi="Arial"/>
                <w:sz w:val="13"/>
                <w:szCs w:val="13"/>
                <w:color w:val="auto"/>
              </w:rPr>
              <w:t>Series B redeemable convertible preferred stock, $0.001 par value; no and 11,449,515 shares</w:t>
            </w:r>
          </w:p>
        </w:tc>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48"/>
        </w:trPr>
        <w:tc>
          <w:tcPr>
            <w:tcW w:w="7700" w:type="dxa"/>
            <w:vAlign w:val="bottom"/>
          </w:tcPr>
          <w:p>
            <w:pPr>
              <w:ind w:left="360"/>
              <w:spacing w:after="0"/>
              <w:rPr>
                <w:sz w:val="20"/>
                <w:szCs w:val="20"/>
                <w:color w:val="auto"/>
              </w:rPr>
            </w:pPr>
            <w:r>
              <w:rPr>
                <w:rFonts w:ascii="Arial" w:cs="Arial" w:eastAsia="Arial" w:hAnsi="Arial"/>
                <w:sz w:val="13"/>
                <w:szCs w:val="13"/>
                <w:color w:val="auto"/>
              </w:rPr>
              <w:t>authorized at December 31, 2020 and December 31, 2019, respectively; no and 6,786,896 shares</w:t>
            </w: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7700" w:type="dxa"/>
            <w:vAlign w:val="bottom"/>
          </w:tcPr>
          <w:p>
            <w:pPr>
              <w:ind w:left="360"/>
              <w:spacing w:after="0"/>
              <w:rPr>
                <w:sz w:val="20"/>
                <w:szCs w:val="20"/>
                <w:color w:val="auto"/>
              </w:rPr>
            </w:pPr>
            <w:r>
              <w:rPr>
                <w:rFonts w:ascii="Arial" w:cs="Arial" w:eastAsia="Arial" w:hAnsi="Arial"/>
                <w:sz w:val="13"/>
                <w:szCs w:val="13"/>
                <w:color w:val="auto"/>
              </w:rPr>
              <w:t>issued and outstanding at December 31, 2020 and December 31, 2019, respectively;</w:t>
            </w: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8"/>
        </w:trPr>
        <w:tc>
          <w:tcPr>
            <w:tcW w:w="7700" w:type="dxa"/>
            <w:vAlign w:val="bottom"/>
          </w:tcPr>
          <w:p>
            <w:pPr>
              <w:ind w:left="360"/>
              <w:spacing w:after="0"/>
              <w:rPr>
                <w:sz w:val="20"/>
                <w:szCs w:val="20"/>
                <w:color w:val="auto"/>
              </w:rPr>
            </w:pPr>
            <w:r>
              <w:rPr>
                <w:rFonts w:ascii="Arial" w:cs="Arial" w:eastAsia="Arial" w:hAnsi="Arial"/>
                <w:sz w:val="13"/>
                <w:szCs w:val="13"/>
                <w:color w:val="auto"/>
              </w:rPr>
              <w:t>liquidation value of $0 and $60,150 at December 31, 2020 and December 31, 2019,</w:t>
            </w: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59"/>
        </w:trPr>
        <w:tc>
          <w:tcPr>
            <w:tcW w:w="7700" w:type="dxa"/>
            <w:vAlign w:val="bottom"/>
          </w:tcPr>
          <w:p>
            <w:pPr>
              <w:ind w:left="360"/>
              <w:spacing w:after="0"/>
              <w:rPr>
                <w:sz w:val="20"/>
                <w:szCs w:val="20"/>
                <w:color w:val="auto"/>
              </w:rPr>
            </w:pPr>
            <w:r>
              <w:rPr>
                <w:rFonts w:ascii="Arial" w:cs="Arial" w:eastAsia="Arial" w:hAnsi="Arial"/>
                <w:sz w:val="13"/>
                <w:szCs w:val="13"/>
                <w:color w:val="auto"/>
              </w:rPr>
              <w:t>respectively</w:t>
            </w:r>
          </w:p>
        </w:tc>
        <w:tc>
          <w:tcPr>
            <w:tcW w:w="980" w:type="dxa"/>
            <w:vAlign w:val="bottom"/>
          </w:tcPr>
          <w:p>
            <w:pPr>
              <w:spacing w:after="0"/>
              <w:rPr>
                <w:sz w:val="13"/>
                <w:szCs w:val="13"/>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3"/>
                <w:szCs w:val="13"/>
                <w:color w:val="auto"/>
              </w:rPr>
            </w:pP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55,151</w:t>
            </w:r>
          </w:p>
        </w:tc>
      </w:tr>
      <w:tr>
        <w:trPr>
          <w:trHeight w:val="151"/>
        </w:trPr>
        <w:tc>
          <w:tcPr>
            <w:tcW w:w="7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Series C redeemable convertible preferred stock, $0.001 par value; no and 14,010,043</w:t>
            </w:r>
          </w:p>
        </w:tc>
        <w:tc>
          <w:tcPr>
            <w:tcW w:w="9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r>
      <w:tr>
        <w:trPr>
          <w:trHeight w:val="149"/>
        </w:trPr>
        <w:tc>
          <w:tcPr>
            <w:tcW w:w="7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shares authorized at December 31, 2020 and December 31, 2019, respectively; no and</w:t>
            </w:r>
          </w:p>
        </w:tc>
        <w:tc>
          <w:tcPr>
            <w:tcW w:w="9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r>
      <w:tr>
        <w:trPr>
          <w:trHeight w:val="148"/>
        </w:trPr>
        <w:tc>
          <w:tcPr>
            <w:tcW w:w="7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7,377,480 shares issued and outstanding at December 31, 2020 and December 31, 2019,</w:t>
            </w:r>
          </w:p>
        </w:tc>
        <w:tc>
          <w:tcPr>
            <w:tcW w:w="9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r>
      <w:tr>
        <w:trPr>
          <w:trHeight w:val="148"/>
        </w:trPr>
        <w:tc>
          <w:tcPr>
            <w:tcW w:w="7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respectively; liquidation value of $0 and $85,000 at December 31, 2020 and December 31,</w:t>
            </w:r>
          </w:p>
        </w:tc>
        <w:tc>
          <w:tcPr>
            <w:tcW w:w="9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r>
      <w:tr>
        <w:trPr>
          <w:trHeight w:val="159"/>
        </w:trPr>
        <w:tc>
          <w:tcPr>
            <w:tcW w:w="7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2019, respectively</w:t>
            </w:r>
          </w:p>
        </w:tc>
        <w:tc>
          <w:tcPr>
            <w:tcW w:w="9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80,192</w:t>
            </w:r>
          </w:p>
        </w:tc>
      </w:tr>
      <w:tr>
        <w:trPr>
          <w:trHeight w:val="162"/>
        </w:trPr>
        <w:tc>
          <w:tcPr>
            <w:tcW w:w="7700" w:type="dxa"/>
            <w:vAlign w:val="bottom"/>
          </w:tcPr>
          <w:p>
            <w:pPr>
              <w:spacing w:after="0"/>
              <w:rPr>
                <w:sz w:val="20"/>
                <w:szCs w:val="20"/>
                <w:color w:val="auto"/>
              </w:rPr>
            </w:pPr>
            <w:r>
              <w:rPr>
                <w:rFonts w:ascii="Arial" w:cs="Arial" w:eastAsia="Arial" w:hAnsi="Arial"/>
                <w:sz w:val="13"/>
                <w:szCs w:val="13"/>
                <w:b w:val="1"/>
                <w:bCs w:val="1"/>
                <w:color w:val="auto"/>
              </w:rPr>
              <w:t>Stockholders' Equity (Deficit)</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1"/>
        </w:trPr>
        <w:tc>
          <w:tcPr>
            <w:tcW w:w="7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Preferred stock, $0.001 par value — 10,000,000 and no shares authorized at</w:t>
            </w:r>
          </w:p>
        </w:tc>
        <w:tc>
          <w:tcPr>
            <w:tcW w:w="9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r>
      <w:tr>
        <w:trPr>
          <w:trHeight w:val="149"/>
        </w:trPr>
        <w:tc>
          <w:tcPr>
            <w:tcW w:w="7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December 31, 2020 and December 31, 2019, respectively; no shares issued and outstanding</w:t>
            </w:r>
          </w:p>
        </w:tc>
        <w:tc>
          <w:tcPr>
            <w:tcW w:w="9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r>
      <w:tr>
        <w:trPr>
          <w:trHeight w:val="159"/>
        </w:trPr>
        <w:tc>
          <w:tcPr>
            <w:tcW w:w="7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at December 31, 2020 and December 31, 2019, respectively</w:t>
            </w:r>
          </w:p>
        </w:tc>
        <w:tc>
          <w:tcPr>
            <w:tcW w:w="9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r>
      <w:tr>
        <w:trPr>
          <w:trHeight w:val="151"/>
        </w:trPr>
        <w:tc>
          <w:tcPr>
            <w:tcW w:w="7700" w:type="dxa"/>
            <w:vAlign w:val="bottom"/>
          </w:tcPr>
          <w:p>
            <w:pPr>
              <w:ind w:left="260"/>
              <w:spacing w:after="0"/>
              <w:rPr>
                <w:sz w:val="20"/>
                <w:szCs w:val="20"/>
                <w:color w:val="auto"/>
              </w:rPr>
            </w:pPr>
            <w:r>
              <w:rPr>
                <w:rFonts w:ascii="Arial" w:cs="Arial" w:eastAsia="Arial" w:hAnsi="Arial"/>
                <w:sz w:val="13"/>
                <w:szCs w:val="13"/>
                <w:color w:val="auto"/>
              </w:rPr>
              <w:t>Common stock, $0.001 par value — 500,000,000 and 52,000,000 shares authorized at</w:t>
            </w:r>
          </w:p>
        </w:tc>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48"/>
        </w:trPr>
        <w:tc>
          <w:tcPr>
            <w:tcW w:w="7700" w:type="dxa"/>
            <w:vAlign w:val="bottom"/>
          </w:tcPr>
          <w:p>
            <w:pPr>
              <w:ind w:left="360"/>
              <w:spacing w:after="0"/>
              <w:rPr>
                <w:sz w:val="20"/>
                <w:szCs w:val="20"/>
                <w:color w:val="auto"/>
              </w:rPr>
            </w:pPr>
            <w:r>
              <w:rPr>
                <w:rFonts w:ascii="Arial" w:cs="Arial" w:eastAsia="Arial" w:hAnsi="Arial"/>
                <w:sz w:val="13"/>
                <w:szCs w:val="13"/>
                <w:color w:val="auto"/>
              </w:rPr>
              <w:t>December 31, 2020 and December 31, 2019, respectively; 51,071,593 and 4,059,909 shares</w:t>
            </w: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59"/>
        </w:trPr>
        <w:tc>
          <w:tcPr>
            <w:tcW w:w="7700" w:type="dxa"/>
            <w:vAlign w:val="bottom"/>
          </w:tcPr>
          <w:p>
            <w:pPr>
              <w:ind w:left="360"/>
              <w:spacing w:after="0"/>
              <w:rPr>
                <w:sz w:val="20"/>
                <w:szCs w:val="20"/>
                <w:color w:val="auto"/>
              </w:rPr>
            </w:pPr>
            <w:r>
              <w:rPr>
                <w:rFonts w:ascii="Arial" w:cs="Arial" w:eastAsia="Arial" w:hAnsi="Arial"/>
                <w:sz w:val="13"/>
                <w:szCs w:val="13"/>
                <w:color w:val="auto"/>
              </w:rPr>
              <w:t>issued and outstanding at December 31, 2020 and December 31, 2019, respectively</w:t>
            </w:r>
          </w:p>
        </w:tc>
        <w:tc>
          <w:tcPr>
            <w:tcW w:w="980" w:type="dxa"/>
            <w:vAlign w:val="bottom"/>
          </w:tcPr>
          <w:p>
            <w:pPr>
              <w:spacing w:after="0"/>
              <w:rPr>
                <w:sz w:val="13"/>
                <w:szCs w:val="13"/>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54</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7</w:t>
            </w:r>
          </w:p>
        </w:tc>
      </w:tr>
      <w:tr>
        <w:trPr>
          <w:trHeight w:val="162"/>
        </w:trPr>
        <w:tc>
          <w:tcPr>
            <w:tcW w:w="7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Additional paid-in capital</w:t>
            </w:r>
          </w:p>
        </w:tc>
        <w:tc>
          <w:tcPr>
            <w:tcW w:w="9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544,353</w:t>
            </w:r>
          </w:p>
        </w:tc>
        <w:tc>
          <w:tcPr>
            <w:tcW w:w="1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2,967</w:t>
            </w:r>
          </w:p>
        </w:tc>
      </w:tr>
      <w:tr>
        <w:trPr>
          <w:trHeight w:val="162"/>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Accumulated deficit</w:t>
            </w:r>
          </w:p>
        </w:tc>
        <w:tc>
          <w:tcPr>
            <w:tcW w:w="9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(198,564)</w:t>
            </w:r>
          </w:p>
        </w:tc>
        <w:tc>
          <w:tcPr>
            <w:tcW w:w="16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(109,347)</w:t>
            </w:r>
          </w:p>
        </w:tc>
      </w:tr>
      <w:tr>
        <w:trPr>
          <w:trHeight w:val="156"/>
        </w:trPr>
        <w:tc>
          <w:tcPr>
            <w:tcW w:w="77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Total stockholders' equity (deficit)</w:t>
            </w:r>
          </w:p>
        </w:tc>
        <w:tc>
          <w:tcPr>
            <w:tcW w:w="9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345,843</w:t>
            </w:r>
          </w:p>
        </w:tc>
        <w:tc>
          <w:tcPr>
            <w:tcW w:w="160" w:type="dxa"/>
            <w:vAlign w:val="bottom"/>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(106,373)</w:t>
            </w:r>
          </w:p>
        </w:tc>
      </w:tr>
      <w:tr>
        <w:trPr>
          <w:trHeight w:val="155"/>
        </w:trPr>
        <w:tc>
          <w:tcPr>
            <w:tcW w:w="7700" w:type="dxa"/>
            <w:vAlign w:val="bottom"/>
          </w:tcPr>
          <w:p>
            <w:pPr>
              <w:spacing w:after="0"/>
              <w:rPr>
                <w:sz w:val="20"/>
                <w:szCs w:val="20"/>
                <w:color w:val="auto"/>
              </w:rPr>
            </w:pPr>
            <w:r>
              <w:rPr>
                <w:rFonts w:ascii="Arial" w:cs="Arial" w:eastAsia="Arial" w:hAnsi="Arial"/>
                <w:sz w:val="13"/>
                <w:szCs w:val="13"/>
                <w:color w:val="auto"/>
              </w:rPr>
              <w:t>Total liabilities, redeemable convertible preferred stock and stockholders' equity (deficit)</w:t>
            </w:r>
          </w:p>
        </w:tc>
        <w:tc>
          <w:tcPr>
            <w:tcW w:w="980" w:type="dxa"/>
            <w:vAlign w:val="bottom"/>
            <w:tcBorders>
              <w:bottom w:val="single" w:sz="8" w:color="auto"/>
            </w:tcBorders>
          </w:tcPr>
          <w:p>
            <w:pPr>
              <w:jc w:val="right"/>
              <w:ind w:right="83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392,826</w:t>
            </w:r>
          </w:p>
        </w:tc>
        <w:tc>
          <w:tcPr>
            <w:tcW w:w="160" w:type="dxa"/>
            <w:vAlign w:val="bottom"/>
          </w:tcPr>
          <w:p>
            <w:pPr>
              <w:spacing w:after="0"/>
              <w:rPr>
                <w:sz w:val="13"/>
                <w:szCs w:val="13"/>
                <w:color w:val="auto"/>
              </w:rPr>
            </w:pPr>
          </w:p>
        </w:tc>
        <w:tc>
          <w:tcPr>
            <w:tcW w:w="44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65,698</w:t>
            </w: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24" w:name="page125"/>
    <w:bookmarkEnd w:id="124"/>
    <w:p>
      <w:pPr>
        <w:ind w:left="4960"/>
        <w:spacing w:after="0"/>
        <w:rPr>
          <w:sz w:val="20"/>
          <w:szCs w:val="20"/>
          <w:color w:val="auto"/>
        </w:rPr>
      </w:pPr>
      <w:r>
        <w:rPr>
          <w:rFonts w:ascii="Arial" w:cs="Arial" w:eastAsia="Arial" w:hAnsi="Arial"/>
          <w:sz w:val="18"/>
          <w:szCs w:val="18"/>
          <w:b w:val="1"/>
          <w:bCs w:val="1"/>
          <w:color w:val="auto"/>
        </w:rPr>
        <w:t>VAXCYTE,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tcPr>
          <w:p>
            <w:pPr>
              <w:ind w:left="1000"/>
              <w:spacing w:after="0"/>
              <w:rPr>
                <w:sz w:val="20"/>
                <w:szCs w:val="20"/>
                <w:color w:val="auto"/>
              </w:rPr>
            </w:pPr>
            <w:r>
              <w:rPr>
                <w:rFonts w:ascii="Arial" w:cs="Arial" w:eastAsia="Arial" w:hAnsi="Arial"/>
                <w:sz w:val="16"/>
                <w:szCs w:val="16"/>
                <w:b w:val="1"/>
                <w:bCs w:val="1"/>
                <w:color w:val="auto"/>
                <w:w w:val="90"/>
              </w:rPr>
              <w:t>Year Ended December 31,</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2"/>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780" w:type="dxa"/>
            <w:vAlign w:val="bottom"/>
          </w:tcPr>
          <w:p>
            <w:pPr>
              <w:ind w:left="260"/>
              <w:spacing w:after="0"/>
              <w:rPr>
                <w:sz w:val="20"/>
                <w:szCs w:val="20"/>
                <w:color w:val="auto"/>
              </w:rPr>
            </w:pPr>
            <w:r>
              <w:rPr>
                <w:rFonts w:ascii="Arial" w:cs="Arial" w:eastAsia="Arial" w:hAnsi="Arial"/>
                <w:sz w:val="16"/>
                <w:szCs w:val="16"/>
                <w:color w:val="auto"/>
              </w:rPr>
              <w:t>Research and development (including related party expenses of $1,331,</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80" w:type="dxa"/>
            <w:vAlign w:val="bottom"/>
          </w:tcPr>
          <w:p>
            <w:pPr>
              <w:ind w:left="380"/>
              <w:spacing w:after="0"/>
              <w:rPr>
                <w:sz w:val="20"/>
                <w:szCs w:val="20"/>
                <w:color w:val="auto"/>
              </w:rPr>
            </w:pPr>
            <w:r>
              <w:rPr>
                <w:rFonts w:ascii="Arial" w:cs="Arial" w:eastAsia="Arial" w:hAnsi="Arial"/>
                <w:sz w:val="16"/>
                <w:szCs w:val="16"/>
                <w:color w:val="auto"/>
              </w:rPr>
              <w:t>$1,137 and $1,878 in 2020, 2019 and 2018, respectively)</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73,564</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45,607</w:t>
            </w:r>
          </w:p>
        </w:tc>
        <w:tc>
          <w:tcPr>
            <w:tcW w:w="18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30,145</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16,017</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8,546</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5,388</w:t>
            </w:r>
          </w:p>
        </w:tc>
        <w:tc>
          <w:tcPr>
            <w:tcW w:w="0" w:type="dxa"/>
            <w:vAlign w:val="bottom"/>
          </w:tcPr>
          <w:p>
            <w:pPr>
              <w:spacing w:after="0"/>
              <w:rPr>
                <w:sz w:val="1"/>
                <w:szCs w:val="1"/>
                <w:color w:val="auto"/>
              </w:rPr>
            </w:pPr>
          </w:p>
        </w:tc>
      </w:tr>
      <w:tr>
        <w:trPr>
          <w:trHeight w:val="207"/>
        </w:trPr>
        <w:tc>
          <w:tcPr>
            <w:tcW w:w="67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89,581</w:t>
            </w:r>
          </w:p>
        </w:tc>
        <w:tc>
          <w:tcPr>
            <w:tcW w:w="1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54,153</w:t>
            </w:r>
          </w:p>
        </w:tc>
        <w:tc>
          <w:tcPr>
            <w:tcW w:w="1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35,533</w:t>
            </w:r>
          </w:p>
        </w:tc>
        <w:tc>
          <w:tcPr>
            <w:tcW w:w="0" w:type="dxa"/>
            <w:vAlign w:val="bottom"/>
          </w:tcPr>
          <w:p>
            <w:pPr>
              <w:spacing w:after="0"/>
              <w:rPr>
                <w:sz w:val="1"/>
                <w:szCs w:val="1"/>
                <w:color w:val="auto"/>
              </w:rPr>
            </w:pPr>
          </w:p>
        </w:tc>
      </w:tr>
      <w:tr>
        <w:trPr>
          <w:trHeight w:val="213"/>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(89,581)</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(54,153)</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(35,533)</w:t>
            </w:r>
          </w:p>
        </w:tc>
        <w:tc>
          <w:tcPr>
            <w:tcW w:w="0" w:type="dxa"/>
            <w:vAlign w:val="bottom"/>
          </w:tcPr>
          <w:p>
            <w:pPr>
              <w:spacing w:after="0"/>
              <w:rPr>
                <w:sz w:val="1"/>
                <w:szCs w:val="1"/>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632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Grant income</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2,478</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237</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Foreign currency transaction losses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(2,351)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 in fair value of the redeemable convertible preferred stock</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tranche liability</w:t>
            </w: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3,185</w:t>
            </w:r>
          </w:p>
        </w:tc>
        <w:tc>
          <w:tcPr>
            <w:tcW w:w="1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5,178</w:t>
            </w:r>
          </w:p>
        </w:tc>
        <w:tc>
          <w:tcPr>
            <w:tcW w:w="0" w:type="dxa"/>
            <w:vAlign w:val="bottom"/>
          </w:tcPr>
          <w:p>
            <w:pPr>
              <w:spacing w:after="0"/>
              <w:rPr>
                <w:sz w:val="1"/>
                <w:szCs w:val="1"/>
                <w:color w:val="auto"/>
              </w:rPr>
            </w:pPr>
          </w:p>
        </w:tc>
      </w:tr>
      <w:tr>
        <w:trPr>
          <w:trHeight w:val="207"/>
        </w:trPr>
        <w:tc>
          <w:tcPr>
            <w:tcW w:w="67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other income (expense), net</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364</w:t>
            </w:r>
          </w:p>
        </w:tc>
        <w:tc>
          <w:tcPr>
            <w:tcW w:w="1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3,879</w:t>
            </w:r>
          </w:p>
        </w:tc>
        <w:tc>
          <w:tcPr>
            <w:tcW w:w="1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6,048</w:t>
            </w:r>
          </w:p>
        </w:tc>
        <w:tc>
          <w:tcPr>
            <w:tcW w:w="0" w:type="dxa"/>
            <w:vAlign w:val="bottom"/>
          </w:tcPr>
          <w:p>
            <w:pPr>
              <w:spacing w:after="0"/>
              <w:rPr>
                <w:sz w:val="1"/>
                <w:szCs w:val="1"/>
                <w:color w:val="auto"/>
              </w:rPr>
            </w:pPr>
          </w:p>
        </w:tc>
      </w:tr>
      <w:tr>
        <w:trPr>
          <w:trHeight w:val="209"/>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Net loss and comprehensive loss</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(89,217)</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(50,274)</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(29,485)</w:t>
            </w: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loss per share, basic and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80" w:type="dxa"/>
            <w:vAlign w:val="bottom"/>
            <w:vMerge w:val="continue"/>
          </w:tcPr>
          <w:p>
            <w:pPr>
              <w:spacing w:after="0"/>
              <w:rPr>
                <w:sz w:val="20"/>
                <w:szCs w:val="20"/>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(3.02)</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(13.25)</w:t>
            </w:r>
          </w:p>
        </w:tc>
        <w:tc>
          <w:tcPr>
            <w:tcW w:w="180" w:type="dxa"/>
            <w:vAlign w:val="bottom"/>
          </w:tcPr>
          <w:p>
            <w:pPr>
              <w:spacing w:after="0"/>
              <w:rPr>
                <w:sz w:val="20"/>
                <w:szCs w:val="20"/>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197"/>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shares outstanding, basic and diluted</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29,545,810</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3,795,090</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3,629,896</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5"/>
          <w:szCs w:val="15"/>
          <w:b w:val="1"/>
          <w:bCs w:val="1"/>
          <w:color w:val="auto"/>
        </w:rPr>
        <w:t>VAXCYTE, INC.</w:t>
      </w:r>
    </w:p>
    <w:p>
      <w:pPr>
        <w:jc w:val="center"/>
        <w:spacing w:after="0" w:line="233" w:lineRule="auto"/>
        <w:rPr>
          <w:sz w:val="20"/>
          <w:szCs w:val="20"/>
          <w:color w:val="auto"/>
        </w:rPr>
      </w:pPr>
      <w:r>
        <w:rPr>
          <w:rFonts w:ascii="Arial" w:cs="Arial" w:eastAsia="Arial" w:hAnsi="Arial"/>
          <w:sz w:val="15"/>
          <w:szCs w:val="15"/>
          <w:b w:val="1"/>
          <w:bCs w:val="1"/>
          <w:color w:val="auto"/>
        </w:rPr>
        <w:t>Statements of Redeemable Convertible Preferred Stock and Stockholders’ Equity (Deficit)</w:t>
      </w:r>
    </w:p>
    <w:p>
      <w:pPr>
        <w:jc w:val="center"/>
        <w:spacing w:after="0"/>
        <w:rPr>
          <w:sz w:val="20"/>
          <w:szCs w:val="20"/>
          <w:color w:val="auto"/>
        </w:rPr>
      </w:pPr>
      <w:r>
        <w:rPr>
          <w:rFonts w:ascii="Arial" w:cs="Arial" w:eastAsia="Arial" w:hAnsi="Arial"/>
          <w:sz w:val="15"/>
          <w:szCs w:val="15"/>
          <w:i w:val="1"/>
          <w:iCs w:val="1"/>
          <w:color w:val="auto"/>
        </w:rPr>
        <w:t>(in thousands, except share data)</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60" w:type="dxa"/>
            <w:vAlign w:val="bottom"/>
          </w:tcPr>
          <w:p>
            <w:pPr>
              <w:spacing w:after="0"/>
              <w:rPr>
                <w:sz w:val="19"/>
                <w:szCs w:val="19"/>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86"/>
              </w:rPr>
              <w:t>Series A</w:t>
            </w:r>
          </w:p>
        </w:tc>
        <w:tc>
          <w:tcPr>
            <w:tcW w:w="140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6"/>
              </w:rPr>
              <w:t>Series B</w:t>
            </w:r>
          </w:p>
        </w:tc>
        <w:tc>
          <w:tcPr>
            <w:tcW w:w="13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86"/>
              </w:rPr>
              <w:t>Series C</w:t>
            </w:r>
          </w:p>
        </w:tc>
        <w:tc>
          <w:tcPr>
            <w:tcW w:w="1420" w:type="dxa"/>
            <w:vAlign w:val="bottom"/>
            <w:tcBorders>
              <w:right w:val="single" w:sz="8" w:color="auto"/>
            </w:tcBorders>
            <w:gridSpan w:val="4"/>
          </w:tcPr>
          <w:p>
            <w:pPr>
              <w:jc w:val="center"/>
              <w:ind w:right="150"/>
              <w:spacing w:after="0"/>
              <w:rPr>
                <w:sz w:val="20"/>
                <w:szCs w:val="20"/>
                <w:color w:val="auto"/>
              </w:rPr>
            </w:pPr>
            <w:r>
              <w:rPr>
                <w:rFonts w:ascii="Arial" w:cs="Arial" w:eastAsia="Arial" w:hAnsi="Arial"/>
                <w:sz w:val="11"/>
                <w:szCs w:val="11"/>
                <w:b w:val="1"/>
                <w:bCs w:val="1"/>
                <w:color w:val="auto"/>
                <w:w w:val="86"/>
              </w:rPr>
              <w:t>Series D</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center"/>
              <w:ind w:right="170"/>
              <w:spacing w:after="0"/>
              <w:rPr>
                <w:sz w:val="20"/>
                <w:szCs w:val="20"/>
                <w:color w:val="auto"/>
              </w:rPr>
            </w:pPr>
            <w:r>
              <w:rPr>
                <w:rFonts w:ascii="Arial" w:cs="Arial" w:eastAsia="Arial" w:hAnsi="Arial"/>
                <w:sz w:val="11"/>
                <w:szCs w:val="11"/>
                <w:b w:val="1"/>
                <w:bCs w:val="1"/>
                <w:color w:val="auto"/>
                <w:w w:val="91"/>
              </w:rPr>
              <w:t>Total</w:t>
            </w:r>
          </w:p>
        </w:tc>
      </w:tr>
      <w:tr>
        <w:trPr>
          <w:trHeight w:val="135"/>
        </w:trPr>
        <w:tc>
          <w:tcPr>
            <w:tcW w:w="1960" w:type="dxa"/>
            <w:vAlign w:val="bottom"/>
          </w:tcPr>
          <w:p>
            <w:pPr>
              <w:spacing w:after="0"/>
              <w:rPr>
                <w:sz w:val="11"/>
                <w:szCs w:val="11"/>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88"/>
              </w:rPr>
              <w:t>Redeemable Convertible</w:t>
            </w:r>
          </w:p>
        </w:tc>
        <w:tc>
          <w:tcPr>
            <w:tcW w:w="140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8"/>
              </w:rPr>
              <w:t>Redeemable Convertible</w:t>
            </w:r>
          </w:p>
        </w:tc>
        <w:tc>
          <w:tcPr>
            <w:tcW w:w="13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88"/>
              </w:rPr>
              <w:t>Redeemable Convertible</w:t>
            </w:r>
          </w:p>
        </w:tc>
        <w:tc>
          <w:tcPr>
            <w:tcW w:w="1420" w:type="dxa"/>
            <w:vAlign w:val="bottom"/>
            <w:tcBorders>
              <w:right w:val="single" w:sz="8" w:color="auto"/>
            </w:tcBorders>
            <w:gridSpan w:val="4"/>
          </w:tcPr>
          <w:p>
            <w:pPr>
              <w:jc w:val="center"/>
              <w:ind w:right="150"/>
              <w:spacing w:after="0"/>
              <w:rPr>
                <w:sz w:val="20"/>
                <w:szCs w:val="20"/>
                <w:color w:val="auto"/>
              </w:rPr>
            </w:pPr>
            <w:r>
              <w:rPr>
                <w:rFonts w:ascii="Arial" w:cs="Arial" w:eastAsia="Arial" w:hAnsi="Arial"/>
                <w:sz w:val="11"/>
                <w:szCs w:val="11"/>
                <w:b w:val="1"/>
                <w:bCs w:val="1"/>
                <w:color w:val="auto"/>
                <w:w w:val="88"/>
              </w:rPr>
              <w:t>Redeemable Convertible</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Additional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Stockholders’</w:t>
            </w:r>
          </w:p>
        </w:tc>
      </w:tr>
      <w:tr>
        <w:trPr>
          <w:trHeight w:val="135"/>
        </w:trPr>
        <w:tc>
          <w:tcPr>
            <w:tcW w:w="1960" w:type="dxa"/>
            <w:vAlign w:val="bottom"/>
          </w:tcPr>
          <w:p>
            <w:pPr>
              <w:spacing w:after="0"/>
              <w:rPr>
                <w:sz w:val="11"/>
                <w:szCs w:val="11"/>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90"/>
              </w:rPr>
              <w:t>Preferred Stock</w:t>
            </w:r>
          </w:p>
        </w:tc>
        <w:tc>
          <w:tcPr>
            <w:tcW w:w="140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87"/>
              </w:rPr>
              <w:t>Preferred Stock</w:t>
            </w:r>
          </w:p>
        </w:tc>
        <w:tc>
          <w:tcPr>
            <w:tcW w:w="13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90"/>
              </w:rPr>
              <w:t>Preferred Stock</w:t>
            </w:r>
          </w:p>
        </w:tc>
        <w:tc>
          <w:tcPr>
            <w:tcW w:w="1420" w:type="dxa"/>
            <w:vAlign w:val="bottom"/>
            <w:tcBorders>
              <w:right w:val="single" w:sz="8" w:color="auto"/>
            </w:tcBorders>
            <w:gridSpan w:val="4"/>
          </w:tcPr>
          <w:p>
            <w:pPr>
              <w:jc w:val="center"/>
              <w:ind w:right="130"/>
              <w:spacing w:after="0"/>
              <w:rPr>
                <w:sz w:val="20"/>
                <w:szCs w:val="20"/>
                <w:color w:val="auto"/>
              </w:rPr>
            </w:pPr>
            <w:r>
              <w:rPr>
                <w:rFonts w:ascii="Arial" w:cs="Arial" w:eastAsia="Arial" w:hAnsi="Arial"/>
                <w:sz w:val="11"/>
                <w:szCs w:val="11"/>
                <w:b w:val="1"/>
                <w:bCs w:val="1"/>
                <w:color w:val="auto"/>
                <w:w w:val="87"/>
              </w:rPr>
              <w:t>Preferred Stock</w:t>
            </w:r>
          </w:p>
        </w:tc>
        <w:tc>
          <w:tcPr>
            <w:tcW w:w="20" w:type="dxa"/>
            <w:vAlign w:val="bottom"/>
          </w:tcPr>
          <w:p>
            <w:pPr>
              <w:spacing w:after="0"/>
              <w:rPr>
                <w:sz w:val="11"/>
                <w:szCs w:val="11"/>
                <w:color w:val="auto"/>
              </w:rPr>
            </w:pPr>
          </w:p>
        </w:tc>
        <w:tc>
          <w:tcPr>
            <w:tcW w:w="1420" w:type="dxa"/>
            <w:vAlign w:val="bottom"/>
            <w:gridSpan w:val="5"/>
          </w:tcPr>
          <w:p>
            <w:pPr>
              <w:ind w:left="280"/>
              <w:spacing w:after="0"/>
              <w:rPr>
                <w:sz w:val="20"/>
                <w:szCs w:val="20"/>
                <w:color w:val="auto"/>
              </w:rPr>
            </w:pPr>
            <w:r>
              <w:rPr>
                <w:rFonts w:ascii="Arial" w:cs="Arial" w:eastAsia="Arial" w:hAnsi="Arial"/>
                <w:sz w:val="11"/>
                <w:szCs w:val="11"/>
                <w:b w:val="1"/>
                <w:bCs w:val="1"/>
                <w:color w:val="auto"/>
              </w:rPr>
              <w:t>Common Stock</w:t>
            </w:r>
          </w:p>
        </w:tc>
        <w:tc>
          <w:tcPr>
            <w:tcW w:w="60" w:type="dxa"/>
            <w:vAlign w:val="bottom"/>
          </w:tcPr>
          <w:p>
            <w:pPr>
              <w:spacing w:after="0"/>
              <w:rPr>
                <w:sz w:val="11"/>
                <w:szCs w:val="11"/>
                <w:color w:val="auto"/>
              </w:rPr>
            </w:pPr>
          </w:p>
        </w:tc>
        <w:tc>
          <w:tcPr>
            <w:tcW w:w="580" w:type="dxa"/>
            <w:vAlign w:val="bottom"/>
          </w:tcPr>
          <w:p>
            <w:pPr>
              <w:jc w:val="right"/>
              <w:ind w:right="170"/>
              <w:spacing w:after="0"/>
              <w:rPr>
                <w:sz w:val="20"/>
                <w:szCs w:val="20"/>
                <w:color w:val="auto"/>
              </w:rPr>
            </w:pPr>
            <w:r>
              <w:rPr>
                <w:rFonts w:ascii="Arial" w:cs="Arial" w:eastAsia="Arial" w:hAnsi="Arial"/>
                <w:sz w:val="11"/>
                <w:szCs w:val="11"/>
                <w:b w:val="1"/>
                <w:bCs w:val="1"/>
                <w:color w:val="auto"/>
                <w:w w:val="92"/>
              </w:rPr>
              <w:t>Paid-in</w:t>
            </w:r>
          </w:p>
        </w:tc>
        <w:tc>
          <w:tcPr>
            <w:tcW w:w="40" w:type="dxa"/>
            <w:vAlign w:val="bottom"/>
          </w:tcPr>
          <w:p>
            <w:pPr>
              <w:spacing w:after="0"/>
              <w:rPr>
                <w:sz w:val="11"/>
                <w:szCs w:val="11"/>
                <w:color w:val="auto"/>
              </w:rPr>
            </w:pP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11"/>
                <w:szCs w:val="11"/>
                <w:color w:val="auto"/>
              </w:rPr>
            </w:pPr>
          </w:p>
        </w:tc>
        <w:tc>
          <w:tcPr>
            <w:tcW w:w="700" w:type="dxa"/>
            <w:vAlign w:val="bottom"/>
          </w:tcPr>
          <w:p>
            <w:pPr>
              <w:jc w:val="center"/>
              <w:ind w:right="170"/>
              <w:spacing w:after="0"/>
              <w:rPr>
                <w:sz w:val="20"/>
                <w:szCs w:val="20"/>
                <w:color w:val="auto"/>
              </w:rPr>
            </w:pPr>
            <w:r>
              <w:rPr>
                <w:rFonts w:ascii="Arial" w:cs="Arial" w:eastAsia="Arial" w:hAnsi="Arial"/>
                <w:sz w:val="11"/>
                <w:szCs w:val="11"/>
                <w:b w:val="1"/>
                <w:bCs w:val="1"/>
                <w:color w:val="auto"/>
                <w:w w:val="95"/>
              </w:rPr>
              <w:t>Equity</w:t>
            </w:r>
          </w:p>
        </w:tc>
      </w:tr>
      <w:tr>
        <w:trPr>
          <w:trHeight w:val="128"/>
        </w:trPr>
        <w:tc>
          <w:tcPr>
            <w:tcW w:w="1960" w:type="dxa"/>
            <w:vAlign w:val="bottom"/>
            <w:tcBorders>
              <w:bottom w:val="single" w:sz="8" w:color="CFF0FC"/>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1"/>
                <w:szCs w:val="11"/>
                <w:b w:val="1"/>
                <w:bCs w:val="1"/>
                <w:color w:val="auto"/>
              </w:rPr>
              <w:t>Shares</w:t>
            </w:r>
          </w:p>
        </w:tc>
        <w:tc>
          <w:tcPr>
            <w:tcW w:w="40" w:type="dxa"/>
            <w:vAlign w:val="bottom"/>
            <w:tcBorders>
              <w:top w:val="single" w:sz="8" w:color="auto"/>
              <w:bottom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w w:val="86"/>
              </w:rPr>
              <w:t>Amount</w:t>
            </w:r>
          </w:p>
        </w:tc>
        <w:tc>
          <w:tcPr>
            <w:tcW w:w="40" w:type="dxa"/>
            <w:vAlign w:val="bottom"/>
            <w:tcBorders>
              <w:bottom w:val="single" w:sz="8" w:color="CFF0FC"/>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1"/>
                <w:szCs w:val="11"/>
                <w:b w:val="1"/>
                <w:bCs w:val="1"/>
                <w:color w:val="auto"/>
              </w:rPr>
              <w:t>Shares</w:t>
            </w:r>
          </w:p>
        </w:tc>
        <w:tc>
          <w:tcPr>
            <w:tcW w:w="40" w:type="dxa"/>
            <w:vAlign w:val="bottom"/>
            <w:tcBorders>
              <w:top w:val="single" w:sz="8" w:color="auto"/>
              <w:bottom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w w:val="91"/>
              </w:rPr>
              <w:t>Amount</w:t>
            </w:r>
          </w:p>
        </w:tc>
        <w:tc>
          <w:tcPr>
            <w:tcW w:w="40" w:type="dxa"/>
            <w:vAlign w:val="bottom"/>
            <w:tcBorders>
              <w:bottom w:val="single" w:sz="8" w:color="CFF0FC"/>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1"/>
                <w:szCs w:val="11"/>
                <w:b w:val="1"/>
                <w:bCs w:val="1"/>
                <w:color w:val="auto"/>
              </w:rPr>
              <w:t>Shares</w:t>
            </w:r>
          </w:p>
        </w:tc>
        <w:tc>
          <w:tcPr>
            <w:tcW w:w="40" w:type="dxa"/>
            <w:vAlign w:val="bottom"/>
            <w:tcBorders>
              <w:top w:val="single" w:sz="8" w:color="auto"/>
              <w:bottom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w w:val="86"/>
              </w:rPr>
              <w:t>Amount</w:t>
            </w:r>
          </w:p>
        </w:tc>
        <w:tc>
          <w:tcPr>
            <w:tcW w:w="40" w:type="dxa"/>
            <w:vAlign w:val="bottom"/>
            <w:tcBorders>
              <w:bottom w:val="single" w:sz="8" w:color="CFF0FC"/>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1"/>
                <w:szCs w:val="11"/>
                <w:b w:val="1"/>
                <w:bCs w:val="1"/>
                <w:color w:val="auto"/>
              </w:rPr>
              <w:t>Shares</w:t>
            </w:r>
          </w:p>
        </w:tc>
        <w:tc>
          <w:tcPr>
            <w:tcW w:w="40" w:type="dxa"/>
            <w:vAlign w:val="bottom"/>
            <w:tcBorders>
              <w:top w:val="single" w:sz="8" w:color="auto"/>
              <w:bottom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1"/>
                <w:szCs w:val="11"/>
                <w:b w:val="1"/>
                <w:bCs w:val="1"/>
                <w:color w:val="auto"/>
                <w:w w:val="91"/>
              </w:rPr>
              <w:t>Amount</w:t>
            </w:r>
          </w:p>
        </w:tc>
        <w:tc>
          <w:tcPr>
            <w:tcW w:w="20" w:type="dxa"/>
            <w:vAlign w:val="bottom"/>
            <w:tcBorders>
              <w:bottom w:val="single" w:sz="8" w:color="CFF0FC"/>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1"/>
                <w:szCs w:val="11"/>
                <w:b w:val="1"/>
                <w:bCs w:val="1"/>
                <w:color w:val="auto"/>
              </w:rPr>
              <w:t>Shares</w:t>
            </w:r>
          </w:p>
        </w:tc>
        <w:tc>
          <w:tcPr>
            <w:tcW w:w="40" w:type="dxa"/>
            <w:vAlign w:val="bottom"/>
            <w:tcBorders>
              <w:top w:val="single" w:sz="8" w:color="auto"/>
              <w:bottom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w w:val="91"/>
              </w:rPr>
              <w:t>Amount</w:t>
            </w:r>
          </w:p>
        </w:tc>
        <w:tc>
          <w:tcPr>
            <w:tcW w:w="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1"/>
                <w:szCs w:val="11"/>
                <w:b w:val="1"/>
                <w:bCs w:val="1"/>
                <w:color w:val="auto"/>
                <w:w w:val="92"/>
              </w:rPr>
              <w:t>Capital</w:t>
            </w:r>
          </w:p>
        </w:tc>
        <w:tc>
          <w:tcPr>
            <w:tcW w:w="4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30"/>
              <w:spacing w:after="0"/>
              <w:rPr>
                <w:sz w:val="20"/>
                <w:szCs w:val="20"/>
                <w:color w:val="auto"/>
              </w:rPr>
            </w:pPr>
            <w:r>
              <w:rPr>
                <w:rFonts w:ascii="Arial" w:cs="Arial" w:eastAsia="Arial" w:hAnsi="Arial"/>
                <w:sz w:val="11"/>
                <w:szCs w:val="11"/>
                <w:b w:val="1"/>
                <w:bCs w:val="1"/>
                <w:color w:val="auto"/>
              </w:rPr>
              <w:t>Deficit</w:t>
            </w:r>
          </w:p>
        </w:tc>
        <w:tc>
          <w:tcPr>
            <w:tcW w:w="4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90"/>
              <w:spacing w:after="0"/>
              <w:rPr>
                <w:sz w:val="20"/>
                <w:szCs w:val="20"/>
                <w:color w:val="auto"/>
              </w:rPr>
            </w:pPr>
            <w:r>
              <w:rPr>
                <w:rFonts w:ascii="Arial" w:cs="Arial" w:eastAsia="Arial" w:hAnsi="Arial"/>
                <w:sz w:val="11"/>
                <w:szCs w:val="11"/>
                <w:b w:val="1"/>
                <w:bCs w:val="1"/>
                <w:color w:val="auto"/>
                <w:w w:val="92"/>
              </w:rPr>
              <w:t>(Deficit)</w:t>
            </w:r>
          </w:p>
        </w:tc>
      </w:tr>
      <w:tr>
        <w:trPr>
          <w:trHeight w:val="129"/>
        </w:trPr>
        <w:tc>
          <w:tcPr>
            <w:tcW w:w="19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 December 31, 2017</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1"/>
                <w:szCs w:val="11"/>
                <w:color w:val="auto"/>
              </w:rPr>
              <w:t>6,225,719</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1"/>
                <w:szCs w:val="11"/>
                <w:color w:val="auto"/>
              </w:rPr>
              <w:t>24,967</w:t>
            </w: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1"/>
                <w:szCs w:val="11"/>
                <w:color w:val="auto"/>
              </w:rPr>
              <w:t>4,524,600</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1"/>
                <w:szCs w:val="11"/>
                <w:color w:val="auto"/>
              </w:rPr>
              <w:t>35,101</w:t>
            </w:r>
          </w:p>
        </w:tc>
        <w:tc>
          <w:tcPr>
            <w:tcW w:w="4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1"/>
                <w:szCs w:val="11"/>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60" w:type="dxa"/>
            <w:vAlign w:val="bottom"/>
            <w:tcBorders>
              <w:right w:val="single" w:sz="8" w:color="auto"/>
            </w:tcBorders>
            <w:shd w:val="clear" w:color="auto" w:fill="CFF0FC"/>
          </w:tcPr>
          <w:p>
            <w:pPr>
              <w:jc w:val="right"/>
              <w:ind w:right="130"/>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0"/>
              <w:spacing w:after="0"/>
              <w:rPr>
                <w:sz w:val="20"/>
                <w:szCs w:val="20"/>
                <w:color w:val="auto"/>
              </w:rPr>
            </w:pPr>
            <w:r>
              <w:rPr>
                <w:rFonts w:ascii="Arial" w:cs="Arial" w:eastAsia="Arial" w:hAnsi="Arial"/>
                <w:sz w:val="11"/>
                <w:szCs w:val="11"/>
                <w:color w:val="auto"/>
              </w:rPr>
              <w:t>3,671,235</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1"/>
                <w:szCs w:val="11"/>
                <w:color w:val="auto"/>
              </w:rPr>
              <w:t>6</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1"/>
                <w:szCs w:val="11"/>
                <w:color w:val="auto"/>
              </w:rPr>
              <w:t>452</w:t>
            </w: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ind w:right="10"/>
              <w:spacing w:after="0"/>
              <w:rPr>
                <w:sz w:val="20"/>
                <w:szCs w:val="20"/>
                <w:color w:val="auto"/>
              </w:rPr>
            </w:pPr>
            <w:r>
              <w:rPr>
                <w:rFonts w:ascii="Arial" w:cs="Arial" w:eastAsia="Arial" w:hAnsi="Arial"/>
                <w:sz w:val="11"/>
                <w:szCs w:val="11"/>
                <w:color w:val="auto"/>
              </w:rPr>
              <w:t>(29,588)</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1"/>
                <w:szCs w:val="11"/>
                <w:color w:val="auto"/>
              </w:rPr>
              <w:t>(29,130)</w:t>
            </w:r>
          </w:p>
        </w:tc>
      </w:tr>
      <w:tr>
        <w:trPr>
          <w:trHeight w:val="133"/>
        </w:trPr>
        <w:tc>
          <w:tcPr>
            <w:tcW w:w="1960" w:type="dxa"/>
            <w:vAlign w:val="bottom"/>
          </w:tcPr>
          <w:p>
            <w:pPr>
              <w:ind w:left="260"/>
              <w:spacing w:after="0"/>
              <w:rPr>
                <w:sz w:val="20"/>
                <w:szCs w:val="20"/>
                <w:color w:val="auto"/>
              </w:rPr>
            </w:pPr>
            <w:r>
              <w:rPr>
                <w:rFonts w:ascii="Arial" w:cs="Arial" w:eastAsia="Arial" w:hAnsi="Arial"/>
                <w:sz w:val="10"/>
                <w:szCs w:val="10"/>
                <w:color w:val="auto"/>
              </w:rPr>
              <w:t>Issuance of Series C redeemable</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22"/>
        </w:trPr>
        <w:tc>
          <w:tcPr>
            <w:tcW w:w="1960" w:type="dxa"/>
            <w:vAlign w:val="bottom"/>
          </w:tcPr>
          <w:p>
            <w:pPr>
              <w:ind w:left="320"/>
              <w:spacing w:after="0"/>
              <w:rPr>
                <w:sz w:val="20"/>
                <w:szCs w:val="20"/>
                <w:color w:val="auto"/>
              </w:rPr>
            </w:pPr>
            <w:r>
              <w:rPr>
                <w:rFonts w:ascii="Arial" w:cs="Arial" w:eastAsia="Arial" w:hAnsi="Arial"/>
                <w:sz w:val="10"/>
                <w:szCs w:val="10"/>
                <w:color w:val="auto"/>
              </w:rPr>
              <w:t>convertible preferred stock, net of</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1960" w:type="dxa"/>
            <w:vAlign w:val="bottom"/>
          </w:tcPr>
          <w:p>
            <w:pPr>
              <w:ind w:left="320"/>
              <w:spacing w:after="0"/>
              <w:rPr>
                <w:sz w:val="20"/>
                <w:szCs w:val="20"/>
                <w:color w:val="auto"/>
              </w:rPr>
            </w:pPr>
            <w:r>
              <w:rPr>
                <w:rFonts w:ascii="Arial" w:cs="Arial" w:eastAsia="Arial" w:hAnsi="Arial"/>
                <w:sz w:val="10"/>
                <w:szCs w:val="10"/>
                <w:color w:val="auto"/>
              </w:rPr>
              <w:t>issuance costs of $206 and fair</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1"/>
        </w:trPr>
        <w:tc>
          <w:tcPr>
            <w:tcW w:w="1960" w:type="dxa"/>
            <w:vAlign w:val="bottom"/>
          </w:tcPr>
          <w:p>
            <w:pPr>
              <w:ind w:left="320"/>
              <w:spacing w:after="0"/>
              <w:rPr>
                <w:sz w:val="20"/>
                <w:szCs w:val="20"/>
                <w:color w:val="auto"/>
              </w:rPr>
            </w:pPr>
            <w:r>
              <w:rPr>
                <w:rFonts w:ascii="Arial" w:cs="Arial" w:eastAsia="Arial" w:hAnsi="Arial"/>
                <w:sz w:val="10"/>
                <w:szCs w:val="10"/>
                <w:color w:val="auto"/>
              </w:rPr>
              <w:t>value of redeemable convertible</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1960" w:type="dxa"/>
            <w:vAlign w:val="bottom"/>
          </w:tcPr>
          <w:p>
            <w:pPr>
              <w:ind w:left="320"/>
              <w:spacing w:after="0"/>
              <w:rPr>
                <w:sz w:val="20"/>
                <w:szCs w:val="20"/>
                <w:color w:val="auto"/>
              </w:rPr>
            </w:pPr>
            <w:r>
              <w:rPr>
                <w:rFonts w:ascii="Arial" w:cs="Arial" w:eastAsia="Arial" w:hAnsi="Arial"/>
                <w:sz w:val="10"/>
                <w:szCs w:val="10"/>
                <w:color w:val="auto"/>
              </w:rPr>
              <w:t>preferred stock tranche liability</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3"/>
        </w:trPr>
        <w:tc>
          <w:tcPr>
            <w:tcW w:w="1960" w:type="dxa"/>
            <w:vAlign w:val="bottom"/>
          </w:tcPr>
          <w:p>
            <w:pPr>
              <w:ind w:left="320"/>
              <w:spacing w:after="0"/>
              <w:rPr>
                <w:sz w:val="20"/>
                <w:szCs w:val="20"/>
                <w:color w:val="auto"/>
              </w:rPr>
            </w:pPr>
            <w:r>
              <w:rPr>
                <w:rFonts w:ascii="Arial" w:cs="Arial" w:eastAsia="Arial" w:hAnsi="Arial"/>
                <w:sz w:val="10"/>
                <w:szCs w:val="10"/>
                <w:color w:val="auto"/>
              </w:rPr>
              <w:t>of $4,602</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3,688,740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37,692</w:t>
            </w:r>
          </w:p>
        </w:tc>
        <w:tc>
          <w:tcPr>
            <w:tcW w:w="40" w:type="dxa"/>
            <w:vAlign w:val="bottom"/>
          </w:tcPr>
          <w:p>
            <w:pPr>
              <w:spacing w:after="0"/>
              <w:rPr>
                <w:sz w:val="10"/>
                <w:szCs w:val="10"/>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w:t>
            </w:r>
          </w:p>
        </w:tc>
      </w:tr>
      <w:tr>
        <w:trPr>
          <w:trHeight w:val="133"/>
        </w:trPr>
        <w:tc>
          <w:tcPr>
            <w:tcW w:w="1960" w:type="dxa"/>
            <w:vAlign w:val="bottom"/>
            <w:shd w:val="clear" w:color="auto" w:fill="CFF0FC"/>
          </w:tcPr>
          <w:p>
            <w:pPr>
              <w:ind w:left="260"/>
              <w:spacing w:after="0"/>
              <w:rPr>
                <w:sz w:val="20"/>
                <w:szCs w:val="20"/>
                <w:color w:val="auto"/>
              </w:rPr>
            </w:pPr>
            <w:r>
              <w:rPr>
                <w:rFonts w:ascii="Arial" w:cs="Arial" w:eastAsia="Arial" w:hAnsi="Arial"/>
                <w:sz w:val="10"/>
                <w:szCs w:val="10"/>
                <w:color w:val="auto"/>
              </w:rPr>
              <w:t>Issuance of Series B redeemable</w:t>
            </w: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22"/>
        </w:trPr>
        <w:tc>
          <w:tcPr>
            <w:tcW w:w="1960" w:type="dxa"/>
            <w:vAlign w:val="bottom"/>
            <w:shd w:val="clear" w:color="auto" w:fill="CFF0FC"/>
          </w:tcPr>
          <w:p>
            <w:pPr>
              <w:ind w:left="320"/>
              <w:spacing w:after="0"/>
              <w:rPr>
                <w:sz w:val="20"/>
                <w:szCs w:val="20"/>
                <w:color w:val="auto"/>
              </w:rPr>
            </w:pPr>
            <w:r>
              <w:rPr>
                <w:rFonts w:ascii="Arial" w:cs="Arial" w:eastAsia="Arial" w:hAnsi="Arial"/>
                <w:sz w:val="10"/>
                <w:szCs w:val="10"/>
                <w:color w:val="auto"/>
              </w:rPr>
              <w:t>convertible preferred stock, net</w:t>
            </w:r>
          </w:p>
        </w:tc>
        <w:tc>
          <w:tcPr>
            <w:tcW w:w="6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6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3"/>
        </w:trPr>
        <w:tc>
          <w:tcPr>
            <w:tcW w:w="1960" w:type="dxa"/>
            <w:vAlign w:val="bottom"/>
            <w:shd w:val="clear" w:color="auto" w:fill="CFF0FC"/>
          </w:tcPr>
          <w:p>
            <w:pPr>
              <w:ind w:left="320"/>
              <w:spacing w:after="0"/>
              <w:rPr>
                <w:sz w:val="20"/>
                <w:szCs w:val="20"/>
                <w:color w:val="auto"/>
              </w:rPr>
            </w:pPr>
            <w:r>
              <w:rPr>
                <w:rFonts w:ascii="Arial" w:cs="Arial" w:eastAsia="Arial" w:hAnsi="Arial"/>
                <w:sz w:val="10"/>
                <w:szCs w:val="10"/>
                <w:color w:val="auto"/>
              </w:rPr>
              <w:t>of issuance costs of $229</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2,262,296</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20,050</w:t>
            </w:r>
          </w:p>
        </w:tc>
        <w:tc>
          <w:tcPr>
            <w:tcW w:w="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60" w:type="dxa"/>
            <w:vAlign w:val="bottom"/>
            <w:tcBorders>
              <w:right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rPr>
              <w:t>—</w:t>
            </w:r>
          </w:p>
        </w:tc>
      </w:tr>
      <w:tr>
        <w:trPr>
          <w:trHeight w:val="135"/>
        </w:trPr>
        <w:tc>
          <w:tcPr>
            <w:tcW w:w="1960" w:type="dxa"/>
            <w:vAlign w:val="bottom"/>
          </w:tcPr>
          <w:p>
            <w:pPr>
              <w:ind w:left="260"/>
              <w:spacing w:after="0"/>
              <w:rPr>
                <w:sz w:val="20"/>
                <w:szCs w:val="20"/>
                <w:color w:val="auto"/>
              </w:rPr>
            </w:pPr>
            <w:r>
              <w:rPr>
                <w:rFonts w:ascii="Arial" w:cs="Arial" w:eastAsia="Arial" w:hAnsi="Arial"/>
                <w:sz w:val="10"/>
                <w:szCs w:val="10"/>
                <w:color w:val="auto"/>
              </w:rPr>
              <w:t>Exercise of stock options</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17,336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5</w:t>
            </w:r>
          </w:p>
        </w:tc>
      </w:tr>
      <w:tr>
        <w:trPr>
          <w:trHeight w:val="133"/>
        </w:trPr>
        <w:tc>
          <w:tcPr>
            <w:tcW w:w="1960" w:type="dxa"/>
            <w:vAlign w:val="bottom"/>
            <w:shd w:val="clear" w:color="auto" w:fill="CFF0FC"/>
          </w:tcPr>
          <w:p>
            <w:pPr>
              <w:ind w:left="260"/>
              <w:spacing w:after="0"/>
              <w:rPr>
                <w:sz w:val="20"/>
                <w:szCs w:val="20"/>
                <w:color w:val="auto"/>
              </w:rPr>
            </w:pPr>
            <w:r>
              <w:rPr>
                <w:rFonts w:ascii="Arial" w:cs="Arial" w:eastAsia="Arial" w:hAnsi="Arial"/>
                <w:sz w:val="10"/>
                <w:szCs w:val="10"/>
                <w:color w:val="auto"/>
              </w:rPr>
              <w:t>Issuance of common stock related</w:t>
            </w: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23"/>
        </w:trPr>
        <w:tc>
          <w:tcPr>
            <w:tcW w:w="1960" w:type="dxa"/>
            <w:vAlign w:val="bottom"/>
            <w:shd w:val="clear" w:color="auto" w:fill="CFF0FC"/>
          </w:tcPr>
          <w:p>
            <w:pPr>
              <w:ind w:left="320"/>
              <w:spacing w:after="0"/>
              <w:rPr>
                <w:sz w:val="20"/>
                <w:szCs w:val="20"/>
                <w:color w:val="auto"/>
              </w:rPr>
            </w:pPr>
            <w:r>
              <w:rPr>
                <w:rFonts w:ascii="Arial" w:cs="Arial" w:eastAsia="Arial" w:hAnsi="Arial"/>
                <w:sz w:val="10"/>
                <w:szCs w:val="10"/>
                <w:color w:val="auto"/>
              </w:rPr>
              <w:t>to early exercised stock options</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60" w:type="dxa"/>
            <w:vAlign w:val="bottom"/>
            <w:tcBorders>
              <w:right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68,832</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rPr>
              <w:t>—</w:t>
            </w:r>
          </w:p>
        </w:tc>
      </w:tr>
      <w:tr>
        <w:trPr>
          <w:trHeight w:val="133"/>
        </w:trPr>
        <w:tc>
          <w:tcPr>
            <w:tcW w:w="1960" w:type="dxa"/>
            <w:vAlign w:val="bottom"/>
          </w:tcPr>
          <w:p>
            <w:pPr>
              <w:ind w:left="260"/>
              <w:spacing w:after="0"/>
              <w:rPr>
                <w:sz w:val="20"/>
                <w:szCs w:val="20"/>
                <w:color w:val="auto"/>
              </w:rPr>
            </w:pPr>
            <w:r>
              <w:rPr>
                <w:rFonts w:ascii="Arial" w:cs="Arial" w:eastAsia="Arial" w:hAnsi="Arial"/>
                <w:sz w:val="10"/>
                <w:szCs w:val="10"/>
                <w:color w:val="auto"/>
              </w:rPr>
              <w:t>Vesting of early exercised</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23"/>
        </w:trPr>
        <w:tc>
          <w:tcPr>
            <w:tcW w:w="1960" w:type="dxa"/>
            <w:vAlign w:val="bottom"/>
          </w:tcPr>
          <w:p>
            <w:pPr>
              <w:ind w:left="320"/>
              <w:spacing w:after="0"/>
              <w:rPr>
                <w:sz w:val="20"/>
                <w:szCs w:val="20"/>
                <w:color w:val="auto"/>
              </w:rPr>
            </w:pPr>
            <w:r>
              <w:rPr>
                <w:rFonts w:ascii="Arial" w:cs="Arial" w:eastAsia="Arial" w:hAnsi="Arial"/>
                <w:sz w:val="10"/>
                <w:szCs w:val="10"/>
                <w:color w:val="auto"/>
              </w:rPr>
              <w:t>stock options</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133</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133</w:t>
            </w:r>
          </w:p>
        </w:tc>
      </w:tr>
      <w:tr>
        <w:trPr>
          <w:trHeight w:val="135"/>
        </w:trPr>
        <w:tc>
          <w:tcPr>
            <w:tcW w:w="1960" w:type="dxa"/>
            <w:vAlign w:val="bottom"/>
            <w:shd w:val="clear" w:color="auto" w:fill="CFF0FC"/>
          </w:tcPr>
          <w:p>
            <w:pPr>
              <w:ind w:left="260"/>
              <w:spacing w:after="0"/>
              <w:rPr>
                <w:sz w:val="20"/>
                <w:szCs w:val="20"/>
                <w:color w:val="auto"/>
              </w:rPr>
            </w:pPr>
            <w:r>
              <w:rPr>
                <w:rFonts w:ascii="Arial" w:cs="Arial" w:eastAsia="Arial" w:hAnsi="Arial"/>
                <w:sz w:val="10"/>
                <w:szCs w:val="10"/>
                <w:color w:val="auto"/>
              </w:rPr>
              <w:t>Stock-based compensation expense</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749</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rPr>
              <w:t>749</w:t>
            </w:r>
          </w:p>
        </w:tc>
      </w:tr>
      <w:tr>
        <w:trPr>
          <w:trHeight w:val="135"/>
        </w:trPr>
        <w:tc>
          <w:tcPr>
            <w:tcW w:w="1960" w:type="dxa"/>
            <w:vAlign w:val="bottom"/>
            <w:tcBorders>
              <w:bottom w:val="single" w:sz="8" w:color="CFF0FC"/>
            </w:tcBorders>
          </w:tcPr>
          <w:p>
            <w:pPr>
              <w:ind w:left="260"/>
              <w:spacing w:after="0"/>
              <w:rPr>
                <w:sz w:val="20"/>
                <w:szCs w:val="20"/>
                <w:color w:val="auto"/>
              </w:rPr>
            </w:pPr>
            <w:r>
              <w:rPr>
                <w:rFonts w:ascii="Arial" w:cs="Arial" w:eastAsia="Arial" w:hAnsi="Arial"/>
                <w:sz w:val="10"/>
                <w:szCs w:val="10"/>
                <w:color w:val="auto"/>
              </w:rPr>
              <w:t>Net loss</w:t>
            </w: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FF0FC"/>
            </w:tcBorders>
          </w:tcPr>
          <w:p>
            <w:pPr>
              <w:spacing w:after="0"/>
              <w:rPr>
                <w:sz w:val="11"/>
                <w:szCs w:val="11"/>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FF0FC"/>
            </w:tcBorders>
          </w:tcPr>
          <w:p>
            <w:pPr>
              <w:spacing w:after="0"/>
              <w:rPr>
                <w:sz w:val="11"/>
                <w:szCs w:val="11"/>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FF0FC"/>
            </w:tcBorders>
          </w:tcPr>
          <w:p>
            <w:pPr>
              <w:spacing w:after="0"/>
              <w:rPr>
                <w:sz w:val="11"/>
                <w:szCs w:val="11"/>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FF0FC"/>
            </w:tcBorders>
          </w:tcPr>
          <w:p>
            <w:pPr>
              <w:spacing w:after="0"/>
              <w:rPr>
                <w:sz w:val="11"/>
                <w:szCs w:val="11"/>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(29,485 )</w:t>
            </w:r>
          </w:p>
        </w:tc>
        <w:tc>
          <w:tcPr>
            <w:tcW w:w="4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rPr>
              <w:t>(29,485 )</w:t>
            </w:r>
          </w:p>
        </w:tc>
      </w:tr>
      <w:tr>
        <w:trPr>
          <w:trHeight w:val="128"/>
        </w:trPr>
        <w:tc>
          <w:tcPr>
            <w:tcW w:w="1960" w:type="dxa"/>
            <w:vAlign w:val="bottom"/>
            <w:shd w:val="clear" w:color="auto" w:fill="CFF0FC"/>
          </w:tcPr>
          <w:p>
            <w:pPr>
              <w:spacing w:after="0"/>
              <w:rPr>
                <w:sz w:val="20"/>
                <w:szCs w:val="20"/>
                <w:color w:val="auto"/>
              </w:rPr>
            </w:pPr>
            <w:r>
              <w:rPr>
                <w:rFonts w:ascii="Arial" w:cs="Arial" w:eastAsia="Arial" w:hAnsi="Arial"/>
                <w:sz w:val="10"/>
                <w:szCs w:val="10"/>
                <w:b w:val="1"/>
                <w:bCs w:val="1"/>
                <w:color w:val="auto"/>
              </w:rPr>
              <w:t>Balance — December 31, 2018</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6,225,719</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24,967</w:t>
            </w: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6,786,896</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55,151</w:t>
            </w: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3,688,740</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37,692</w:t>
            </w: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3,757,403</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6</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1,339</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rPr>
              <w:t>(59,073 )</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rPr>
              <w:t>(57,728 )</w:t>
            </w:r>
          </w:p>
        </w:tc>
      </w:tr>
      <w:tr>
        <w:trPr>
          <w:trHeight w:val="133"/>
        </w:trPr>
        <w:tc>
          <w:tcPr>
            <w:tcW w:w="1960" w:type="dxa"/>
            <w:vAlign w:val="bottom"/>
          </w:tcPr>
          <w:p>
            <w:pPr>
              <w:ind w:left="260"/>
              <w:spacing w:after="0"/>
              <w:rPr>
                <w:sz w:val="20"/>
                <w:szCs w:val="20"/>
                <w:color w:val="auto"/>
              </w:rPr>
            </w:pPr>
            <w:r>
              <w:rPr>
                <w:rFonts w:ascii="Arial" w:cs="Arial" w:eastAsia="Arial" w:hAnsi="Arial"/>
                <w:sz w:val="10"/>
                <w:szCs w:val="10"/>
                <w:color w:val="auto"/>
              </w:rPr>
              <w:t>Issuance of Series C redeemable</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22"/>
        </w:trPr>
        <w:tc>
          <w:tcPr>
            <w:tcW w:w="1960" w:type="dxa"/>
            <w:vAlign w:val="bottom"/>
          </w:tcPr>
          <w:p>
            <w:pPr>
              <w:ind w:left="320"/>
              <w:spacing w:after="0"/>
              <w:rPr>
                <w:sz w:val="20"/>
                <w:szCs w:val="20"/>
                <w:color w:val="auto"/>
              </w:rPr>
            </w:pPr>
            <w:r>
              <w:rPr>
                <w:rFonts w:ascii="Arial" w:cs="Arial" w:eastAsia="Arial" w:hAnsi="Arial"/>
                <w:sz w:val="10"/>
                <w:szCs w:val="10"/>
                <w:color w:val="auto"/>
              </w:rPr>
              <w:t>convertible preferred stock, net of</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3"/>
        </w:trPr>
        <w:tc>
          <w:tcPr>
            <w:tcW w:w="1960" w:type="dxa"/>
            <w:vAlign w:val="bottom"/>
          </w:tcPr>
          <w:p>
            <w:pPr>
              <w:ind w:left="320"/>
              <w:spacing w:after="0"/>
              <w:rPr>
                <w:sz w:val="20"/>
                <w:szCs w:val="20"/>
                <w:color w:val="auto"/>
              </w:rPr>
            </w:pPr>
            <w:r>
              <w:rPr>
                <w:rFonts w:ascii="Arial" w:cs="Arial" w:eastAsia="Arial" w:hAnsi="Arial"/>
                <w:sz w:val="10"/>
                <w:szCs w:val="10"/>
                <w:color w:val="auto"/>
              </w:rPr>
              <w:t>issuance costs of $0</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3,688,740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42,500</w:t>
            </w:r>
          </w:p>
        </w:tc>
        <w:tc>
          <w:tcPr>
            <w:tcW w:w="40" w:type="dxa"/>
            <w:vAlign w:val="bottom"/>
          </w:tcPr>
          <w:p>
            <w:pPr>
              <w:spacing w:after="0"/>
              <w:rPr>
                <w:sz w:val="10"/>
                <w:szCs w:val="10"/>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w:t>
            </w:r>
          </w:p>
        </w:tc>
      </w:tr>
      <w:tr>
        <w:trPr>
          <w:trHeight w:val="135"/>
        </w:trPr>
        <w:tc>
          <w:tcPr>
            <w:tcW w:w="1960" w:type="dxa"/>
            <w:vAlign w:val="bottom"/>
            <w:shd w:val="clear" w:color="auto" w:fill="CFF0FC"/>
          </w:tcPr>
          <w:p>
            <w:pPr>
              <w:ind w:left="260"/>
              <w:spacing w:after="0"/>
              <w:rPr>
                <w:sz w:val="20"/>
                <w:szCs w:val="20"/>
                <w:color w:val="auto"/>
              </w:rPr>
            </w:pPr>
            <w:r>
              <w:rPr>
                <w:rFonts w:ascii="Arial" w:cs="Arial" w:eastAsia="Arial" w:hAnsi="Arial"/>
                <w:sz w:val="10"/>
                <w:szCs w:val="10"/>
                <w:color w:val="auto"/>
              </w:rPr>
              <w:t>Exercise of stock options</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243,230</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1</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321</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rPr>
              <w:t>322</w:t>
            </w:r>
          </w:p>
        </w:tc>
      </w:tr>
      <w:tr>
        <w:trPr>
          <w:trHeight w:val="133"/>
        </w:trPr>
        <w:tc>
          <w:tcPr>
            <w:tcW w:w="1960" w:type="dxa"/>
            <w:vAlign w:val="bottom"/>
          </w:tcPr>
          <w:p>
            <w:pPr>
              <w:ind w:left="260"/>
              <w:spacing w:after="0"/>
              <w:rPr>
                <w:sz w:val="20"/>
                <w:szCs w:val="20"/>
                <w:color w:val="auto"/>
              </w:rPr>
            </w:pPr>
            <w:r>
              <w:rPr>
                <w:rFonts w:ascii="Arial" w:cs="Arial" w:eastAsia="Arial" w:hAnsi="Arial"/>
                <w:sz w:val="10"/>
                <w:szCs w:val="10"/>
                <w:color w:val="auto"/>
              </w:rPr>
              <w:t>Issuance of common stock related</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23"/>
        </w:trPr>
        <w:tc>
          <w:tcPr>
            <w:tcW w:w="1960" w:type="dxa"/>
            <w:vAlign w:val="bottom"/>
          </w:tcPr>
          <w:p>
            <w:pPr>
              <w:ind w:left="320"/>
              <w:spacing w:after="0"/>
              <w:rPr>
                <w:sz w:val="20"/>
                <w:szCs w:val="20"/>
                <w:color w:val="auto"/>
              </w:rPr>
            </w:pPr>
            <w:r>
              <w:rPr>
                <w:rFonts w:ascii="Arial" w:cs="Arial" w:eastAsia="Arial" w:hAnsi="Arial"/>
                <w:sz w:val="10"/>
                <w:szCs w:val="10"/>
                <w:color w:val="auto"/>
              </w:rPr>
              <w:t>to early exercised stock options</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59,276</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w:t>
            </w:r>
          </w:p>
        </w:tc>
      </w:tr>
      <w:tr>
        <w:trPr>
          <w:trHeight w:val="133"/>
        </w:trPr>
        <w:tc>
          <w:tcPr>
            <w:tcW w:w="1960" w:type="dxa"/>
            <w:vAlign w:val="bottom"/>
            <w:shd w:val="clear" w:color="auto" w:fill="CFF0FC"/>
          </w:tcPr>
          <w:p>
            <w:pPr>
              <w:ind w:left="260"/>
              <w:spacing w:after="0"/>
              <w:rPr>
                <w:sz w:val="20"/>
                <w:szCs w:val="20"/>
                <w:color w:val="auto"/>
              </w:rPr>
            </w:pPr>
            <w:r>
              <w:rPr>
                <w:rFonts w:ascii="Arial" w:cs="Arial" w:eastAsia="Arial" w:hAnsi="Arial"/>
                <w:sz w:val="10"/>
                <w:szCs w:val="10"/>
                <w:color w:val="auto"/>
              </w:rPr>
              <w:t>Vesting of early exercised</w:t>
            </w: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23"/>
        </w:trPr>
        <w:tc>
          <w:tcPr>
            <w:tcW w:w="1960" w:type="dxa"/>
            <w:vAlign w:val="bottom"/>
            <w:shd w:val="clear" w:color="auto" w:fill="CFF0FC"/>
          </w:tcPr>
          <w:p>
            <w:pPr>
              <w:ind w:left="320"/>
              <w:spacing w:after="0"/>
              <w:rPr>
                <w:sz w:val="20"/>
                <w:szCs w:val="20"/>
                <w:color w:val="auto"/>
              </w:rPr>
            </w:pPr>
            <w:r>
              <w:rPr>
                <w:rFonts w:ascii="Arial" w:cs="Arial" w:eastAsia="Arial" w:hAnsi="Arial"/>
                <w:sz w:val="10"/>
                <w:szCs w:val="10"/>
                <w:color w:val="auto"/>
              </w:rPr>
              <w:t>stock options</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60" w:type="dxa"/>
            <w:vAlign w:val="bottom"/>
            <w:tcBorders>
              <w:right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122</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rPr>
              <w:t>122</w:t>
            </w:r>
          </w:p>
        </w:tc>
      </w:tr>
      <w:tr>
        <w:trPr>
          <w:trHeight w:val="135"/>
        </w:trPr>
        <w:tc>
          <w:tcPr>
            <w:tcW w:w="1960" w:type="dxa"/>
            <w:vAlign w:val="bottom"/>
          </w:tcPr>
          <w:p>
            <w:pPr>
              <w:ind w:left="260"/>
              <w:spacing w:after="0"/>
              <w:rPr>
                <w:sz w:val="20"/>
                <w:szCs w:val="20"/>
                <w:color w:val="auto"/>
              </w:rPr>
            </w:pPr>
            <w:r>
              <w:rPr>
                <w:rFonts w:ascii="Arial" w:cs="Arial" w:eastAsia="Arial" w:hAnsi="Arial"/>
                <w:sz w:val="10"/>
                <w:szCs w:val="10"/>
                <w:color w:val="auto"/>
              </w:rPr>
              <w:t>Stock-based compensation expense</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auto"/>
            </w:tcBorders>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1,185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1,185</w:t>
            </w:r>
          </w:p>
        </w:tc>
      </w:tr>
      <w:tr>
        <w:trPr>
          <w:trHeight w:val="135"/>
        </w:trPr>
        <w:tc>
          <w:tcPr>
            <w:tcW w:w="1960" w:type="dxa"/>
            <w:vAlign w:val="bottom"/>
            <w:shd w:val="clear" w:color="auto" w:fill="CFF0FC"/>
          </w:tcPr>
          <w:p>
            <w:pPr>
              <w:ind w:left="260"/>
              <w:spacing w:after="0"/>
              <w:rPr>
                <w:sz w:val="20"/>
                <w:szCs w:val="20"/>
                <w:color w:val="auto"/>
              </w:rPr>
            </w:pPr>
            <w:r>
              <w:rPr>
                <w:rFonts w:ascii="Arial" w:cs="Arial" w:eastAsia="Arial" w:hAnsi="Arial"/>
                <w:sz w:val="10"/>
                <w:szCs w:val="10"/>
                <w:color w:val="auto"/>
              </w:rPr>
              <w:t>Net loss</w:t>
            </w:r>
          </w:p>
        </w:tc>
        <w:tc>
          <w:tcPr>
            <w:tcW w:w="6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right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rPr>
              <w:t>(50,274 )</w:t>
            </w:r>
          </w:p>
        </w:tc>
        <w:tc>
          <w:tcPr>
            <w:tcW w:w="4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rPr>
              <w:t>(50,274 )</w:t>
            </w:r>
          </w:p>
        </w:tc>
      </w:tr>
      <w:tr>
        <w:trPr>
          <w:trHeight w:val="128"/>
        </w:trPr>
        <w:tc>
          <w:tcPr>
            <w:tcW w:w="1960" w:type="dxa"/>
            <w:vAlign w:val="bottom"/>
          </w:tcPr>
          <w:p>
            <w:pPr>
              <w:spacing w:after="0"/>
              <w:rPr>
                <w:sz w:val="20"/>
                <w:szCs w:val="20"/>
                <w:color w:val="auto"/>
              </w:rPr>
            </w:pPr>
            <w:r>
              <w:rPr>
                <w:rFonts w:ascii="Arial" w:cs="Arial" w:eastAsia="Arial" w:hAnsi="Arial"/>
                <w:sz w:val="10"/>
                <w:szCs w:val="10"/>
                <w:b w:val="1"/>
                <w:bCs w:val="1"/>
                <w:color w:val="auto"/>
              </w:rPr>
              <w:t>Balance — December 31, 2019</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6,225,719</w:t>
            </w:r>
          </w:p>
        </w:tc>
        <w:tc>
          <w:tcPr>
            <w:tcW w:w="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24,967</w:t>
            </w:r>
          </w:p>
        </w:tc>
        <w:tc>
          <w:tcPr>
            <w:tcW w:w="40" w:type="dxa"/>
            <w:vAlign w:val="bottom"/>
          </w:tcPr>
          <w:p>
            <w:pPr>
              <w:spacing w:after="0"/>
              <w:rPr>
                <w:sz w:val="11"/>
                <w:szCs w:val="11"/>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6,786,896</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55,151</w:t>
            </w:r>
          </w:p>
        </w:tc>
        <w:tc>
          <w:tcPr>
            <w:tcW w:w="40" w:type="dxa"/>
            <w:vAlign w:val="bottom"/>
          </w:tcPr>
          <w:p>
            <w:pPr>
              <w:spacing w:after="0"/>
              <w:rPr>
                <w:sz w:val="11"/>
                <w:szCs w:val="11"/>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7,377,480</w:t>
            </w:r>
          </w:p>
        </w:tc>
        <w:tc>
          <w:tcPr>
            <w:tcW w:w="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80,192</w:t>
            </w:r>
          </w:p>
        </w:tc>
        <w:tc>
          <w:tcPr>
            <w:tcW w:w="40" w:type="dxa"/>
            <w:vAlign w:val="bottom"/>
          </w:tcPr>
          <w:p>
            <w:pPr>
              <w:spacing w:after="0"/>
              <w:rPr>
                <w:sz w:val="11"/>
                <w:szCs w:val="11"/>
                <w:color w:val="auto"/>
              </w:rPr>
            </w:pP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right w:val="single" w:sz="8" w:color="auto"/>
            </w:tcBorders>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4,059,909</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7</w:t>
            </w:r>
          </w:p>
        </w:tc>
        <w:tc>
          <w:tcPr>
            <w:tcW w:w="4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2,967</w:t>
            </w:r>
          </w:p>
        </w:tc>
        <w:tc>
          <w:tcPr>
            <w:tcW w:w="1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30"/>
              <w:spacing w:after="0"/>
              <w:rPr>
                <w:sz w:val="20"/>
                <w:szCs w:val="20"/>
                <w:color w:val="auto"/>
              </w:rPr>
            </w:pPr>
            <w:r>
              <w:rPr>
                <w:rFonts w:ascii="Arial" w:cs="Arial" w:eastAsia="Arial" w:hAnsi="Arial"/>
                <w:sz w:val="10"/>
                <w:szCs w:val="10"/>
                <w:color w:val="auto"/>
              </w:rPr>
              <w:t>(109,347 )</w:t>
            </w:r>
          </w:p>
        </w:tc>
        <w:tc>
          <w:tcPr>
            <w:tcW w:w="4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(106,373 )</w:t>
            </w:r>
          </w:p>
        </w:tc>
      </w:tr>
      <w:tr>
        <w:trPr>
          <w:trHeight w:val="133"/>
        </w:trPr>
        <w:tc>
          <w:tcPr>
            <w:tcW w:w="1960" w:type="dxa"/>
            <w:vAlign w:val="bottom"/>
            <w:shd w:val="clear" w:color="auto" w:fill="CFF0FC"/>
          </w:tcPr>
          <w:p>
            <w:pPr>
              <w:ind w:left="260"/>
              <w:spacing w:after="0"/>
              <w:rPr>
                <w:sz w:val="20"/>
                <w:szCs w:val="20"/>
                <w:color w:val="auto"/>
              </w:rPr>
            </w:pPr>
            <w:r>
              <w:rPr>
                <w:rFonts w:ascii="Arial" w:cs="Arial" w:eastAsia="Arial" w:hAnsi="Arial"/>
                <w:sz w:val="10"/>
                <w:szCs w:val="10"/>
                <w:color w:val="auto"/>
              </w:rPr>
              <w:t>Issuance of Series D redeemable</w:t>
            </w: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22"/>
        </w:trPr>
        <w:tc>
          <w:tcPr>
            <w:tcW w:w="1960" w:type="dxa"/>
            <w:vAlign w:val="bottom"/>
            <w:shd w:val="clear" w:color="auto" w:fill="CFF0FC"/>
          </w:tcPr>
          <w:p>
            <w:pPr>
              <w:ind w:left="320"/>
              <w:spacing w:after="0"/>
              <w:rPr>
                <w:sz w:val="20"/>
                <w:szCs w:val="20"/>
                <w:color w:val="auto"/>
              </w:rPr>
            </w:pPr>
            <w:r>
              <w:rPr>
                <w:rFonts w:ascii="Arial" w:cs="Arial" w:eastAsia="Arial" w:hAnsi="Arial"/>
                <w:sz w:val="10"/>
                <w:szCs w:val="10"/>
                <w:color w:val="auto"/>
              </w:rPr>
              <w:t>convertible preferred stock, net of</w:t>
            </w:r>
          </w:p>
        </w:tc>
        <w:tc>
          <w:tcPr>
            <w:tcW w:w="6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6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23"/>
        </w:trPr>
        <w:tc>
          <w:tcPr>
            <w:tcW w:w="1960" w:type="dxa"/>
            <w:vAlign w:val="bottom"/>
            <w:shd w:val="clear" w:color="auto" w:fill="CFF0FC"/>
          </w:tcPr>
          <w:p>
            <w:pPr>
              <w:ind w:left="320"/>
              <w:spacing w:after="0"/>
              <w:rPr>
                <w:sz w:val="20"/>
                <w:szCs w:val="20"/>
                <w:color w:val="auto"/>
              </w:rPr>
            </w:pPr>
            <w:r>
              <w:rPr>
                <w:rFonts w:ascii="Arial" w:cs="Arial" w:eastAsia="Arial" w:hAnsi="Arial"/>
                <w:sz w:val="10"/>
                <w:szCs w:val="10"/>
                <w:color w:val="auto"/>
              </w:rPr>
              <w:t>issuance costs of $121</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8,220,242</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right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rPr>
              <w:t>109,879</w:t>
            </w:r>
          </w:p>
        </w:tc>
        <w:tc>
          <w:tcPr>
            <w:tcW w:w="2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rPr>
              <w:t>—</w:t>
            </w:r>
          </w:p>
        </w:tc>
      </w:tr>
      <w:tr>
        <w:trPr>
          <w:trHeight w:val="135"/>
        </w:trPr>
        <w:tc>
          <w:tcPr>
            <w:tcW w:w="1960" w:type="dxa"/>
            <w:vAlign w:val="bottom"/>
          </w:tcPr>
          <w:p>
            <w:pPr>
              <w:ind w:left="260"/>
              <w:spacing w:after="0"/>
              <w:rPr>
                <w:sz w:val="20"/>
                <w:szCs w:val="20"/>
                <w:color w:val="auto"/>
              </w:rPr>
            </w:pPr>
            <w:r>
              <w:rPr>
                <w:rFonts w:ascii="Arial" w:cs="Arial" w:eastAsia="Arial" w:hAnsi="Arial"/>
                <w:sz w:val="10"/>
                <w:szCs w:val="10"/>
                <w:color w:val="auto"/>
              </w:rPr>
              <w:t>Conversion of preferred stock</w:t>
            </w:r>
          </w:p>
        </w:tc>
        <w:tc>
          <w:tcPr>
            <w:tcW w:w="660" w:type="dxa"/>
            <w:vAlign w:val="bottom"/>
          </w:tcPr>
          <w:p>
            <w:pPr>
              <w:jc w:val="right"/>
              <w:ind w:right="30"/>
              <w:spacing w:after="0"/>
              <w:rPr>
                <w:sz w:val="20"/>
                <w:szCs w:val="20"/>
                <w:color w:val="auto"/>
              </w:rPr>
            </w:pPr>
            <w:r>
              <w:rPr>
                <w:rFonts w:ascii="Arial" w:cs="Arial" w:eastAsia="Arial" w:hAnsi="Arial"/>
                <w:sz w:val="10"/>
                <w:szCs w:val="10"/>
                <w:color w:val="auto"/>
              </w:rPr>
              <w:t>(6,225,719 )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(24,967 )</w:t>
            </w:r>
          </w:p>
        </w:tc>
        <w:tc>
          <w:tcPr>
            <w:tcW w:w="40" w:type="dxa"/>
            <w:vAlign w:val="bottom"/>
          </w:tcPr>
          <w:p>
            <w:pPr>
              <w:spacing w:after="0"/>
              <w:rPr>
                <w:sz w:val="11"/>
                <w:szCs w:val="11"/>
                <w:color w:val="auto"/>
              </w:rPr>
            </w:pPr>
          </w:p>
        </w:tc>
        <w:tc>
          <w:tcPr>
            <w:tcW w:w="660" w:type="dxa"/>
            <w:vAlign w:val="bottom"/>
          </w:tcPr>
          <w:p>
            <w:pPr>
              <w:jc w:val="right"/>
              <w:ind w:right="30"/>
              <w:spacing w:after="0"/>
              <w:rPr>
                <w:sz w:val="20"/>
                <w:szCs w:val="20"/>
                <w:color w:val="auto"/>
              </w:rPr>
            </w:pPr>
            <w:r>
              <w:rPr>
                <w:rFonts w:ascii="Arial" w:cs="Arial" w:eastAsia="Arial" w:hAnsi="Arial"/>
                <w:sz w:val="10"/>
                <w:szCs w:val="10"/>
                <w:color w:val="auto"/>
              </w:rPr>
              <w:t>(6,786,896 )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30"/>
              <w:spacing w:after="0"/>
              <w:rPr>
                <w:sz w:val="20"/>
                <w:szCs w:val="20"/>
                <w:color w:val="auto"/>
              </w:rPr>
            </w:pPr>
            <w:r>
              <w:rPr>
                <w:rFonts w:ascii="Arial" w:cs="Arial" w:eastAsia="Arial" w:hAnsi="Arial"/>
                <w:sz w:val="10"/>
                <w:szCs w:val="10"/>
                <w:color w:val="auto"/>
              </w:rPr>
              <w:t>(55,151 )</w:t>
            </w:r>
          </w:p>
        </w:tc>
        <w:tc>
          <w:tcPr>
            <w:tcW w:w="40" w:type="dxa"/>
            <w:vAlign w:val="bottom"/>
          </w:tcPr>
          <w:p>
            <w:pPr>
              <w:spacing w:after="0"/>
              <w:rPr>
                <w:sz w:val="11"/>
                <w:szCs w:val="11"/>
                <w:color w:val="auto"/>
              </w:rPr>
            </w:pPr>
          </w:p>
        </w:tc>
        <w:tc>
          <w:tcPr>
            <w:tcW w:w="660" w:type="dxa"/>
            <w:vAlign w:val="bottom"/>
          </w:tcPr>
          <w:p>
            <w:pPr>
              <w:jc w:val="right"/>
              <w:ind w:right="30"/>
              <w:spacing w:after="0"/>
              <w:rPr>
                <w:sz w:val="20"/>
                <w:szCs w:val="20"/>
                <w:color w:val="auto"/>
              </w:rPr>
            </w:pPr>
            <w:r>
              <w:rPr>
                <w:rFonts w:ascii="Arial" w:cs="Arial" w:eastAsia="Arial" w:hAnsi="Arial"/>
                <w:sz w:val="10"/>
                <w:szCs w:val="10"/>
                <w:color w:val="auto"/>
              </w:rPr>
              <w:t>(7,377,480 )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30"/>
              <w:spacing w:after="0"/>
              <w:rPr>
                <w:sz w:val="20"/>
                <w:szCs w:val="20"/>
                <w:color w:val="auto"/>
              </w:rPr>
            </w:pPr>
            <w:r>
              <w:rPr>
                <w:rFonts w:ascii="Arial" w:cs="Arial" w:eastAsia="Arial" w:hAnsi="Arial"/>
                <w:sz w:val="10"/>
                <w:szCs w:val="10"/>
                <w:color w:val="auto"/>
              </w:rPr>
              <w:t>(80,192 )</w:t>
            </w:r>
          </w:p>
        </w:tc>
        <w:tc>
          <w:tcPr>
            <w:tcW w:w="40" w:type="dxa"/>
            <w:vAlign w:val="bottom"/>
          </w:tcPr>
          <w:p>
            <w:pPr>
              <w:spacing w:after="0"/>
              <w:rPr>
                <w:sz w:val="11"/>
                <w:szCs w:val="11"/>
                <w:color w:val="auto"/>
              </w:rPr>
            </w:pPr>
          </w:p>
        </w:tc>
        <w:tc>
          <w:tcPr>
            <w:tcW w:w="660" w:type="dxa"/>
            <w:vAlign w:val="bottom"/>
          </w:tcPr>
          <w:p>
            <w:pPr>
              <w:jc w:val="right"/>
              <w:ind w:right="10"/>
              <w:spacing w:after="0"/>
              <w:rPr>
                <w:sz w:val="20"/>
                <w:szCs w:val="20"/>
                <w:color w:val="auto"/>
              </w:rPr>
            </w:pPr>
            <w:r>
              <w:rPr>
                <w:rFonts w:ascii="Arial" w:cs="Arial" w:eastAsia="Arial" w:hAnsi="Arial"/>
                <w:sz w:val="10"/>
                <w:szCs w:val="10"/>
                <w:color w:val="auto"/>
              </w:rPr>
              <w:t>(8,220,242 )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auto"/>
            </w:tcBorders>
          </w:tcPr>
          <w:p>
            <w:pPr>
              <w:jc w:val="right"/>
              <w:ind w:right="90"/>
              <w:spacing w:after="0"/>
              <w:rPr>
                <w:sz w:val="20"/>
                <w:szCs w:val="20"/>
                <w:color w:val="auto"/>
              </w:rPr>
            </w:pPr>
            <w:r>
              <w:rPr>
                <w:rFonts w:ascii="Arial" w:cs="Arial" w:eastAsia="Arial" w:hAnsi="Arial"/>
                <w:sz w:val="10"/>
                <w:szCs w:val="10"/>
                <w:color w:val="auto"/>
              </w:rPr>
              <w:t>(109,879 )</w:t>
            </w:r>
          </w:p>
        </w:tc>
        <w:tc>
          <w:tcPr>
            <w:tcW w:w="20" w:type="dxa"/>
            <w:vAlign w:val="bottom"/>
          </w:tcPr>
          <w:p>
            <w:pPr>
              <w:spacing w:after="0"/>
              <w:rPr>
                <w:sz w:val="11"/>
                <w:szCs w:val="11"/>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28,610,337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29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270,161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270,190</w:t>
            </w:r>
          </w:p>
        </w:tc>
      </w:tr>
      <w:tr>
        <w:trPr>
          <w:trHeight w:val="133"/>
        </w:trPr>
        <w:tc>
          <w:tcPr>
            <w:tcW w:w="1960" w:type="dxa"/>
            <w:vAlign w:val="bottom"/>
            <w:shd w:val="clear" w:color="auto" w:fill="CFF0FC"/>
          </w:tcPr>
          <w:p>
            <w:pPr>
              <w:ind w:left="260"/>
              <w:spacing w:after="0"/>
              <w:rPr>
                <w:sz w:val="20"/>
                <w:szCs w:val="20"/>
                <w:color w:val="auto"/>
              </w:rPr>
            </w:pPr>
            <w:r>
              <w:rPr>
                <w:rFonts w:ascii="Arial" w:cs="Arial" w:eastAsia="Arial" w:hAnsi="Arial"/>
                <w:sz w:val="10"/>
                <w:szCs w:val="10"/>
                <w:color w:val="auto"/>
              </w:rPr>
              <w:t>Conversion of common</w:t>
            </w: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23"/>
        </w:trPr>
        <w:tc>
          <w:tcPr>
            <w:tcW w:w="1960" w:type="dxa"/>
            <w:vAlign w:val="bottom"/>
            <w:shd w:val="clear" w:color="auto" w:fill="CFF0FC"/>
          </w:tcPr>
          <w:p>
            <w:pPr>
              <w:ind w:left="320"/>
              <w:spacing w:after="0"/>
              <w:rPr>
                <w:sz w:val="20"/>
                <w:szCs w:val="20"/>
                <w:color w:val="auto"/>
              </w:rPr>
            </w:pPr>
            <w:r>
              <w:rPr>
                <w:rFonts w:ascii="Arial" w:cs="Arial" w:eastAsia="Arial" w:hAnsi="Arial"/>
                <w:sz w:val="10"/>
                <w:szCs w:val="10"/>
                <w:color w:val="auto"/>
              </w:rPr>
              <w:t>stock warrant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60" w:type="dxa"/>
            <w:vAlign w:val="bottom"/>
            <w:tcBorders>
              <w:right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30,278</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rPr>
              <w:t>—</w:t>
            </w:r>
          </w:p>
        </w:tc>
      </w:tr>
      <w:tr>
        <w:trPr>
          <w:trHeight w:val="133"/>
        </w:trPr>
        <w:tc>
          <w:tcPr>
            <w:tcW w:w="1960" w:type="dxa"/>
            <w:vAlign w:val="bottom"/>
          </w:tcPr>
          <w:p>
            <w:pPr>
              <w:ind w:left="260"/>
              <w:spacing w:after="0"/>
              <w:rPr>
                <w:sz w:val="20"/>
                <w:szCs w:val="20"/>
                <w:color w:val="auto"/>
              </w:rPr>
            </w:pPr>
            <w:r>
              <w:rPr>
                <w:rFonts w:ascii="Arial" w:cs="Arial" w:eastAsia="Arial" w:hAnsi="Arial"/>
                <w:sz w:val="10"/>
                <w:szCs w:val="10"/>
                <w:color w:val="auto"/>
              </w:rPr>
              <w:t>Conversion of preferred</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23"/>
        </w:trPr>
        <w:tc>
          <w:tcPr>
            <w:tcW w:w="1960" w:type="dxa"/>
            <w:vAlign w:val="bottom"/>
          </w:tcPr>
          <w:p>
            <w:pPr>
              <w:ind w:left="320"/>
              <w:spacing w:after="0"/>
              <w:rPr>
                <w:sz w:val="20"/>
                <w:szCs w:val="20"/>
                <w:color w:val="auto"/>
              </w:rPr>
            </w:pPr>
            <w:r>
              <w:rPr>
                <w:rFonts w:ascii="Arial" w:cs="Arial" w:eastAsia="Arial" w:hAnsi="Arial"/>
                <w:sz w:val="10"/>
                <w:szCs w:val="10"/>
                <w:color w:val="auto"/>
              </w:rPr>
              <w:t>stock warrant</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16,591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w:t>
            </w:r>
          </w:p>
        </w:tc>
      </w:tr>
      <w:tr>
        <w:trPr>
          <w:trHeight w:val="135"/>
        </w:trPr>
        <w:tc>
          <w:tcPr>
            <w:tcW w:w="1960" w:type="dxa"/>
            <w:vAlign w:val="bottom"/>
            <w:shd w:val="clear" w:color="auto" w:fill="CFF0FC"/>
          </w:tcPr>
          <w:p>
            <w:pPr>
              <w:ind w:left="260"/>
              <w:spacing w:after="0"/>
              <w:rPr>
                <w:sz w:val="20"/>
                <w:szCs w:val="20"/>
                <w:color w:val="auto"/>
              </w:rPr>
            </w:pPr>
            <w:r>
              <w:rPr>
                <w:rFonts w:ascii="Arial" w:cs="Arial" w:eastAsia="Arial" w:hAnsi="Arial"/>
                <w:sz w:val="10"/>
                <w:szCs w:val="10"/>
                <w:color w:val="auto"/>
              </w:rPr>
              <w:t>Warrant liability write-off</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629</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rPr>
              <w:t>629</w:t>
            </w:r>
          </w:p>
        </w:tc>
      </w:tr>
      <w:tr>
        <w:trPr>
          <w:trHeight w:val="133"/>
        </w:trPr>
        <w:tc>
          <w:tcPr>
            <w:tcW w:w="1960" w:type="dxa"/>
            <w:vAlign w:val="bottom"/>
          </w:tcPr>
          <w:p>
            <w:pPr>
              <w:ind w:left="260"/>
              <w:spacing w:after="0"/>
              <w:rPr>
                <w:sz w:val="20"/>
                <w:szCs w:val="20"/>
                <w:color w:val="auto"/>
              </w:rPr>
            </w:pPr>
            <w:r>
              <w:rPr>
                <w:rFonts w:ascii="Arial" w:cs="Arial" w:eastAsia="Arial" w:hAnsi="Arial"/>
                <w:sz w:val="10"/>
                <w:szCs w:val="10"/>
                <w:color w:val="auto"/>
              </w:rPr>
              <w:t>Issuance of common stock upon</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22"/>
        </w:trPr>
        <w:tc>
          <w:tcPr>
            <w:tcW w:w="1960" w:type="dxa"/>
            <w:vAlign w:val="bottom"/>
          </w:tcPr>
          <w:p>
            <w:pPr>
              <w:ind w:left="320"/>
              <w:spacing w:after="0"/>
              <w:rPr>
                <w:sz w:val="20"/>
                <w:szCs w:val="20"/>
                <w:color w:val="auto"/>
              </w:rPr>
            </w:pPr>
            <w:r>
              <w:rPr>
                <w:rFonts w:ascii="Arial" w:cs="Arial" w:eastAsia="Arial" w:hAnsi="Arial"/>
                <w:sz w:val="10"/>
                <w:szCs w:val="10"/>
                <w:color w:val="auto"/>
              </w:rPr>
              <w:t>initial public offering, net of</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3"/>
        </w:trPr>
        <w:tc>
          <w:tcPr>
            <w:tcW w:w="1960" w:type="dxa"/>
            <w:vAlign w:val="bottom"/>
          </w:tcPr>
          <w:p>
            <w:pPr>
              <w:ind w:left="320"/>
              <w:spacing w:after="0"/>
              <w:rPr>
                <w:sz w:val="20"/>
                <w:szCs w:val="20"/>
                <w:color w:val="auto"/>
              </w:rPr>
            </w:pPr>
            <w:r>
              <w:rPr>
                <w:rFonts w:ascii="Arial" w:cs="Arial" w:eastAsia="Arial" w:hAnsi="Arial"/>
                <w:sz w:val="10"/>
                <w:szCs w:val="10"/>
                <w:color w:val="auto"/>
              </w:rPr>
              <w:t>issuance costs of $3,368</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17,968,750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18</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263,989</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264,007</w:t>
            </w:r>
          </w:p>
        </w:tc>
      </w:tr>
      <w:tr>
        <w:trPr>
          <w:trHeight w:val="135"/>
        </w:trPr>
        <w:tc>
          <w:tcPr>
            <w:tcW w:w="1960" w:type="dxa"/>
            <w:vAlign w:val="bottom"/>
            <w:shd w:val="clear" w:color="auto" w:fill="CFF0FC"/>
          </w:tcPr>
          <w:p>
            <w:pPr>
              <w:ind w:left="260"/>
              <w:spacing w:after="0"/>
              <w:rPr>
                <w:sz w:val="20"/>
                <w:szCs w:val="20"/>
                <w:color w:val="auto"/>
              </w:rPr>
            </w:pPr>
            <w:r>
              <w:rPr>
                <w:rFonts w:ascii="Arial" w:cs="Arial" w:eastAsia="Arial" w:hAnsi="Arial"/>
                <w:sz w:val="10"/>
                <w:szCs w:val="10"/>
                <w:color w:val="auto"/>
              </w:rPr>
              <w:t>Exercise of stock options</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343,444</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635</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rPr>
              <w:t>635</w:t>
            </w:r>
          </w:p>
        </w:tc>
      </w:tr>
      <w:tr>
        <w:trPr>
          <w:trHeight w:val="133"/>
        </w:trPr>
        <w:tc>
          <w:tcPr>
            <w:tcW w:w="1960" w:type="dxa"/>
            <w:vAlign w:val="bottom"/>
          </w:tcPr>
          <w:p>
            <w:pPr>
              <w:ind w:left="260"/>
              <w:spacing w:after="0"/>
              <w:rPr>
                <w:sz w:val="20"/>
                <w:szCs w:val="20"/>
                <w:color w:val="auto"/>
              </w:rPr>
            </w:pPr>
            <w:r>
              <w:rPr>
                <w:rFonts w:ascii="Arial" w:cs="Arial" w:eastAsia="Arial" w:hAnsi="Arial"/>
                <w:sz w:val="10"/>
                <w:szCs w:val="10"/>
                <w:color w:val="auto"/>
              </w:rPr>
              <w:t>Issuance of common stock related</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23"/>
        </w:trPr>
        <w:tc>
          <w:tcPr>
            <w:tcW w:w="1960" w:type="dxa"/>
            <w:vAlign w:val="bottom"/>
          </w:tcPr>
          <w:p>
            <w:pPr>
              <w:ind w:left="320"/>
              <w:spacing w:after="0"/>
              <w:rPr>
                <w:sz w:val="20"/>
                <w:szCs w:val="20"/>
                <w:color w:val="auto"/>
              </w:rPr>
            </w:pPr>
            <w:r>
              <w:rPr>
                <w:rFonts w:ascii="Arial" w:cs="Arial" w:eastAsia="Arial" w:hAnsi="Arial"/>
                <w:sz w:val="10"/>
                <w:szCs w:val="10"/>
                <w:color w:val="auto"/>
              </w:rPr>
              <w:t>to early exercised stock options</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14,819</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w:t>
            </w:r>
          </w:p>
        </w:tc>
      </w:tr>
      <w:tr>
        <w:trPr>
          <w:trHeight w:val="133"/>
        </w:trPr>
        <w:tc>
          <w:tcPr>
            <w:tcW w:w="1960" w:type="dxa"/>
            <w:vAlign w:val="bottom"/>
            <w:shd w:val="clear" w:color="auto" w:fill="CFF0FC"/>
          </w:tcPr>
          <w:p>
            <w:pPr>
              <w:ind w:left="260"/>
              <w:spacing w:after="0"/>
              <w:rPr>
                <w:sz w:val="20"/>
                <w:szCs w:val="20"/>
                <w:color w:val="auto"/>
              </w:rPr>
            </w:pPr>
            <w:r>
              <w:rPr>
                <w:rFonts w:ascii="Arial" w:cs="Arial" w:eastAsia="Arial" w:hAnsi="Arial"/>
                <w:sz w:val="10"/>
                <w:szCs w:val="10"/>
                <w:color w:val="auto"/>
              </w:rPr>
              <w:t>Issuance of common stock under</w:t>
            </w: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r>
      <w:tr>
        <w:trPr>
          <w:trHeight w:val="123"/>
        </w:trPr>
        <w:tc>
          <w:tcPr>
            <w:tcW w:w="1960" w:type="dxa"/>
            <w:vAlign w:val="bottom"/>
            <w:shd w:val="clear" w:color="auto" w:fill="CFF0FC"/>
          </w:tcPr>
          <w:p>
            <w:pPr>
              <w:ind w:left="320"/>
              <w:spacing w:after="0"/>
              <w:rPr>
                <w:sz w:val="20"/>
                <w:szCs w:val="20"/>
                <w:color w:val="auto"/>
              </w:rPr>
            </w:pPr>
            <w:r>
              <w:rPr>
                <w:rFonts w:ascii="Arial" w:cs="Arial" w:eastAsia="Arial" w:hAnsi="Arial"/>
                <w:sz w:val="10"/>
                <w:szCs w:val="10"/>
                <w:color w:val="auto"/>
              </w:rPr>
              <w:t>Employee Stock Purchase Plan</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60" w:type="dxa"/>
            <w:vAlign w:val="bottom"/>
            <w:tcBorders>
              <w:right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27,465</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374</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rPr>
              <w:t>374</w:t>
            </w:r>
          </w:p>
        </w:tc>
      </w:tr>
      <w:tr>
        <w:trPr>
          <w:trHeight w:val="133"/>
        </w:trPr>
        <w:tc>
          <w:tcPr>
            <w:tcW w:w="1960" w:type="dxa"/>
            <w:vAlign w:val="bottom"/>
          </w:tcPr>
          <w:p>
            <w:pPr>
              <w:ind w:left="260"/>
              <w:spacing w:after="0"/>
              <w:rPr>
                <w:sz w:val="20"/>
                <w:szCs w:val="20"/>
                <w:color w:val="auto"/>
              </w:rPr>
            </w:pPr>
            <w:r>
              <w:rPr>
                <w:rFonts w:ascii="Arial" w:cs="Arial" w:eastAsia="Arial" w:hAnsi="Arial"/>
                <w:sz w:val="10"/>
                <w:szCs w:val="10"/>
                <w:color w:val="auto"/>
              </w:rPr>
              <w:t>Vesting of early exercised</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23"/>
        </w:trPr>
        <w:tc>
          <w:tcPr>
            <w:tcW w:w="1960" w:type="dxa"/>
            <w:vAlign w:val="bottom"/>
          </w:tcPr>
          <w:p>
            <w:pPr>
              <w:ind w:left="320"/>
              <w:spacing w:after="0"/>
              <w:rPr>
                <w:sz w:val="20"/>
                <w:szCs w:val="20"/>
                <w:color w:val="auto"/>
              </w:rPr>
            </w:pPr>
            <w:r>
              <w:rPr>
                <w:rFonts w:ascii="Arial" w:cs="Arial" w:eastAsia="Arial" w:hAnsi="Arial"/>
                <w:sz w:val="10"/>
                <w:szCs w:val="10"/>
                <w:color w:val="auto"/>
              </w:rPr>
              <w:t>stock options</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164</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164</w:t>
            </w:r>
          </w:p>
        </w:tc>
      </w:tr>
      <w:tr>
        <w:trPr>
          <w:trHeight w:val="135"/>
        </w:trPr>
        <w:tc>
          <w:tcPr>
            <w:tcW w:w="1960" w:type="dxa"/>
            <w:vAlign w:val="bottom"/>
            <w:shd w:val="clear" w:color="auto" w:fill="CFF0FC"/>
          </w:tcPr>
          <w:p>
            <w:pPr>
              <w:ind w:left="260"/>
              <w:spacing w:after="0"/>
              <w:rPr>
                <w:sz w:val="20"/>
                <w:szCs w:val="20"/>
                <w:color w:val="auto"/>
              </w:rPr>
            </w:pPr>
            <w:r>
              <w:rPr>
                <w:rFonts w:ascii="Arial" w:cs="Arial" w:eastAsia="Arial" w:hAnsi="Arial"/>
                <w:sz w:val="10"/>
                <w:szCs w:val="10"/>
                <w:color w:val="auto"/>
              </w:rPr>
              <w:t>Issuance of preferred stock</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tcBorders>
              <w:right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rPr>
              <w:t>—</w:t>
            </w:r>
          </w:p>
        </w:tc>
      </w:tr>
      <w:tr>
        <w:trPr>
          <w:trHeight w:val="135"/>
        </w:trPr>
        <w:tc>
          <w:tcPr>
            <w:tcW w:w="1960" w:type="dxa"/>
            <w:vAlign w:val="bottom"/>
          </w:tcPr>
          <w:p>
            <w:pPr>
              <w:ind w:left="260"/>
              <w:spacing w:after="0"/>
              <w:rPr>
                <w:sz w:val="20"/>
                <w:szCs w:val="20"/>
                <w:color w:val="auto"/>
              </w:rPr>
            </w:pPr>
            <w:r>
              <w:rPr>
                <w:rFonts w:ascii="Arial" w:cs="Arial" w:eastAsia="Arial" w:hAnsi="Arial"/>
                <w:sz w:val="10"/>
                <w:szCs w:val="10"/>
                <w:color w:val="auto"/>
              </w:rPr>
              <w:t>Stock-based compensation expense</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auto"/>
            </w:tcBorders>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5,434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5,434</w:t>
            </w:r>
          </w:p>
        </w:tc>
      </w:tr>
      <w:tr>
        <w:trPr>
          <w:trHeight w:val="135"/>
        </w:trPr>
        <w:tc>
          <w:tcPr>
            <w:tcW w:w="1960" w:type="dxa"/>
            <w:vAlign w:val="bottom"/>
            <w:shd w:val="clear" w:color="auto" w:fill="CFF0FC"/>
          </w:tcPr>
          <w:p>
            <w:pPr>
              <w:ind w:left="260"/>
              <w:spacing w:after="0"/>
              <w:rPr>
                <w:sz w:val="20"/>
                <w:szCs w:val="20"/>
                <w:color w:val="auto"/>
              </w:rPr>
            </w:pPr>
            <w:r>
              <w:rPr>
                <w:rFonts w:ascii="Arial" w:cs="Arial" w:eastAsia="Arial" w:hAnsi="Arial"/>
                <w:sz w:val="10"/>
                <w:szCs w:val="10"/>
                <w:color w:val="auto"/>
              </w:rPr>
              <w:t>Net loss</w:t>
            </w:r>
          </w:p>
        </w:tc>
        <w:tc>
          <w:tcPr>
            <w:tcW w:w="6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right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rPr>
              <w:t>(89,217 )</w:t>
            </w:r>
          </w:p>
        </w:tc>
        <w:tc>
          <w:tcPr>
            <w:tcW w:w="4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rPr>
              <w:t>(89,217 )</w:t>
            </w:r>
          </w:p>
        </w:tc>
      </w:tr>
      <w:tr>
        <w:trPr>
          <w:trHeight w:val="128"/>
        </w:trPr>
        <w:tc>
          <w:tcPr>
            <w:tcW w:w="1960" w:type="dxa"/>
            <w:vAlign w:val="bottom"/>
          </w:tcPr>
          <w:p>
            <w:pPr>
              <w:spacing w:after="0"/>
              <w:rPr>
                <w:sz w:val="20"/>
                <w:szCs w:val="20"/>
                <w:color w:val="auto"/>
              </w:rPr>
            </w:pPr>
            <w:r>
              <w:rPr>
                <w:rFonts w:ascii="Arial" w:cs="Arial" w:eastAsia="Arial" w:hAnsi="Arial"/>
                <w:sz w:val="10"/>
                <w:szCs w:val="10"/>
                <w:b w:val="1"/>
                <w:bCs w:val="1"/>
                <w:color w:val="auto"/>
              </w:rPr>
              <w:t>Balance — December 31, 2020</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right w:val="single" w:sz="8" w:color="auto"/>
            </w:tcBorders>
          </w:tcPr>
          <w:p>
            <w:pPr>
              <w:jc w:val="right"/>
              <w:ind w:right="13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51,071,593</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70"/>
              <w:spacing w:after="0"/>
              <w:rPr>
                <w:sz w:val="20"/>
                <w:szCs w:val="20"/>
                <w:color w:val="auto"/>
              </w:rPr>
            </w:pPr>
            <w:r>
              <w:rPr>
                <w:rFonts w:ascii="Arial" w:cs="Arial" w:eastAsia="Arial" w:hAnsi="Arial"/>
                <w:sz w:val="10"/>
                <w:szCs w:val="10"/>
                <w:color w:val="auto"/>
              </w:rPr>
              <w:t>54</w:t>
            </w:r>
          </w:p>
        </w:tc>
        <w:tc>
          <w:tcPr>
            <w:tcW w:w="4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544,353</w:t>
            </w:r>
          </w:p>
        </w:tc>
        <w:tc>
          <w:tcPr>
            <w:tcW w:w="1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30"/>
              <w:spacing w:after="0"/>
              <w:rPr>
                <w:sz w:val="20"/>
                <w:szCs w:val="20"/>
                <w:color w:val="auto"/>
              </w:rPr>
            </w:pPr>
            <w:r>
              <w:rPr>
                <w:rFonts w:ascii="Arial" w:cs="Arial" w:eastAsia="Arial" w:hAnsi="Arial"/>
                <w:sz w:val="10"/>
                <w:szCs w:val="10"/>
                <w:color w:val="auto"/>
              </w:rPr>
              <w:t>(198,564 )</w:t>
            </w:r>
          </w:p>
        </w:tc>
        <w:tc>
          <w:tcPr>
            <w:tcW w:w="4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345,843</w:t>
            </w:r>
          </w:p>
        </w:tc>
      </w:tr>
      <w:tr>
        <w:trPr>
          <w:trHeight w:val="20"/>
        </w:trPr>
        <w:tc>
          <w:tcPr>
            <w:tcW w:w="1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VAXCYTE,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8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20" w:type="dxa"/>
            <w:vAlign w:val="bottom"/>
          </w:tcPr>
          <w:p>
            <w:pPr>
              <w:jc w:val="right"/>
              <w:ind w:right="706"/>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(89,217)</w:t>
            </w: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(50,274)</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(29,485)</w:t>
            </w: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500"/>
              <w:spacing w:after="0"/>
              <w:rPr>
                <w:sz w:val="20"/>
                <w:szCs w:val="20"/>
                <w:color w:val="auto"/>
              </w:rPr>
            </w:pPr>
            <w:r>
              <w:rPr>
                <w:rFonts w:ascii="Arial" w:cs="Arial" w:eastAsia="Arial" w:hAnsi="Arial"/>
                <w:sz w:val="14"/>
                <w:szCs w:val="14"/>
                <w:color w:val="auto"/>
              </w:rPr>
              <w:t>Depreciation and amortization</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1,232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5,434</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1,185</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500"/>
              <w:spacing w:after="0"/>
              <w:rPr>
                <w:sz w:val="20"/>
                <w:szCs w:val="20"/>
                <w:color w:val="auto"/>
              </w:rPr>
            </w:pPr>
            <w:r>
              <w:rPr>
                <w:rFonts w:ascii="Arial" w:cs="Arial" w:eastAsia="Arial" w:hAnsi="Arial"/>
                <w:sz w:val="14"/>
                <w:szCs w:val="14"/>
                <w:color w:val="auto"/>
              </w:rPr>
              <w:t>Expense on issuance of redeemable convertible preferred stock warrant</w:t>
            </w:r>
          </w:p>
        </w:tc>
        <w:tc>
          <w:tcPr>
            <w:tcW w:w="82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Change in fair value of redeemable convertible preferred stock warrant</w:t>
            </w: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3"/>
        </w:trPr>
        <w:tc>
          <w:tcPr>
            <w:tcW w:w="6680" w:type="dxa"/>
            <w:vAlign w:val="bottom"/>
          </w:tcPr>
          <w:p>
            <w:pPr>
              <w:ind w:left="500"/>
              <w:spacing w:after="0" w:line="143" w:lineRule="exact"/>
              <w:rPr>
                <w:sz w:val="20"/>
                <w:szCs w:val="20"/>
                <w:color w:val="auto"/>
              </w:rPr>
            </w:pPr>
            <w:r>
              <w:rPr>
                <w:rFonts w:ascii="Arial" w:cs="Arial" w:eastAsia="Arial" w:hAnsi="Arial"/>
                <w:sz w:val="14"/>
                <w:szCs w:val="14"/>
                <w:color w:val="auto"/>
              </w:rPr>
              <w:t>Change in fair value of redeemable convertible preferred stock tranche</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680" w:type="dxa"/>
            <w:vAlign w:val="bottom"/>
          </w:tcPr>
          <w:p>
            <w:pPr>
              <w:ind w:left="600"/>
              <w:spacing w:after="0"/>
              <w:rPr>
                <w:sz w:val="20"/>
                <w:szCs w:val="20"/>
                <w:color w:val="auto"/>
              </w:rPr>
            </w:pPr>
            <w:r>
              <w:rPr>
                <w:rFonts w:ascii="Arial" w:cs="Arial" w:eastAsia="Arial" w:hAnsi="Arial"/>
                <w:sz w:val="14"/>
                <w:szCs w:val="14"/>
                <w:color w:val="auto"/>
              </w:rPr>
              <w:t>liabilities</w:t>
            </w:r>
          </w:p>
        </w:tc>
        <w:tc>
          <w:tcPr>
            <w:tcW w:w="82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(3,185)</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(5,178)</w:t>
            </w: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Loss on disposal of assets</w:t>
            </w: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500"/>
              <w:spacing w:after="0"/>
              <w:rPr>
                <w:sz w:val="20"/>
                <w:szCs w:val="20"/>
                <w:color w:val="auto"/>
              </w:rPr>
            </w:pPr>
            <w:r>
              <w:rPr>
                <w:rFonts w:ascii="Arial" w:cs="Arial" w:eastAsia="Arial" w:hAnsi="Arial"/>
                <w:sz w:val="14"/>
                <w:szCs w:val="14"/>
                <w:color w:val="auto"/>
              </w:rPr>
              <w:t>Asset impairment charges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82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(58)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(1,070)</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assets</w:t>
            </w:r>
          </w:p>
        </w:tc>
        <w:tc>
          <w:tcPr>
            <w:tcW w:w="8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(75)</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62"/>
        </w:trPr>
        <w:tc>
          <w:tcPr>
            <w:tcW w:w="6680" w:type="dxa"/>
            <w:vAlign w:val="bottom"/>
          </w:tcPr>
          <w:p>
            <w:pPr>
              <w:ind w:left="500"/>
              <w:spacing w:after="0"/>
              <w:rPr>
                <w:sz w:val="20"/>
                <w:szCs w:val="20"/>
                <w:color w:val="auto"/>
              </w:rPr>
            </w:pPr>
            <w:r>
              <w:rPr>
                <w:rFonts w:ascii="Arial" w:cs="Arial" w:eastAsia="Arial" w:hAnsi="Arial"/>
                <w:sz w:val="14"/>
                <w:szCs w:val="14"/>
                <w:color w:val="auto"/>
              </w:rPr>
              <w:t>Accounts payable</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26,102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Accrued compensation</w:t>
            </w:r>
          </w:p>
        </w:tc>
        <w:tc>
          <w:tcPr>
            <w:tcW w:w="8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(130)</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(775)</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500"/>
              <w:spacing w:after="0"/>
              <w:rPr>
                <w:sz w:val="20"/>
                <w:szCs w:val="20"/>
                <w:color w:val="auto"/>
              </w:rPr>
            </w:pPr>
            <w:r>
              <w:rPr>
                <w:rFonts w:ascii="Arial" w:cs="Arial" w:eastAsia="Arial" w:hAnsi="Arial"/>
                <w:sz w:val="14"/>
                <w:szCs w:val="14"/>
                <w:color w:val="auto"/>
              </w:rPr>
              <w:t>Accrued manufacturing expenses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7,235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3,970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Accrued expenses</w:t>
            </w: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2,207</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718</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500"/>
              <w:spacing w:after="0"/>
              <w:rPr>
                <w:sz w:val="20"/>
                <w:szCs w:val="20"/>
                <w:color w:val="auto"/>
              </w:rPr>
            </w:pPr>
            <w:r>
              <w:rPr>
                <w:rFonts w:ascii="Arial" w:cs="Arial" w:eastAsia="Arial" w:hAnsi="Arial"/>
                <w:sz w:val="14"/>
                <w:szCs w:val="14"/>
                <w:color w:val="auto"/>
              </w:rPr>
              <w:t>Accrued legal settlement</w:t>
            </w:r>
          </w:p>
        </w:tc>
        <w:tc>
          <w:tcPr>
            <w:tcW w:w="82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Deferred rent and other long-term liabilities</w:t>
            </w:r>
          </w:p>
        </w:tc>
        <w:tc>
          <w:tcPr>
            <w:tcW w:w="8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8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color w:val="auto"/>
              </w:rPr>
              <w:t>Net cash used in operating activities</w:t>
            </w:r>
          </w:p>
        </w:tc>
        <w:tc>
          <w:tcPr>
            <w:tcW w:w="8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(46,628)</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(47,145)</w:t>
            </w:r>
          </w:p>
        </w:tc>
        <w:tc>
          <w:tcPr>
            <w:tcW w:w="2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(30,466)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260"/>
              <w:spacing w:after="0"/>
              <w:rPr>
                <w:sz w:val="20"/>
                <w:szCs w:val="20"/>
                <w:color w:val="auto"/>
              </w:rPr>
            </w:pPr>
            <w:r>
              <w:rPr>
                <w:rFonts w:ascii="Arial" w:cs="Arial" w:eastAsia="Arial" w:hAnsi="Arial"/>
                <w:sz w:val="14"/>
                <w:szCs w:val="14"/>
                <w:color w:val="auto"/>
              </w:rPr>
              <w:t>Purchases of property and equipment</w:t>
            </w:r>
          </w:p>
        </w:tc>
        <w:tc>
          <w:tcPr>
            <w:tcW w:w="82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(1,155)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(1,195)</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(1,774)</w:t>
            </w: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sale of property and equipment</w:t>
            </w: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8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color w:val="auto"/>
              </w:rPr>
              <w:t>Net cash used in investing activities</w:t>
            </w:r>
          </w:p>
        </w:tc>
        <w:tc>
          <w:tcPr>
            <w:tcW w:w="8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(1,105)</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(1,195)</w:t>
            </w:r>
          </w:p>
        </w:tc>
        <w:tc>
          <w:tcPr>
            <w:tcW w:w="2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(1,773)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260"/>
              <w:spacing w:after="0"/>
              <w:rPr>
                <w:sz w:val="20"/>
                <w:szCs w:val="20"/>
                <w:color w:val="auto"/>
              </w:rPr>
            </w:pPr>
            <w:r>
              <w:rPr>
                <w:rFonts w:ascii="Arial" w:cs="Arial" w:eastAsia="Arial" w:hAnsi="Arial"/>
                <w:sz w:val="14"/>
                <w:szCs w:val="14"/>
                <w:color w:val="auto"/>
              </w:rPr>
              <w:t>Payments of capital lease obligations</w:t>
            </w:r>
          </w:p>
        </w:tc>
        <w:tc>
          <w:tcPr>
            <w:tcW w:w="82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(61)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(278)</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43"/>
        </w:trPr>
        <w:tc>
          <w:tcPr>
            <w:tcW w:w="66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Proceeds from initial public offering, net of underwriters' commissions and</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6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discounts</w:t>
            </w: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267,375</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680" w:type="dxa"/>
            <w:vAlign w:val="bottom"/>
          </w:tcPr>
          <w:p>
            <w:pPr>
              <w:ind w:left="260"/>
              <w:spacing w:after="0"/>
              <w:rPr>
                <w:sz w:val="20"/>
                <w:szCs w:val="20"/>
                <w:color w:val="auto"/>
              </w:rPr>
            </w:pPr>
            <w:r>
              <w:rPr>
                <w:rFonts w:ascii="Arial" w:cs="Arial" w:eastAsia="Arial" w:hAnsi="Arial"/>
                <w:sz w:val="14"/>
                <w:szCs w:val="14"/>
                <w:color w:val="auto"/>
              </w:rPr>
              <w:t>Payment of issuance costs for initial public offering</w:t>
            </w:r>
          </w:p>
        </w:tc>
        <w:tc>
          <w:tcPr>
            <w:tcW w:w="82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(3,368)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66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Proceeds from issuance of redeemable convertible preferred stock, net of</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6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issuance costs</w:t>
            </w: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109,879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42,500</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62,345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260"/>
              <w:spacing w:after="0"/>
              <w:rPr>
                <w:sz w:val="20"/>
                <w:szCs w:val="20"/>
                <w:color w:val="auto"/>
              </w:rPr>
            </w:pPr>
            <w:r>
              <w:rPr>
                <w:rFonts w:ascii="Arial" w:cs="Arial" w:eastAsia="Arial" w:hAnsi="Arial"/>
                <w:sz w:val="14"/>
                <w:szCs w:val="14"/>
                <w:color w:val="auto"/>
              </w:rPr>
              <w:t>Proceeds from exercise of common stock options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635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6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Proceeds from issuance of common stock related to early exercised stock</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6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options</w:t>
            </w: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680" w:type="dxa"/>
            <w:vAlign w:val="bottom"/>
          </w:tcPr>
          <w:p>
            <w:pPr>
              <w:ind w:left="260"/>
              <w:spacing w:after="0" w:line="143" w:lineRule="exact"/>
              <w:rPr>
                <w:sz w:val="20"/>
                <w:szCs w:val="20"/>
                <w:color w:val="auto"/>
              </w:rPr>
            </w:pPr>
            <w:r>
              <w:rPr>
                <w:rFonts w:ascii="Arial" w:cs="Arial" w:eastAsia="Arial" w:hAnsi="Arial"/>
                <w:sz w:val="14"/>
                <w:szCs w:val="14"/>
                <w:color w:val="auto"/>
              </w:rPr>
              <w:t>Proceeds from issuance of common stock under the Employee Stock Purchase</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680" w:type="dxa"/>
            <w:vAlign w:val="bottom"/>
          </w:tcPr>
          <w:p>
            <w:pPr>
              <w:ind w:left="360"/>
              <w:spacing w:after="0"/>
              <w:rPr>
                <w:sz w:val="20"/>
                <w:szCs w:val="20"/>
                <w:color w:val="auto"/>
              </w:rPr>
            </w:pPr>
            <w:r>
              <w:rPr>
                <w:rFonts w:ascii="Arial" w:cs="Arial" w:eastAsia="Arial" w:hAnsi="Arial"/>
                <w:sz w:val="14"/>
                <w:szCs w:val="14"/>
                <w:color w:val="auto"/>
              </w:rPr>
              <w:t>Plan</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374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of deferred offering costs</w:t>
            </w:r>
          </w:p>
        </w:tc>
        <w:tc>
          <w:tcPr>
            <w:tcW w:w="8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(1,097)</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68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8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374,870</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41,567</w:t>
            </w:r>
          </w:p>
        </w:tc>
        <w:tc>
          <w:tcPr>
            <w:tcW w:w="2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62,190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Effect of exchange rate changes on cash and cash equivalents</w:t>
            </w:r>
          </w:p>
        </w:tc>
        <w:tc>
          <w:tcPr>
            <w:tcW w:w="8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87</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(341)</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740"/>
              <w:spacing w:after="0"/>
              <w:rPr>
                <w:sz w:val="20"/>
                <w:szCs w:val="20"/>
                <w:color w:val="auto"/>
              </w:rPr>
            </w:pPr>
            <w:r>
              <w:rPr>
                <w:rFonts w:ascii="Arial" w:cs="Arial" w:eastAsia="Arial" w:hAnsi="Arial"/>
                <w:sz w:val="14"/>
                <w:szCs w:val="14"/>
                <w:color w:val="auto"/>
              </w:rPr>
              <w:t>Net increase (decrease) in cash and cash equivalents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327,224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(7,114)</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29,951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ind w:left="740"/>
              <w:spacing w:after="0"/>
              <w:rPr>
                <w:sz w:val="20"/>
                <w:szCs w:val="20"/>
                <w:color w:val="auto"/>
              </w:rPr>
            </w:pPr>
            <w:r>
              <w:rPr>
                <w:rFonts w:ascii="Arial" w:cs="Arial" w:eastAsia="Arial" w:hAnsi="Arial"/>
                <w:sz w:val="14"/>
                <w:szCs w:val="14"/>
                <w:color w:val="auto"/>
              </w:rPr>
              <w:t>Cash and cash equivalents, beginning of period</w:t>
            </w:r>
          </w:p>
        </w:tc>
        <w:tc>
          <w:tcPr>
            <w:tcW w:w="8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58,976</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66,090</w:t>
            </w:r>
          </w:p>
        </w:tc>
        <w:tc>
          <w:tcPr>
            <w:tcW w:w="2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36,139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68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Cash and cash equivalents, end of period</w:t>
            </w:r>
          </w:p>
        </w:tc>
        <w:tc>
          <w:tcPr>
            <w:tcW w:w="820" w:type="dxa"/>
            <w:vAlign w:val="bottom"/>
            <w:tcBorders>
              <w:bottom w:val="single" w:sz="8" w:color="auto"/>
            </w:tcBorders>
          </w:tcPr>
          <w:p>
            <w:pPr>
              <w:jc w:val="right"/>
              <w:ind w:right="706"/>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386,200</w:t>
            </w: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58,976</w:t>
            </w: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66,090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68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680" w:type="dxa"/>
            <w:vAlign w:val="bottom"/>
          </w:tcPr>
          <w:p>
            <w:pPr>
              <w:ind w:left="260"/>
              <w:spacing w:after="0"/>
              <w:rPr>
                <w:sz w:val="20"/>
                <w:szCs w:val="20"/>
                <w:color w:val="auto"/>
              </w:rPr>
            </w:pPr>
            <w:r>
              <w:rPr>
                <w:rFonts w:ascii="Arial" w:cs="Arial" w:eastAsia="Arial" w:hAnsi="Arial"/>
                <w:sz w:val="14"/>
                <w:szCs w:val="14"/>
                <w:color w:val="auto"/>
              </w:rPr>
              <w:t>Cash paid for interest</w:t>
            </w:r>
          </w:p>
        </w:tc>
        <w:tc>
          <w:tcPr>
            <w:tcW w:w="820" w:type="dxa"/>
            <w:vAlign w:val="bottom"/>
          </w:tcPr>
          <w:p>
            <w:pPr>
              <w:jc w:val="right"/>
              <w:ind w:right="706"/>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w:t>
            </w:r>
          </w:p>
        </w:tc>
        <w:tc>
          <w:tcPr>
            <w:tcW w:w="24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6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8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680" w:type="dxa"/>
            <w:vAlign w:val="bottom"/>
          </w:tcPr>
          <w:p>
            <w:pPr>
              <w:ind w:left="260"/>
              <w:spacing w:after="0" w:line="143" w:lineRule="exact"/>
              <w:rPr>
                <w:sz w:val="20"/>
                <w:szCs w:val="20"/>
                <w:color w:val="auto"/>
              </w:rPr>
            </w:pPr>
            <w:r>
              <w:rPr>
                <w:rFonts w:ascii="Arial" w:cs="Arial" w:eastAsia="Arial" w:hAnsi="Arial"/>
                <w:sz w:val="14"/>
                <w:szCs w:val="14"/>
                <w:color w:val="auto"/>
              </w:rPr>
              <w:t>Purchases of property and equipment recorded in accounts payable and accrued</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680" w:type="dxa"/>
            <w:vAlign w:val="bottom"/>
            <w:tcBorders>
              <w:bottom w:val="single" w:sz="8" w:color="CFF0FC"/>
            </w:tcBorders>
          </w:tcPr>
          <w:p>
            <w:pPr>
              <w:ind w:left="360"/>
              <w:spacing w:after="0"/>
              <w:rPr>
                <w:sz w:val="20"/>
                <w:szCs w:val="20"/>
                <w:color w:val="auto"/>
              </w:rPr>
            </w:pPr>
            <w:r>
              <w:rPr>
                <w:rFonts w:ascii="Arial" w:cs="Arial" w:eastAsia="Arial" w:hAnsi="Arial"/>
                <w:sz w:val="14"/>
                <w:szCs w:val="14"/>
                <w:color w:val="auto"/>
              </w:rPr>
              <w:t>expenses</w:t>
            </w:r>
          </w:p>
        </w:tc>
        <w:tc>
          <w:tcPr>
            <w:tcW w:w="820" w:type="dxa"/>
            <w:vAlign w:val="bottom"/>
            <w:tcBorders>
              <w:bottom w:val="single" w:sz="8" w:color="auto"/>
            </w:tcBorders>
          </w:tcPr>
          <w:p>
            <w:pPr>
              <w:jc w:val="right"/>
              <w:ind w:right="706"/>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680" w:type="dxa"/>
            <w:vAlign w:val="bottom"/>
            <w:tcBorders>
              <w:bottom w:val="single" w:sz="8" w:color="CFF0FC"/>
            </w:tcBorders>
            <w:shd w:val="clear" w:color="auto" w:fill="CFF0FC"/>
          </w:tcPr>
          <w:p>
            <w:pPr>
              <w:ind w:left="260"/>
              <w:spacing w:after="0" w:line="143" w:lineRule="exact"/>
              <w:rPr>
                <w:sz w:val="20"/>
                <w:szCs w:val="20"/>
                <w:color w:val="auto"/>
              </w:rPr>
            </w:pPr>
            <w:r>
              <w:rPr>
                <w:rFonts w:ascii="Arial" w:cs="Arial" w:eastAsia="Arial" w:hAnsi="Arial"/>
                <w:sz w:val="14"/>
                <w:szCs w:val="14"/>
                <w:color w:val="auto"/>
              </w:rPr>
              <w:t>Conversion of convertible preferred stock into common stock</w:t>
            </w:r>
          </w:p>
        </w:tc>
        <w:tc>
          <w:tcPr>
            <w:tcW w:w="820" w:type="dxa"/>
            <w:vAlign w:val="bottom"/>
            <w:tcBorders>
              <w:bottom w:val="single" w:sz="8" w:color="auto"/>
            </w:tcBorders>
            <w:shd w:val="clear" w:color="auto" w:fill="CFF0FC"/>
          </w:tcPr>
          <w:p>
            <w:pPr>
              <w:jc w:val="right"/>
              <w:ind w:right="706"/>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90"/>
              </w:rPr>
              <w:t>270,190</w:t>
            </w: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260"/>
              <w:spacing w:after="0"/>
              <w:rPr>
                <w:sz w:val="20"/>
                <w:szCs w:val="20"/>
                <w:color w:val="auto"/>
              </w:rPr>
            </w:pPr>
            <w:r>
              <w:rPr>
                <w:rFonts w:ascii="Arial" w:cs="Arial" w:eastAsia="Arial" w:hAnsi="Arial"/>
                <w:sz w:val="14"/>
                <w:szCs w:val="14"/>
                <w:color w:val="auto"/>
              </w:rPr>
              <w:t>Deferred offering costs included in accounts payable and accrued expenses</w:t>
            </w: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80" w:type="dxa"/>
            <w:vAlign w:val="bottom"/>
            <w:vMerge w:val="continue"/>
          </w:tcPr>
          <w:p>
            <w:pPr>
              <w:spacing w:after="0"/>
              <w:rPr>
                <w:sz w:val="12"/>
                <w:szCs w:val="12"/>
                <w:color w:val="auto"/>
              </w:rPr>
            </w:pPr>
          </w:p>
        </w:tc>
        <w:tc>
          <w:tcPr>
            <w:tcW w:w="82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33</w:t>
            </w:r>
          </w:p>
        </w:tc>
        <w:tc>
          <w:tcPr>
            <w:tcW w:w="2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VAXCYTE,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Company Organization and Nature of Business</w:t>
      </w:r>
    </w:p>
    <w:p>
      <w:pPr>
        <w:spacing w:after="0" w:line="229" w:lineRule="exact"/>
        <w:rPr>
          <w:sz w:val="20"/>
          <w:szCs w:val="20"/>
          <w:color w:val="auto"/>
        </w:rPr>
      </w:pPr>
    </w:p>
    <w:p>
      <w:pPr>
        <w:ind w:right="20" w:firstLine="1175"/>
        <w:spacing w:after="0" w:line="286" w:lineRule="auto"/>
        <w:rPr>
          <w:sz w:val="20"/>
          <w:szCs w:val="20"/>
          <w:color w:val="auto"/>
        </w:rPr>
      </w:pPr>
      <w:r>
        <w:rPr>
          <w:rFonts w:ascii="Arial" w:cs="Arial" w:eastAsia="Arial" w:hAnsi="Arial"/>
          <w:sz w:val="16"/>
          <w:szCs w:val="16"/>
          <w:color w:val="auto"/>
        </w:rPr>
        <w:t>Vaxcyte, Inc. (“we”, “us”, “the Company”, or “Vaxcyte”), headquartered in Foster City, California, was incorporated in the state of Delaware on November 27, 2013 as SutroVax, Inc. and we changed our name to Vaxcyte, Inc. in May 2020. We are a next-generation vaccine company seeking to improve global health by developing superior and novel vaccines designed to prevent or treat some of the most common and deadly infectious diseases worldwide. Our cell-free protein synthesis platform enables us to design and produce protein carriers and antigens, the critical building blocks of vaccines, in ways that we believe conventional vaccine technologies currently cannot. Our pipeline includes pneumococcal conjugate vaccine (“PCV”) candidates that we believe are among the most broad-spectrum PCV candidates currently in development, targeting the $7 billion global pneumococcal vaccine market. Our lead vaccine candidate, VAX-24, is a 24-valent investigational PCV. We anticipate submitting our initial investigational new drug (“IND”) application to the U.S. Food and Drug Administration (“FDA”) for VAX-24 between January and June 2022 and initiating our Phase 1/2 clinical proof-of-concept study in adults thereafter. We expect to announce topline data from this study between late 2022 and early 2023. Our second PCV candidate, VAX-XP, leverages our scalable and modular platform and builds on the technical proof of concept established by VAX-24 and is designed to expand the breadth of coverage to at least 30 strains without compromising immunogenicity due to carrier suppression. In addition to our PCV franchise, our pipeline includes a novel conjugate vaccine candidate for Group A Strep, a novel protein vaccine candidate targeting the keystone pathogen responsible for periodontitis and other discovery-stage programs. Our primary activities since incorporation have been to perform research and development, undertake preclinical studies and enable manufacturing activities in support of our product development efforts, organize and staff the Company, plan for the business and establish our intellectual property portfolio, and raise capital to support and expand such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ind w:right="300" w:firstLine="1175"/>
        <w:spacing w:after="0" w:line="311" w:lineRule="auto"/>
        <w:rPr>
          <w:sz w:val="20"/>
          <w:szCs w:val="20"/>
          <w:color w:val="auto"/>
        </w:rPr>
      </w:pPr>
      <w:r>
        <w:rPr>
          <w:rFonts w:ascii="Arial" w:cs="Arial" w:eastAsia="Arial" w:hAnsi="Arial"/>
          <w:sz w:val="16"/>
          <w:szCs w:val="16"/>
          <w:color w:val="auto"/>
        </w:rPr>
        <w:t>On June 5, 2020, we filed a certificate of amendment to our amended and restated certificate of incorporation to effect a one-for-1.6870 reverse stock split of our issued and outstanding common stock, preferred stock, stock options and warrants effective on June 5, 2020. Accordingly, all share and per share amounts for all periods presented in the financial statements and notes thereto have been retroactively adjusted.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140" w:firstLine="1175"/>
        <w:spacing w:after="0" w:line="259" w:lineRule="auto"/>
        <w:rPr>
          <w:sz w:val="20"/>
          <w:szCs w:val="20"/>
          <w:color w:val="auto"/>
        </w:rPr>
      </w:pPr>
      <w:r>
        <w:rPr>
          <w:rFonts w:ascii="Arial" w:cs="Arial" w:eastAsia="Arial" w:hAnsi="Arial"/>
          <w:sz w:val="18"/>
          <w:szCs w:val="18"/>
          <w:color w:val="auto"/>
        </w:rPr>
        <w:t>In June 2020, we completed an initial public offering (“IPO”) in which we issued and sold 17,968,750 shares of common stock, including shares issued upon the exercise in full of the underwriters’ option to purchase 2,343,750 additional shares of common stock, at a public offering price of $16.00 per share. We received $264.0 million in net proceeds, after deducting underwriting discounts and commissions of $20.1 million and offering expenses of $3.4 million.</w:t>
      </w:r>
    </w:p>
    <w:p>
      <w:pPr>
        <w:spacing w:after="0" w:line="187" w:lineRule="exact"/>
        <w:rPr>
          <w:sz w:val="20"/>
          <w:szCs w:val="20"/>
          <w:color w:val="auto"/>
        </w:rPr>
      </w:pPr>
    </w:p>
    <w:p>
      <w:pPr>
        <w:ind w:right="60" w:firstLine="1175"/>
        <w:spacing w:after="0" w:line="342" w:lineRule="auto"/>
        <w:rPr>
          <w:sz w:val="20"/>
          <w:szCs w:val="20"/>
          <w:color w:val="auto"/>
        </w:rPr>
      </w:pPr>
      <w:r>
        <w:rPr>
          <w:rFonts w:ascii="Arial" w:cs="Arial" w:eastAsia="Arial" w:hAnsi="Arial"/>
          <w:sz w:val="16"/>
          <w:szCs w:val="16"/>
          <w:color w:val="auto"/>
        </w:rPr>
        <w:t>Immediately prior to the completion of our IPO, all outstanding shares of redeemable convertible preferred stock were converted into 28,610,337 shares of common stock. Subsequent to the completion of the IPO, there were no shares of redeemable convertible preferred stock outstanding.</w:t>
      </w:r>
    </w:p>
    <w:p>
      <w:pPr>
        <w:spacing w:after="0" w:line="120" w:lineRule="exact"/>
        <w:rPr>
          <w:sz w:val="20"/>
          <w:szCs w:val="20"/>
          <w:color w:val="auto"/>
        </w:rPr>
      </w:pPr>
    </w:p>
    <w:p>
      <w:pPr>
        <w:ind w:right="5680" w:firstLine="8"/>
        <w:spacing w:after="0" w:line="503" w:lineRule="auto"/>
        <w:tabs>
          <w:tab w:leader="none" w:pos="1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Basis of Presentation</w:t>
      </w:r>
    </w:p>
    <w:p>
      <w:pPr>
        <w:ind w:firstLine="1175"/>
        <w:spacing w:after="0" w:line="259" w:lineRule="auto"/>
        <w:rPr>
          <w:sz w:val="20"/>
          <w:szCs w:val="20"/>
          <w:color w:val="auto"/>
        </w:rPr>
      </w:pPr>
      <w:r>
        <w:rPr>
          <w:rFonts w:ascii="Arial" w:cs="Arial" w:eastAsia="Arial" w:hAnsi="Arial"/>
          <w:sz w:val="18"/>
          <w:szCs w:val="18"/>
          <w:color w:val="auto"/>
        </w:rPr>
        <w:t>These financial statements have been prepared in accordance with accounting principles generally accepted in the United States of America (“U.S. GAAP”) and applicable rules and regulations of the Securities and Exchange Commission (“SEC”) regarding annual reporting. Certain changes in presentation were made in these financial statements as of and for the years ended December 31, 2018 and 2019 to conform to the presentation as of and for the year ended December 31,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1175"/>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liabilities and expenses and the disclosure of contingent assets and liabilities at the date of the financial statements. On an ongoing basis, we evaluate our estimates and assumptions, including those related to stock-based compensation expense, accruals for certain research and development costs, the valuation of deferred tax assets and income taxes. Management bases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225" w:lineRule="exact"/>
        <w:rPr>
          <w:sz w:val="20"/>
          <w:szCs w:val="20"/>
          <w:color w:val="auto"/>
        </w:rPr>
      </w:pPr>
    </w:p>
    <w:p>
      <w:pPr>
        <w:ind w:right="240" w:firstLine="1175"/>
        <w:spacing w:after="0" w:line="259" w:lineRule="auto"/>
        <w:rPr>
          <w:sz w:val="20"/>
          <w:szCs w:val="20"/>
          <w:color w:val="auto"/>
        </w:rPr>
      </w:pPr>
      <w:r>
        <w:rPr>
          <w:rFonts w:ascii="Arial" w:cs="Arial" w:eastAsia="Arial" w:hAnsi="Arial"/>
          <w:sz w:val="18"/>
          <w:szCs w:val="18"/>
          <w:color w:val="auto"/>
        </w:rPr>
        <w:t>Financial instruments that potentially subject us to a concentration of credit risk consist primarily of cash and cash equivalents. We invested in money market funds as of December 31, 2020. We maintain bank deposits in federally insured financial institutions and these deposits may exceed federally insured limits. We are exposed to credit risk in the event of a default by the financial institutions holding our cash and cash equivalents. We have not experienced any losses on our deposits of cash and cash equivalents.</w:t>
      </w:r>
    </w:p>
    <w:p>
      <w:pPr>
        <w:spacing w:after="0" w:line="187" w:lineRule="exact"/>
        <w:rPr>
          <w:sz w:val="20"/>
          <w:szCs w:val="20"/>
          <w:color w:val="auto"/>
        </w:rPr>
      </w:pPr>
    </w:p>
    <w:p>
      <w:pPr>
        <w:ind w:right="200" w:firstLine="1175"/>
        <w:spacing w:after="0" w:line="257" w:lineRule="auto"/>
        <w:rPr>
          <w:sz w:val="20"/>
          <w:szCs w:val="20"/>
          <w:color w:val="auto"/>
        </w:rPr>
      </w:pPr>
      <w:r>
        <w:rPr>
          <w:rFonts w:ascii="Arial" w:cs="Arial" w:eastAsia="Arial" w:hAnsi="Arial"/>
          <w:sz w:val="18"/>
          <w:szCs w:val="18"/>
          <w:color w:val="auto"/>
        </w:rPr>
        <w:t>We are subject to supplier concentration risk from our suppliers. We source our critical raw materials from a sole source supplier, Sutro Biopharma, Inc. (“Sutro Biopharma”). We also use one contract manufacturing organization (“CMO”), Lonza Ltd. (“Lonza”), to handle most of our manufacturing activities. If we were to experience disruptions in raw materials supplied by Sutro Biopharma, or in manufacturing activities at Lonza, we may experience significant delays in our product development timelines and may incur substantial costs to secure alternative sources of raw materials or manufacturing.</w:t>
      </w:r>
    </w:p>
    <w:p>
      <w:pPr>
        <w:spacing w:after="0" w:line="188" w:lineRule="exact"/>
        <w:rPr>
          <w:sz w:val="20"/>
          <w:szCs w:val="20"/>
          <w:color w:val="auto"/>
        </w:rPr>
      </w:pPr>
    </w:p>
    <w:p>
      <w:pPr>
        <w:ind w:right="80" w:firstLine="1175"/>
        <w:spacing w:after="0" w:line="254" w:lineRule="auto"/>
        <w:rPr>
          <w:sz w:val="20"/>
          <w:szCs w:val="20"/>
          <w:color w:val="auto"/>
        </w:rPr>
      </w:pPr>
      <w:r>
        <w:rPr>
          <w:rFonts w:ascii="Arial" w:cs="Arial" w:eastAsia="Arial" w:hAnsi="Arial"/>
          <w:sz w:val="18"/>
          <w:szCs w:val="18"/>
          <w:color w:val="auto"/>
        </w:rPr>
        <w:t>Our future results of operations involve a number of other risks and uncertainties. Factors that could affect our future operating results and cause actual results to vary materially from expectations include, but are not limited to: our early stages of clinical vaccine development; our ability to advance vaccine candidates into, and successfully complete, clinical trials on the timelines we project; our ability to adequately demonstrate sufficient safety and efficacy of our vaccine candidates; our ability to enroll subjects in our ongoing and future clinical trials; our ability to successfully manufacture and supply our vaccine candidates for clinical trials; our ability to obtain additional capital to finance our operations; our ability to obtain, maintain and protect our intellectual property rights; developments relating to our competitors and our industry, including competing vaccine candidates; general and market conditions; and other risks and uncertainties, including those more fully described in the “Risk Factors” section of this Annual Report on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225" w:lineRule="exact"/>
        <w:rPr>
          <w:sz w:val="20"/>
          <w:szCs w:val="20"/>
          <w:color w:val="auto"/>
        </w:rPr>
      </w:pPr>
    </w:p>
    <w:p>
      <w:pPr>
        <w:ind w:right="180" w:firstLine="1175"/>
        <w:spacing w:after="0" w:line="286" w:lineRule="auto"/>
        <w:rPr>
          <w:sz w:val="20"/>
          <w:szCs w:val="20"/>
          <w:color w:val="auto"/>
        </w:rPr>
      </w:pPr>
      <w:r>
        <w:rPr>
          <w:rFonts w:ascii="Arial" w:cs="Arial" w:eastAsia="Arial" w:hAnsi="Arial"/>
          <w:sz w:val="17"/>
          <w:szCs w:val="17"/>
          <w:color w:val="auto"/>
        </w:rPr>
        <w:t>We operate and manage our business as one reportable and operating segment. Our chief executive officer, who is the chief operating decision maker, reviews financial information on an aggregate basis for purposes of allocating resources and evaluating financial performance. All of our long-lived assets are based in the United States. Long-lived assets are comprised of property and equipment.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00" w:firstLine="1175"/>
        <w:spacing w:after="0" w:line="263" w:lineRule="auto"/>
        <w:rPr>
          <w:sz w:val="20"/>
          <w:szCs w:val="20"/>
          <w:color w:val="auto"/>
        </w:rPr>
      </w:pPr>
      <w:r>
        <w:rPr>
          <w:rFonts w:ascii="Arial" w:cs="Arial" w:eastAsia="Arial" w:hAnsi="Arial"/>
          <w:sz w:val="18"/>
          <w:szCs w:val="18"/>
          <w:color w:val="auto"/>
        </w:rPr>
        <w:t>We consider all highly liquid investments purchased with a maturity of three months or less at the date of purchase to be cash equivalents. As of December 31, 2020 and 2019, cash and cash equivalents consisted of cash and investments in short-term money market funds. Interest income reflected in the statements of operations consists primarily of interest received on the money market funds.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ind w:right="120" w:firstLine="1175"/>
        <w:spacing w:after="0" w:line="255" w:lineRule="auto"/>
        <w:rPr>
          <w:sz w:val="20"/>
          <w:szCs w:val="20"/>
          <w:color w:val="auto"/>
        </w:rPr>
      </w:pPr>
      <w:r>
        <w:rPr>
          <w:rFonts w:ascii="Arial" w:cs="Arial" w:eastAsia="Arial" w:hAnsi="Arial"/>
          <w:sz w:val="18"/>
          <w:szCs w:val="18"/>
          <w:color w:val="auto"/>
        </w:rPr>
        <w:t>Deferred offering costs consist of fees and expenses incurred in connection with the sale of our common stock in equity transactions, including legal, accounting, printing and other issuance-related costs. Prior to the completion of equity transactions, deferred offering costs were included in Other assets on the balance sheet. In connection with and as of the closing of equity transactions, these costs would be reclassified to Additional paid-in capital, representing a reduction to the gross proceeds. As of December 31, 2020, $3.4 million of IPO-related costs are included in the Additional paid-in capital line item on the balance sheet. As of December 31, 2020 and 2019, $0.1 million and $1.1 million of deferred offering costs, respectively, were included in Other assets on the balance sheet.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right="20" w:firstLine="1175"/>
        <w:spacing w:after="0" w:line="296"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using the straight-line method over the estimated useful lives of the assets, generally three to five years. Leasehold improvements are amortized over the shorter of the expected life or lease term. Repairs and maintenance expenditures, which are not considered improvements and do not extend the useful life of property and equipment, are expensed as incurred. When assets are retired or otherwise disposed of, the cost and related accumulated depreciation and amortization are removed from the balance sheet and the resulting gain or loss is reflected in the statements of operations and comprehensive loss in the period realized.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firstLine="1175"/>
        <w:spacing w:after="0" w:line="296" w:lineRule="auto"/>
        <w:rPr>
          <w:sz w:val="20"/>
          <w:szCs w:val="20"/>
          <w:color w:val="auto"/>
        </w:rPr>
      </w:pPr>
      <w:r>
        <w:rPr>
          <w:rFonts w:ascii="Arial" w:cs="Arial" w:eastAsia="Arial" w:hAnsi="Arial"/>
          <w:sz w:val="16"/>
          <w:szCs w:val="16"/>
          <w:color w:val="auto"/>
        </w:rPr>
        <w:t>We review long-lived assets for impairment whenever events or changes in circumstances indicate that the carrying amount of an asset may not be recoverable. Recoverability is measured by comparing the carrying amount to the future undiscounted net cash flows which the assets are expected to generate. If such assets are considered to be impaired, the impairment to be recognized is measured as the amount by which the carrying amount of the assets exceeds the projected discounted future net cash flows generated by the assets. There were $0.3 million of impairments of long-lived assets during the year ended December 31, 2020 and no impairments of long-lived assets in either the year ended December 31, 2019 or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40" w:firstLine="1175"/>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The carrying amounts of our financial instruments, including cash and cash equivalents, prepaid and other current assets, accounts payable, accrued expenses, and other liabilities, approximate fair value due to their short-term maturities. Prior to their automatic conversion upon our IPO in June 2020, the redeemable convertible preferred stock tranche liability and redeemable convertible preferred stock warrant were carried at fair value (see Note 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80" w:firstLine="1175"/>
        <w:spacing w:after="0" w:line="279" w:lineRule="auto"/>
        <w:rPr>
          <w:sz w:val="20"/>
          <w:szCs w:val="20"/>
          <w:color w:val="auto"/>
        </w:rPr>
      </w:pPr>
      <w:r>
        <w:rPr>
          <w:rFonts w:ascii="Arial" w:cs="Arial" w:eastAsia="Arial" w:hAnsi="Arial"/>
          <w:sz w:val="17"/>
          <w:szCs w:val="17"/>
          <w:color w:val="auto"/>
        </w:rPr>
        <w:t>Research and development costs are expensed as incurred. Research and development costs include salaries, stock-based compensation, and benefits for employees performing research and development activities, an allocation of facility and overhead expenses, expenses incurred under agreements with consultants, CMO, contract research organizations (“CROs”) and investigative sites that conduct preclinical studies, other supplies and costs associated with product development efforts, preclinical activities and regulatory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Accrued Research and Development</w:t>
      </w:r>
    </w:p>
    <w:p>
      <w:pPr>
        <w:spacing w:after="0" w:line="225" w:lineRule="exact"/>
        <w:rPr>
          <w:sz w:val="20"/>
          <w:szCs w:val="20"/>
          <w:color w:val="auto"/>
        </w:rPr>
      </w:pPr>
    </w:p>
    <w:p>
      <w:pPr>
        <w:ind w:firstLine="1175"/>
        <w:spacing w:after="0" w:line="293" w:lineRule="auto"/>
        <w:rPr>
          <w:sz w:val="20"/>
          <w:szCs w:val="20"/>
          <w:color w:val="auto"/>
        </w:rPr>
      </w:pPr>
      <w:r>
        <w:rPr>
          <w:rFonts w:ascii="Arial" w:cs="Arial" w:eastAsia="Arial" w:hAnsi="Arial"/>
          <w:sz w:val="16"/>
          <w:szCs w:val="16"/>
          <w:color w:val="auto"/>
        </w:rPr>
        <w:t>We have entered into various agreements with CROs and CMOs. Our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on the balance sheet. If the actual timing of the performance of services or the level of effort varies from the original estimates, we will adjust the accrual accordingly. Payments made to CROs or CMOs under these arrangements in advance of the performance of the related services are recorded as prepaid expenses and other current assets until the services are rendered. To date, there have been no material differences between our estimates of such expenses and the amounts actually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1175"/>
        <w:spacing w:after="0" w:line="259" w:lineRule="auto"/>
        <w:rPr>
          <w:sz w:val="20"/>
          <w:szCs w:val="20"/>
          <w:color w:val="auto"/>
        </w:rPr>
      </w:pPr>
      <w:r>
        <w:rPr>
          <w:rFonts w:ascii="Arial" w:cs="Arial" w:eastAsia="Arial" w:hAnsi="Arial"/>
          <w:sz w:val="18"/>
          <w:szCs w:val="18"/>
          <w:color w:val="auto"/>
        </w:rPr>
        <w:t>We account for income taxes using the asset and liability method. We recognize deferred tax assets and liabilities for the expected future tax consequences of events that have been included in the financial statements or tax returns. Deferred tax assets and liabilities are determined based on the difference between the financial statements and tax basis of assets and liabilities using enacted tax rates in effect for the year in which the differences are expected to reverse.</w:t>
      </w:r>
    </w:p>
    <w:p>
      <w:pPr>
        <w:spacing w:after="0" w:line="187" w:lineRule="exact"/>
        <w:rPr>
          <w:sz w:val="20"/>
          <w:szCs w:val="20"/>
          <w:color w:val="auto"/>
        </w:rPr>
      </w:pPr>
    </w:p>
    <w:p>
      <w:pPr>
        <w:ind w:right="100" w:firstLine="1175"/>
        <w:spacing w:after="0" w:line="273" w:lineRule="auto"/>
        <w:rPr>
          <w:sz w:val="20"/>
          <w:szCs w:val="20"/>
          <w:color w:val="auto"/>
        </w:rPr>
      </w:pPr>
      <w:r>
        <w:rPr>
          <w:rFonts w:ascii="Arial" w:cs="Arial" w:eastAsia="Arial" w:hAnsi="Arial"/>
          <w:sz w:val="17"/>
          <w:szCs w:val="17"/>
          <w:color w:val="auto"/>
        </w:rPr>
        <w:t>In evaluating the ability to recover our deferred income tax assets, we consider all available positive and negative evidence, including our operating results, ongoing tax planning and forecasts of future taxable income on a jurisdiction-by-jurisdiction basis. In the event we determine that we would be able to realize our deferred income tax assets in the future in excess of their net recorded amount, we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December 31, 2020 and 2019, we have recorded a full valuation allowance on our deferred tax assets.</w:t>
      </w:r>
    </w:p>
    <w:p>
      <w:pPr>
        <w:spacing w:after="0" w:line="178" w:lineRule="exact"/>
        <w:rPr>
          <w:sz w:val="20"/>
          <w:szCs w:val="20"/>
          <w:color w:val="auto"/>
        </w:rPr>
      </w:pPr>
    </w:p>
    <w:p>
      <w:pPr>
        <w:ind w:right="100" w:firstLine="1175"/>
        <w:spacing w:after="0" w:line="277" w:lineRule="auto"/>
        <w:rPr>
          <w:sz w:val="20"/>
          <w:szCs w:val="20"/>
          <w:color w:val="auto"/>
        </w:rPr>
      </w:pPr>
      <w:r>
        <w:rPr>
          <w:rFonts w:ascii="Arial" w:cs="Arial" w:eastAsia="Arial" w:hAnsi="Arial"/>
          <w:sz w:val="18"/>
          <w:szCs w:val="18"/>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firstLine="1175"/>
        <w:spacing w:after="0" w:line="257" w:lineRule="auto"/>
        <w:rPr>
          <w:sz w:val="20"/>
          <w:szCs w:val="20"/>
          <w:color w:val="auto"/>
        </w:rPr>
      </w:pPr>
      <w:r>
        <w:rPr>
          <w:rFonts w:ascii="Arial" w:cs="Arial" w:eastAsia="Arial" w:hAnsi="Arial"/>
          <w:sz w:val="18"/>
          <w:szCs w:val="18"/>
          <w:color w:val="auto"/>
        </w:rPr>
        <w:t>For options granted to employees, non-employees, and directors, stock-based compensation is measured at grant date based on the fair value of the award. We determine the grant-date fair value of the options using the Black-Scholes option-pricing model. The grant-date fair value of awards is amortized over the employees’ requisite service period or the non-employees’ vesting period as the goods are received or services rendered. Forfeitures are accounted for as they occur. Additionally, our 2020 Employee Stock Purchase Plan is deemed to be a compensatory plan and is therefore included in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680" w:firstLine="1175"/>
        <w:spacing w:after="0" w:line="342" w:lineRule="auto"/>
        <w:rPr>
          <w:sz w:val="20"/>
          <w:szCs w:val="20"/>
          <w:color w:val="auto"/>
        </w:rPr>
      </w:pPr>
      <w:r>
        <w:rPr>
          <w:rFonts w:ascii="Arial" w:cs="Arial" w:eastAsia="Arial" w:hAnsi="Arial"/>
          <w:sz w:val="16"/>
          <w:szCs w:val="16"/>
          <w:color w:val="auto"/>
        </w:rPr>
        <w:t>Comprehensive loss includes all changes in equity (net assets) during a period from non-owner sources. There have been no items qualifying as other comprehensive income or loss, and as such, comprehensive loss was the same as net loss for the periods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ind w:right="20" w:firstLine="1175"/>
        <w:spacing w:after="0" w:line="263" w:lineRule="auto"/>
        <w:rPr>
          <w:sz w:val="20"/>
          <w:szCs w:val="20"/>
          <w:color w:val="auto"/>
        </w:rPr>
      </w:pPr>
      <w:r>
        <w:rPr>
          <w:rFonts w:ascii="Arial" w:cs="Arial" w:eastAsia="Arial" w:hAnsi="Arial"/>
          <w:sz w:val="18"/>
          <w:szCs w:val="18"/>
          <w:color w:val="auto"/>
        </w:rPr>
        <w:t>Transactions denominated in foreign currencies are initially measured in U.S. dollars using the exchange rate on the date of the transaction. Foreign currency denominated monetary assets and liabilities are subsequently re-measured at the end of each reporting period using the exchange rate at that date, with the corresponding foreign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1" w:name="page132"/>
    <w:bookmarkEnd w:id="131"/>
    <w:p>
      <w:pPr>
        <w:ind w:right="220"/>
        <w:spacing w:after="0" w:line="277" w:lineRule="auto"/>
        <w:rPr>
          <w:sz w:val="20"/>
          <w:szCs w:val="20"/>
          <w:color w:val="auto"/>
        </w:rPr>
      </w:pPr>
      <w:r>
        <w:rPr>
          <w:rFonts w:ascii="Arial" w:cs="Arial" w:eastAsia="Arial" w:hAnsi="Arial"/>
          <w:sz w:val="18"/>
          <w:szCs w:val="18"/>
          <w:color w:val="auto"/>
        </w:rPr>
        <w:t>currency transaction gain or loss recorded in the statements of operations and comprehensive loss and statements of cash flows. Nonmonetary assets and liabilities are not subsequently re-measured.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60" w:firstLine="1175"/>
        <w:spacing w:after="0" w:line="275" w:lineRule="auto"/>
        <w:rPr>
          <w:sz w:val="20"/>
          <w:szCs w:val="20"/>
          <w:color w:val="auto"/>
        </w:rPr>
      </w:pPr>
      <w:r>
        <w:rPr>
          <w:rFonts w:ascii="Arial" w:cs="Arial" w:eastAsia="Arial" w:hAnsi="Arial"/>
          <w:sz w:val="17"/>
          <w:szCs w:val="17"/>
          <w:color w:val="auto"/>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redeemable convertible preferred stock warrant, common stock subject to repurchase, and stock options are considered to be potentially dilutive securities.</w:t>
      </w:r>
    </w:p>
    <w:p>
      <w:pPr>
        <w:spacing w:after="0" w:line="176" w:lineRule="exact"/>
        <w:rPr>
          <w:sz w:val="20"/>
          <w:szCs w:val="20"/>
          <w:color w:val="auto"/>
        </w:rPr>
      </w:pPr>
    </w:p>
    <w:p>
      <w:pPr>
        <w:ind w:right="60" w:firstLine="1175"/>
        <w:spacing w:after="0" w:line="279" w:lineRule="auto"/>
        <w:rPr>
          <w:sz w:val="20"/>
          <w:szCs w:val="20"/>
          <w:color w:val="auto"/>
        </w:rPr>
      </w:pPr>
      <w:r>
        <w:rPr>
          <w:rFonts w:ascii="Arial" w:cs="Arial" w:eastAsia="Arial" w:hAnsi="Arial"/>
          <w:sz w:val="17"/>
          <w:szCs w:val="17"/>
          <w:color w:val="auto"/>
        </w:rPr>
        <w:t>Basic and diluted net loss attributable to common stockholders per share is presented in conformity with the two-class method required for participating securities as the redeemable convertible preferred stock is considered a participating security. Our participating securities do not have a contractual obligation to share in our losses. As such, the net loss was attributed entirely to common stockholders. Because we have reported a net loss for all periods presented, diluted net loss per common share is the same as basic net loss per common share for those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firstLine="1175"/>
        <w:spacing w:after="0" w:line="290" w:lineRule="auto"/>
        <w:rPr>
          <w:sz w:val="20"/>
          <w:szCs w:val="20"/>
          <w:color w:val="auto"/>
        </w:rPr>
      </w:pPr>
      <w:r>
        <w:rPr>
          <w:rFonts w:ascii="Arial" w:cs="Arial" w:eastAsia="Arial" w:hAnsi="Arial"/>
          <w:sz w:val="16"/>
          <w:szCs w:val="16"/>
          <w:color w:val="auto"/>
        </w:rPr>
        <w:t xml:space="preserve">In June 2018, the Financial Accounting Standards Board (“FASB”) issued Accounting Standards Update (“ASU”) No.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which simplifies the accounting for share-based payments granted to non-employees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goods and services. This standard expands the scope of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to include share-based payments issued to non-employees for goods and services. Consequently, the accounting for share-based payments to non-employees and employees was substantially aligned. The ASU supersedes Subtopic 505-50, </w:t>
      </w:r>
      <w:r>
        <w:rPr>
          <w:rFonts w:ascii="Arial" w:cs="Arial" w:eastAsia="Arial" w:hAnsi="Arial"/>
          <w:sz w:val="16"/>
          <w:szCs w:val="16"/>
          <w:i w:val="1"/>
          <w:iCs w:val="1"/>
          <w:color w:val="auto"/>
        </w:rPr>
        <w:t>Equity</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This standard is effective for fiscal years beginning after December 15, 2019 and interim periods within fiscal years beginning after December 15, 2020. The standard should be adopted on a modified retrospective basis which recognizes a cumulative-effect adjustment to the opening balance of retained earnings in the period of adoption. We adopted this ASU as of January 1, 2020. The adoption of this ASU had no material impact on our financial statements or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Pronouncements—Not Yet Adopted</w:t>
      </w:r>
    </w:p>
    <w:p>
      <w:pPr>
        <w:spacing w:after="0" w:line="225" w:lineRule="exact"/>
        <w:rPr>
          <w:sz w:val="20"/>
          <w:szCs w:val="20"/>
          <w:color w:val="auto"/>
        </w:rPr>
      </w:pPr>
    </w:p>
    <w:p>
      <w:pPr>
        <w:ind w:right="80" w:firstLine="1175"/>
        <w:spacing w:after="0" w:line="25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 was subsequently amended by ASU 2018-01, ASU 2018-10, ASU 2018-11, ASU 2018-20, ASU 2019-01, ASU 2019-10 and ASU 2020-05, which the FASB issued in January 2018, July 2018, July 2018, December 2018, March 2019, November 2019 and June 2020, respectively (collectively, the “ASC 842”). ASC 842 requires lessees to recognize leases on the balance sheet and disclose key information about leasing arrangements. The new standard establishes a right-of-use (“ROU”) model that requires a lessee to recognize a ROU asset and a lease liability on the balance sheet for all leases with a term longer than 12 months. Under ASC 842, leases will be classified as either finance leases or operating leases, with classification affecting the pattern and classification of expense recognition in the income statement.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2" w:name="page133"/>
    <w:bookmarkEnd w:id="132"/>
    <w:p>
      <w:pPr>
        <w:ind w:right="120" w:firstLine="1175"/>
        <w:spacing w:after="0" w:line="287" w:lineRule="auto"/>
        <w:rPr>
          <w:sz w:val="20"/>
          <w:szCs w:val="20"/>
          <w:color w:val="auto"/>
        </w:rPr>
      </w:pPr>
      <w:r>
        <w:rPr>
          <w:rFonts w:ascii="Arial" w:cs="Arial" w:eastAsia="Arial" w:hAnsi="Arial"/>
          <w:sz w:val="16"/>
          <w:szCs w:val="16"/>
          <w:color w:val="auto"/>
        </w:rPr>
        <w:t>The new standard is effective for us on January 1, 2022, with early adoption permitted. We early adopted the new standard effective January 1, 2021 using the modified retrospective transition approach. We have completed a substantial portion of our evaluation of the effect of adopting ASC 842 on our financial statements. Upon adoption on January 1, 2021, we expect to recognize right-of-use assets and lease liabilities totaling approximately $1.0 million and $1.0 million, respectively, to reflect the present value of remaining lease payments under existing lease arrangements. The difference between the leased assets and lease liabilities represents the existing deferred rent liabilities balance, resulting from historical straight-lining of operating leases, which will be effectively reclassified upon adoption to reduce the measurement of the leased assets. The balance of our deferred rent liabilities to be reclassified to reduce the ROU assets upon adoption is immaterial. While the recognition of the lease assets and liabilities will impact the balance sheet, we do not expect a material impact on our statement of operations and comprehensive loss or cash flows. We will apply the modified retrospective transition approach and will not recast prior periods. Although we are applying this approach, we do not expect to record a cumulative effect adjustment to the opening balance of retained earnings upon adoption. As permitted by the standard, we will elect the transition practical expedient package, which among other things, allows the carryforward of historical lease classifications.</w:t>
      </w:r>
    </w:p>
    <w:p>
      <w:pPr>
        <w:spacing w:after="0" w:line="172" w:lineRule="exact"/>
        <w:rPr>
          <w:sz w:val="20"/>
          <w:szCs w:val="20"/>
          <w:color w:val="auto"/>
        </w:rPr>
      </w:pPr>
    </w:p>
    <w:p>
      <w:pPr>
        <w:ind w:right="20" w:firstLine="1175"/>
        <w:spacing w:after="0" w:line="30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The amendments in ASU 2019-12 simplify the accounting for income taxes by removing certain exceptions to the general principles in Topic 740. The amendments also improve consistent application of and simplify U.S. GAAP or other areas of Topic 740 by clarifying and amending existing guidance. The new standard is effective for us on January 1, 2021 and for interim periods within 2021. We do not expect adoption of ASU 2019-12 will have a material impact on our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 and Fair Value of Financial Instruments</w:t>
      </w:r>
    </w:p>
    <w:p>
      <w:pPr>
        <w:spacing w:after="0" w:line="229" w:lineRule="exact"/>
        <w:rPr>
          <w:sz w:val="20"/>
          <w:szCs w:val="20"/>
          <w:color w:val="auto"/>
        </w:rPr>
      </w:pPr>
    </w:p>
    <w:p>
      <w:pPr>
        <w:ind w:right="60" w:firstLine="1175"/>
        <w:spacing w:after="0" w:line="271" w:lineRule="auto"/>
        <w:rPr>
          <w:sz w:val="20"/>
          <w:szCs w:val="20"/>
          <w:color w:val="auto"/>
        </w:rPr>
      </w:pPr>
      <w:r>
        <w:rPr>
          <w:rFonts w:ascii="Arial" w:cs="Arial" w:eastAsia="Arial" w:hAnsi="Arial"/>
          <w:sz w:val="17"/>
          <w:szCs w:val="17"/>
          <w:color w:val="auto"/>
        </w:rPr>
        <w:t>Assets and liabilities recorded at fair value on a recurring basis in the balance sheets, as well as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reporting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ind w:left="1180" w:right="340"/>
        <w:spacing w:after="0" w:line="263" w:lineRule="auto"/>
        <w:rPr>
          <w:sz w:val="20"/>
          <w:szCs w:val="20"/>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identical or similar assets or liabilities in markets that are not active, or other inputs that are observable or can be corroborated by observable market data for substantially the full term of the related assets or liabilities; and</w:t>
      </w:r>
    </w:p>
    <w:p>
      <w:pPr>
        <w:spacing w:after="0" w:line="180" w:lineRule="exact"/>
        <w:rPr>
          <w:sz w:val="20"/>
          <w:szCs w:val="20"/>
          <w:color w:val="auto"/>
        </w:rPr>
      </w:pPr>
    </w:p>
    <w:p>
      <w:pPr>
        <w:ind w:left="1180" w:right="60"/>
        <w:spacing w:after="0" w:line="282" w:lineRule="auto"/>
        <w:rPr>
          <w:sz w:val="20"/>
          <w:szCs w:val="20"/>
          <w:color w:val="auto"/>
        </w:rPr>
      </w:pPr>
      <w:r>
        <w:rPr>
          <w:rFonts w:ascii="Arial" w:cs="Arial" w:eastAsia="Arial" w:hAnsi="Arial"/>
          <w:sz w:val="18"/>
          <w:szCs w:val="18"/>
          <w:b w:val="1"/>
          <w:bCs w:val="1"/>
          <w:i w:val="1"/>
          <w:iCs w:val="1"/>
          <w:color w:val="auto"/>
        </w:rPr>
        <w:t>Level 3</w:t>
      </w:r>
      <w:r>
        <w:rPr>
          <w:rFonts w:ascii="Arial" w:cs="Arial" w:eastAsia="Arial" w:hAnsi="Arial"/>
          <w:sz w:val="18"/>
          <w:szCs w:val="18"/>
          <w:b w:val="1"/>
          <w:bCs w:val="1"/>
          <w:color w:val="auto"/>
        </w:rPr>
        <w:t>—</w:t>
      </w:r>
      <w:r>
        <w:rPr>
          <w:rFonts w:ascii="Arial" w:cs="Arial" w:eastAsia="Arial" w:hAnsi="Arial"/>
          <w:sz w:val="18"/>
          <w:szCs w:val="18"/>
          <w:color w:val="auto"/>
        </w:rPr>
        <w:t>Unobservable inputs that are significant to the measurement of the fair value of the assets or liabilities that are supported by little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no market data.</w:t>
      </w:r>
    </w:p>
    <w:p>
      <w:pPr>
        <w:spacing w:after="0" w:line="166" w:lineRule="exact"/>
        <w:rPr>
          <w:sz w:val="20"/>
          <w:szCs w:val="20"/>
          <w:color w:val="auto"/>
        </w:rPr>
      </w:pPr>
    </w:p>
    <w:p>
      <w:pPr>
        <w:ind w:firstLine="1175"/>
        <w:spacing w:after="0" w:line="257"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Our assessment of the significance of a particular input to the fair value measurement in its entirety requires management to make judgments and consider factors specific to the asset or liability. Changes in the ability to observe valuation inputs may result in a reclassification of levels of certain securities within the fair value hierarchy. We recognize transfers into and out of levels within the fair value hierarchy in the period in which the actual event or change in circumstances that caused the transfer occurs.</w:t>
      </w:r>
    </w:p>
    <w:p>
      <w:pPr>
        <w:spacing w:after="0" w:line="188" w:lineRule="exact"/>
        <w:rPr>
          <w:sz w:val="20"/>
          <w:szCs w:val="20"/>
          <w:color w:val="auto"/>
        </w:rPr>
      </w:pPr>
    </w:p>
    <w:p>
      <w:pPr>
        <w:ind w:right="260" w:firstLine="1175"/>
        <w:spacing w:after="0" w:line="277" w:lineRule="auto"/>
        <w:rPr>
          <w:sz w:val="20"/>
          <w:szCs w:val="20"/>
          <w:color w:val="auto"/>
        </w:rPr>
      </w:pPr>
      <w:r>
        <w:rPr>
          <w:rFonts w:ascii="Arial" w:cs="Arial" w:eastAsia="Arial" w:hAnsi="Arial"/>
          <w:sz w:val="18"/>
          <w:szCs w:val="18"/>
          <w:color w:val="auto"/>
        </w:rPr>
        <w:t>Level 1 securities consist of highly liquid money market funds for which the carrying amounts approximate their fair values due to their short maturities. Level 3 liabilities that are measured at fair value on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3" w:name="page134"/>
    <w:bookmarkEnd w:id="133"/>
    <w:p>
      <w:pPr>
        <w:ind w:right="40"/>
        <w:spacing w:after="0" w:line="301" w:lineRule="auto"/>
        <w:rPr>
          <w:sz w:val="20"/>
          <w:szCs w:val="20"/>
          <w:color w:val="auto"/>
        </w:rPr>
      </w:pPr>
      <w:r>
        <w:rPr>
          <w:rFonts w:ascii="Arial" w:cs="Arial" w:eastAsia="Arial" w:hAnsi="Arial"/>
          <w:sz w:val="16"/>
          <w:szCs w:val="16"/>
          <w:color w:val="auto"/>
        </w:rPr>
        <w:t>recurring basis include the redeemable convertible preferred stock warrant. The redeemable convertible preferred stock warrant was measured using an option pricing method by estimating the value using the Black-Scholes model. The inputs used in the Black-Scholes model included the value of the redeemable convertible preferred stock, the risk-free interest rate, the expected term of the instrument and the expected volatility. There was no outstanding redeemable convertible preferred stock warrant as of December 31, 2020. Below are inputs used for the Level 3 liability as of December 31,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8"/>
              </w:rPr>
              <w:t>December 31, 2019</w:t>
            </w:r>
          </w:p>
        </w:tc>
      </w:tr>
      <w:tr>
        <w:trPr>
          <w:trHeight w:val="205"/>
        </w:trPr>
        <w:tc>
          <w:tcPr>
            <w:tcW w:w="8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tcPr>
          <w:p>
            <w:pPr>
              <w:jc w:val="center"/>
              <w:ind w:right="370"/>
              <w:spacing w:after="0" w:line="205" w:lineRule="exact"/>
              <w:rPr>
                <w:sz w:val="20"/>
                <w:szCs w:val="20"/>
                <w:color w:val="auto"/>
              </w:rPr>
            </w:pPr>
            <w:r>
              <w:rPr>
                <w:rFonts w:ascii="Arial" w:cs="Arial" w:eastAsia="Arial" w:hAnsi="Arial"/>
                <w:sz w:val="18"/>
                <w:szCs w:val="18"/>
                <w:b w:val="1"/>
                <w:bCs w:val="1"/>
                <w:color w:val="auto"/>
                <w:w w:val="88"/>
              </w:rPr>
              <w:t>Redeemable</w:t>
            </w:r>
          </w:p>
        </w:tc>
      </w:tr>
      <w:tr>
        <w:trPr>
          <w:trHeight w:val="216"/>
        </w:trPr>
        <w:tc>
          <w:tcPr>
            <w:tcW w:w="8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tcPr>
          <w:p>
            <w:pPr>
              <w:jc w:val="center"/>
              <w:ind w:right="350"/>
              <w:spacing w:after="0"/>
              <w:rPr>
                <w:sz w:val="20"/>
                <w:szCs w:val="20"/>
                <w:color w:val="auto"/>
              </w:rPr>
            </w:pPr>
            <w:r>
              <w:rPr>
                <w:rFonts w:ascii="Arial" w:cs="Arial" w:eastAsia="Arial" w:hAnsi="Arial"/>
                <w:sz w:val="18"/>
                <w:szCs w:val="18"/>
                <w:b w:val="1"/>
                <w:bCs w:val="1"/>
                <w:color w:val="auto"/>
                <w:w w:val="92"/>
              </w:rPr>
              <w:t>Convertible</w:t>
            </w:r>
          </w:p>
        </w:tc>
      </w:tr>
      <w:tr>
        <w:trPr>
          <w:trHeight w:val="216"/>
        </w:trPr>
        <w:tc>
          <w:tcPr>
            <w:tcW w:w="8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Preferred</w:t>
            </w:r>
          </w:p>
        </w:tc>
      </w:tr>
      <w:tr>
        <w:trPr>
          <w:trHeight w:val="234"/>
        </w:trPr>
        <w:tc>
          <w:tcPr>
            <w:tcW w:w="87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3"/>
              </w:rPr>
              <w:t>Stock Warrant</w:t>
            </w:r>
          </w:p>
        </w:tc>
      </w:tr>
      <w:tr>
        <w:trPr>
          <w:trHeight w:val="223"/>
        </w:trPr>
        <w:tc>
          <w:tcPr>
            <w:tcW w:w="8740" w:type="dxa"/>
            <w:vAlign w:val="bottom"/>
            <w:shd w:val="clear" w:color="auto" w:fill="CFF0FC"/>
          </w:tcPr>
          <w:p>
            <w:pPr>
              <w:spacing w:after="0"/>
              <w:rPr>
                <w:sz w:val="20"/>
                <w:szCs w:val="20"/>
                <w:color w:val="auto"/>
              </w:rPr>
            </w:pPr>
            <w:r>
              <w:rPr>
                <w:rFonts w:ascii="Arial" w:cs="Arial" w:eastAsia="Arial" w:hAnsi="Arial"/>
                <w:sz w:val="18"/>
                <w:szCs w:val="18"/>
                <w:color w:val="auto"/>
              </w:rPr>
              <w:t>Value of Series C Redeemable Preferred Stock Per Share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FF0FC"/>
          </w:tcPr>
          <w:p>
            <w:pPr>
              <w:ind w:left="1740"/>
              <w:spacing w:after="0"/>
              <w:rPr>
                <w:sz w:val="20"/>
                <w:szCs w:val="20"/>
                <w:color w:val="auto"/>
              </w:rPr>
            </w:pPr>
            <w:r>
              <w:rPr>
                <w:rFonts w:ascii="Arial" w:cs="Arial" w:eastAsia="Arial" w:hAnsi="Arial"/>
                <w:sz w:val="18"/>
                <w:szCs w:val="18"/>
                <w:color w:val="auto"/>
              </w:rPr>
              <w:t>6.82</w:t>
            </w:r>
          </w:p>
        </w:tc>
      </w:tr>
      <w:tr>
        <w:trPr>
          <w:trHeight w:val="229"/>
        </w:trPr>
        <w:tc>
          <w:tcPr>
            <w:tcW w:w="8740" w:type="dxa"/>
            <w:vAlign w:val="bottom"/>
          </w:tcPr>
          <w:p>
            <w:pPr>
              <w:spacing w:after="0"/>
              <w:rPr>
                <w:sz w:val="20"/>
                <w:szCs w:val="20"/>
                <w:color w:val="auto"/>
              </w:rPr>
            </w:pPr>
            <w:r>
              <w:rPr>
                <w:rFonts w:ascii="Arial" w:cs="Arial" w:eastAsia="Arial" w:hAnsi="Arial"/>
                <w:sz w:val="18"/>
                <w:szCs w:val="18"/>
                <w:color w:val="auto"/>
              </w:rPr>
              <w:t>Risk-Free Rate</w:t>
            </w:r>
          </w:p>
        </w:tc>
        <w:tc>
          <w:tcPr>
            <w:tcW w:w="260" w:type="dxa"/>
            <w:vAlign w:val="bottom"/>
          </w:tcPr>
          <w:p>
            <w:pPr>
              <w:spacing w:after="0"/>
              <w:rPr>
                <w:sz w:val="19"/>
                <w:szCs w:val="19"/>
                <w:color w:val="auto"/>
              </w:rPr>
            </w:pPr>
          </w:p>
        </w:tc>
        <w:tc>
          <w:tcPr>
            <w:tcW w:w="2240" w:type="dxa"/>
            <w:vAlign w:val="bottom"/>
          </w:tcPr>
          <w:p>
            <w:pPr>
              <w:ind w:left="1740"/>
              <w:spacing w:after="0"/>
              <w:rPr>
                <w:sz w:val="20"/>
                <w:szCs w:val="20"/>
                <w:color w:val="auto"/>
              </w:rPr>
            </w:pPr>
            <w:r>
              <w:rPr>
                <w:rFonts w:ascii="Arial" w:cs="Arial" w:eastAsia="Arial" w:hAnsi="Arial"/>
                <w:sz w:val="18"/>
                <w:szCs w:val="18"/>
                <w:color w:val="auto"/>
                <w:w w:val="93"/>
              </w:rPr>
              <w:t>1.90%</w:t>
            </w:r>
          </w:p>
        </w:tc>
      </w:tr>
      <w:tr>
        <w:trPr>
          <w:trHeight w:val="230"/>
        </w:trPr>
        <w:tc>
          <w:tcPr>
            <w:tcW w:w="87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260" w:type="dxa"/>
            <w:vAlign w:val="bottom"/>
            <w:shd w:val="clear" w:color="auto" w:fill="CFF0FC"/>
          </w:tcPr>
          <w:p>
            <w:pPr>
              <w:spacing w:after="0"/>
              <w:rPr>
                <w:sz w:val="19"/>
                <w:szCs w:val="19"/>
                <w:color w:val="auto"/>
              </w:rPr>
            </w:pPr>
          </w:p>
        </w:tc>
        <w:tc>
          <w:tcPr>
            <w:tcW w:w="2240" w:type="dxa"/>
            <w:vAlign w:val="bottom"/>
            <w:shd w:val="clear" w:color="auto" w:fill="CFF0FC"/>
          </w:tcPr>
          <w:p>
            <w:pPr>
              <w:ind w:left="1740"/>
              <w:spacing w:after="0"/>
              <w:rPr>
                <w:sz w:val="20"/>
                <w:szCs w:val="20"/>
                <w:color w:val="auto"/>
              </w:rPr>
            </w:pPr>
            <w:r>
              <w:rPr>
                <w:rFonts w:ascii="Arial" w:cs="Arial" w:eastAsia="Arial" w:hAnsi="Arial"/>
                <w:sz w:val="18"/>
                <w:szCs w:val="18"/>
                <w:color w:val="auto"/>
                <w:w w:val="93"/>
              </w:rPr>
              <w:t>73.5%</w:t>
            </w: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Term in Years</w:t>
            </w:r>
          </w:p>
        </w:tc>
        <w:tc>
          <w:tcPr>
            <w:tcW w:w="260" w:type="dxa"/>
            <w:vAlign w:val="bottom"/>
          </w:tcPr>
          <w:p>
            <w:pPr>
              <w:spacing w:after="0"/>
              <w:rPr>
                <w:sz w:val="20"/>
                <w:szCs w:val="20"/>
                <w:color w:val="auto"/>
              </w:rPr>
            </w:pPr>
          </w:p>
        </w:tc>
        <w:tc>
          <w:tcPr>
            <w:tcW w:w="2240" w:type="dxa"/>
            <w:vAlign w:val="bottom"/>
          </w:tcPr>
          <w:p>
            <w:pPr>
              <w:ind w:left="1740"/>
              <w:spacing w:after="0"/>
              <w:rPr>
                <w:sz w:val="20"/>
                <w:szCs w:val="20"/>
                <w:color w:val="auto"/>
              </w:rPr>
            </w:pPr>
            <w:r>
              <w:rPr>
                <w:rFonts w:ascii="Arial" w:cs="Arial" w:eastAsia="Arial" w:hAnsi="Arial"/>
                <w:sz w:val="18"/>
                <w:szCs w:val="18"/>
                <w:color w:val="auto"/>
              </w:rPr>
              <w:t>8.42</w:t>
            </w:r>
          </w:p>
        </w:tc>
      </w:tr>
    </w:tbl>
    <w:p>
      <w:pPr>
        <w:spacing w:after="0" w:line="228" w:lineRule="exact"/>
        <w:rPr>
          <w:sz w:val="20"/>
          <w:szCs w:val="20"/>
          <w:color w:val="auto"/>
        </w:rPr>
      </w:pPr>
    </w:p>
    <w:p>
      <w:pPr>
        <w:ind w:right="60" w:firstLine="1175"/>
        <w:spacing w:after="0" w:line="277" w:lineRule="auto"/>
        <w:rPr>
          <w:sz w:val="20"/>
          <w:szCs w:val="20"/>
          <w:color w:val="auto"/>
        </w:rPr>
      </w:pPr>
      <w:r>
        <w:rPr>
          <w:rFonts w:ascii="Arial" w:cs="Arial" w:eastAsia="Arial" w:hAnsi="Arial"/>
          <w:sz w:val="18"/>
          <w:szCs w:val="18"/>
          <w:color w:val="auto"/>
        </w:rPr>
        <w:t>During the periods presented, we have not changed the manner in which we value liabilities that are measured at estimated fair value using Level 3 inputs. There were no transfers within the hierarchy during the years ended December 31, 2020, 2019 or 2018.</w:t>
      </w:r>
    </w:p>
    <w:p>
      <w:pPr>
        <w:spacing w:after="0" w:line="170" w:lineRule="exact"/>
        <w:rPr>
          <w:sz w:val="20"/>
          <w:szCs w:val="20"/>
          <w:color w:val="auto"/>
        </w:rPr>
      </w:pPr>
    </w:p>
    <w:p>
      <w:pPr>
        <w:ind w:right="140" w:firstLine="1175"/>
        <w:spacing w:after="0" w:line="277" w:lineRule="auto"/>
        <w:rPr>
          <w:sz w:val="20"/>
          <w:szCs w:val="20"/>
          <w:color w:val="auto"/>
        </w:rPr>
      </w:pPr>
      <w:r>
        <w:rPr>
          <w:rFonts w:ascii="Arial" w:cs="Arial" w:eastAsia="Arial" w:hAnsi="Arial"/>
          <w:sz w:val="18"/>
          <w:szCs w:val="18"/>
          <w:color w:val="auto"/>
        </w:rPr>
        <w:t>The following tables set forth our financial instruments measured at fair value on a recurring basis by level within the fair value hierarchy at December 31, 2020 and December 31,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b w:val="1"/>
                <w:bCs w:val="1"/>
                <w:color w:val="auto"/>
                <w:w w:val="88"/>
              </w:rPr>
              <w:t>December 31, 2020</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26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26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15"/>
                <w:szCs w:val="15"/>
                <w:color w:val="auto"/>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381,412</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381,412</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2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53"/>
        </w:trPr>
        <w:tc>
          <w:tcPr>
            <w:tcW w:w="26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b w:val="1"/>
                <w:bCs w:val="1"/>
                <w:color w:val="auto"/>
                <w:w w:val="88"/>
              </w:rPr>
              <w:t>December 31, 2019</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05"/>
        </w:trPr>
        <w:tc>
          <w:tcPr>
            <w:tcW w:w="26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205" w:lineRule="exact"/>
              <w:rPr>
                <w:sz w:val="20"/>
                <w:szCs w:val="20"/>
                <w:color w:val="auto"/>
              </w:rPr>
            </w:pPr>
            <w:r>
              <w:rPr>
                <w:rFonts w:ascii="Arial" w:cs="Arial" w:eastAsia="Arial" w:hAnsi="Arial"/>
                <w:sz w:val="18"/>
                <w:szCs w:val="18"/>
                <w:b w:val="1"/>
                <w:bCs w:val="1"/>
                <w:color w:val="auto"/>
                <w:w w:val="93"/>
              </w:rPr>
              <w:t>Total Fair</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4"/>
        </w:trPr>
        <w:tc>
          <w:tcPr>
            <w:tcW w:w="26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26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69"/>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15"/>
                <w:szCs w:val="15"/>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48,168</w:t>
            </w:r>
          </w:p>
        </w:tc>
        <w:tc>
          <w:tcPr>
            <w:tcW w:w="140" w:type="dxa"/>
            <w:vAlign w:val="bottom"/>
          </w:tcPr>
          <w:p>
            <w:pPr>
              <w:spacing w:after="0"/>
              <w:rPr>
                <w:sz w:val="23"/>
                <w:szCs w:val="23"/>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48,168</w:t>
            </w:r>
          </w:p>
        </w:tc>
        <w:tc>
          <w:tcPr>
            <w:tcW w:w="140" w:type="dxa"/>
            <w:vAlign w:val="bottom"/>
          </w:tcPr>
          <w:p>
            <w:pPr>
              <w:spacing w:after="0"/>
              <w:rPr>
                <w:sz w:val="23"/>
                <w:szCs w:val="23"/>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58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r>
      <w:tr>
        <w:trPr>
          <w:trHeight w:val="215"/>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Redeemable convertible preferred stock warrant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liability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450</w:t>
            </w:r>
          </w:p>
        </w:tc>
      </w:tr>
      <w:tr>
        <w:trPr>
          <w:trHeight w:val="20"/>
        </w:trPr>
        <w:tc>
          <w:tcPr>
            <w:tcW w:w="2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2600" w:type="dxa"/>
            <w:vAlign w:val="bottom"/>
            <w:tcBorders>
              <w:bottom w:val="single" w:sz="8" w:color="auto"/>
            </w:tcBorders>
          </w:tcPr>
          <w:p>
            <w:pPr>
              <w:spacing w:after="0"/>
              <w:rPr>
                <w:sz w:val="10"/>
                <w:szCs w:val="10"/>
                <w:color w:val="auto"/>
              </w:rPr>
            </w:pPr>
          </w:p>
        </w:tc>
        <w:tc>
          <w:tcPr>
            <w:tcW w:w="3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r>
    </w:tbl>
    <w:p>
      <w:pPr>
        <w:spacing w:after="0" w:line="26" w:lineRule="exact"/>
        <w:rPr>
          <w:sz w:val="20"/>
          <w:szCs w:val="20"/>
          <w:color w:val="auto"/>
        </w:rPr>
      </w:pPr>
    </w:p>
    <w:p>
      <w:pPr>
        <w:ind w:left="440" w:hanging="432"/>
        <w:spacing w:after="0"/>
        <w:tabs>
          <w:tab w:leader="none" w:pos="4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Included within cash and cash equivalents on the 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4" w:name="page135"/>
    <w:bookmarkEnd w:id="134"/>
    <w:p>
      <w:pPr>
        <w:ind w:right="180" w:firstLine="1175"/>
        <w:spacing w:after="0" w:line="277" w:lineRule="auto"/>
        <w:rPr>
          <w:sz w:val="20"/>
          <w:szCs w:val="20"/>
          <w:color w:val="auto"/>
        </w:rPr>
      </w:pPr>
      <w:r>
        <w:rPr>
          <w:rFonts w:ascii="Arial" w:cs="Arial" w:eastAsia="Arial" w:hAnsi="Arial"/>
          <w:sz w:val="18"/>
          <w:szCs w:val="18"/>
          <w:color w:val="auto"/>
        </w:rPr>
        <w:t>The following table provides a summary of changes in the estimated fair value of our Level 3 financial instrument, which was written off upon our IPO in June 2020. No new warrant liabilities were issued in the year ended 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center"/>
              <w:ind w:right="270"/>
              <w:spacing w:after="0"/>
              <w:rPr>
                <w:sz w:val="20"/>
                <w:szCs w:val="20"/>
                <w:color w:val="auto"/>
              </w:rPr>
            </w:pPr>
            <w:r>
              <w:rPr>
                <w:rFonts w:ascii="Arial" w:cs="Arial" w:eastAsia="Arial" w:hAnsi="Arial"/>
                <w:sz w:val="18"/>
                <w:szCs w:val="18"/>
                <w:b w:val="1"/>
                <w:bCs w:val="1"/>
                <w:color w:val="auto"/>
                <w:w w:val="96"/>
              </w:rPr>
              <w:t>Warrant</w:t>
            </w:r>
          </w:p>
        </w:tc>
      </w:tr>
      <w:tr>
        <w:trPr>
          <w:trHeight w:val="234"/>
        </w:trPr>
        <w:tc>
          <w:tcPr>
            <w:tcW w:w="60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6"/>
              </w:rPr>
              <w:t>Liability</w:t>
            </w:r>
          </w:p>
        </w:tc>
      </w:tr>
      <w:tr>
        <w:trPr>
          <w:trHeight w:val="223"/>
        </w:trPr>
        <w:tc>
          <w:tcPr>
            <w:tcW w:w="6060" w:type="dxa"/>
            <w:vAlign w:val="bottom"/>
            <w:tcBorders>
              <w:bottom w:val="single" w:sz="8" w:color="CFF0FC"/>
            </w:tcBorders>
          </w:tcPr>
          <w:p>
            <w:pPr>
              <w:spacing w:after="0"/>
              <w:rPr>
                <w:sz w:val="19"/>
                <w:szCs w:val="19"/>
                <w:color w:val="auto"/>
              </w:rPr>
            </w:pPr>
          </w:p>
        </w:tc>
        <w:tc>
          <w:tcPr>
            <w:tcW w:w="3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8"/>
              </w:rPr>
              <w:t>(in thousands)</w:t>
            </w: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Balance — December 31, 2019</w:t>
            </w:r>
          </w:p>
        </w:tc>
        <w:tc>
          <w:tcPr>
            <w:tcW w:w="3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450</w:t>
            </w:r>
          </w:p>
        </w:tc>
      </w:tr>
      <w:tr>
        <w:trPr>
          <w:trHeight w:val="229"/>
        </w:trPr>
        <w:tc>
          <w:tcPr>
            <w:tcW w:w="6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 in fair value</w:t>
            </w:r>
          </w:p>
        </w:tc>
        <w:tc>
          <w:tcPr>
            <w:tcW w:w="3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w:t>
            </w: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Balance — March 31, 2020</w:t>
            </w:r>
          </w:p>
        </w:tc>
        <w:tc>
          <w:tcPr>
            <w:tcW w:w="3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629</w:t>
            </w:r>
          </w:p>
        </w:tc>
      </w:tr>
      <w:tr>
        <w:trPr>
          <w:trHeight w:val="229"/>
        </w:trPr>
        <w:tc>
          <w:tcPr>
            <w:tcW w:w="6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Warrant liability write-off upon IPO</w:t>
            </w:r>
          </w:p>
        </w:tc>
        <w:tc>
          <w:tcPr>
            <w:tcW w:w="3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r>
      <w:tr>
        <w:trPr>
          <w:trHeight w:val="223"/>
        </w:trPr>
        <w:tc>
          <w:tcPr>
            <w:tcW w:w="6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June 30, 2020</w:t>
            </w:r>
          </w:p>
        </w:tc>
        <w:tc>
          <w:tcPr>
            <w:tcW w:w="3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60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8940" w:firstLine="8"/>
        <w:spacing w:after="0" w:line="566" w:lineRule="auto"/>
        <w:tabs>
          <w:tab w:leader="none" w:pos="18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Balance Sheet Details Property and Equipment, Net</w:t>
      </w:r>
    </w:p>
    <w:p>
      <w:pPr>
        <w:ind w:left="1180"/>
        <w:spacing w:after="0"/>
        <w:rPr>
          <w:rFonts w:ascii="Arial" w:cs="Arial" w:eastAsia="Arial" w:hAnsi="Arial"/>
          <w:sz w:val="16"/>
          <w:szCs w:val="16"/>
          <w:b w:val="1"/>
          <w:bCs w:val="1"/>
          <w:color w:val="auto"/>
        </w:rPr>
      </w:pPr>
      <w:r>
        <w:rPr>
          <w:rFonts w:ascii="Arial" w:cs="Arial" w:eastAsia="Arial" w:hAnsi="Arial"/>
          <w:sz w:val="18"/>
          <w:szCs w:val="18"/>
          <w:color w:val="auto"/>
        </w:rPr>
        <w:t>Property and equipment, net as of December 31, 2020 and 2019 consisted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Borders>
              <w:bottom w:val="single" w:sz="8" w:color="auto"/>
            </w:tcBorders>
          </w:tcPr>
          <w:p>
            <w:pPr>
              <w:spacing w:after="0"/>
              <w:rPr>
                <w:sz w:val="20"/>
                <w:szCs w:val="20"/>
                <w:color w:val="auto"/>
              </w:rPr>
            </w:pPr>
          </w:p>
        </w:tc>
      </w:tr>
      <w:tr>
        <w:trPr>
          <w:trHeight w:val="223"/>
        </w:trPr>
        <w:tc>
          <w:tcPr>
            <w:tcW w:w="77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23"/>
        </w:trPr>
        <w:tc>
          <w:tcPr>
            <w:tcW w:w="7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6"/>
              </w:rPr>
              <w:t>(in thousands)</w:t>
            </w:r>
          </w:p>
        </w:tc>
        <w:tc>
          <w:tcPr>
            <w:tcW w:w="118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397</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Computers and computer software</w:t>
            </w:r>
          </w:p>
        </w:tc>
        <w:tc>
          <w:tcPr>
            <w:tcW w:w="102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146</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4,739</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3,260</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2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1,903</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1,884</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Capital leases — lab equipment</w:t>
            </w:r>
          </w:p>
        </w:tc>
        <w:tc>
          <w:tcPr>
            <w:tcW w:w="10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686</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219</w:t>
            </w: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7,369</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6,373</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w:t>
            </w: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w:t>
            </w: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3,272</w:t>
            </w:r>
          </w:p>
        </w:tc>
        <w:tc>
          <w:tcPr>
            <w:tcW w:w="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3,391</w:t>
            </w:r>
          </w:p>
        </w:tc>
      </w:tr>
      <w:tr>
        <w:trPr>
          <w:trHeight w:val="20"/>
        </w:trPr>
        <w:tc>
          <w:tcPr>
            <w:tcW w:w="7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firstLine="1175"/>
        <w:spacing w:after="0" w:line="263" w:lineRule="auto"/>
        <w:rPr>
          <w:sz w:val="20"/>
          <w:szCs w:val="20"/>
          <w:color w:val="auto"/>
        </w:rPr>
      </w:pPr>
      <w:r>
        <w:rPr>
          <w:rFonts w:ascii="Arial" w:cs="Arial" w:eastAsia="Arial" w:hAnsi="Arial"/>
          <w:sz w:val="18"/>
          <w:szCs w:val="18"/>
          <w:color w:val="auto"/>
        </w:rPr>
        <w:t>Depreciation and amortization expense for years ended December 31, 2020, 2019 and 2018 was $1.4 million, $1.2 million and $1.0 million respectively, of which $0, $0.2 million and $0.3 million related to capital lease amortization expense for the years ended December 31, 2020, 2019 and 2018,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w:t>
      </w:r>
    </w:p>
    <w:p>
      <w:pPr>
        <w:spacing w:after="0" w:line="22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Accrued expenses as of December 31, 2020 and 2019 consisted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b w:val="1"/>
                <w:bCs w:val="1"/>
                <w:color w:val="auto"/>
                <w:w w:val="97"/>
              </w:rPr>
              <w:t>December 31,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80" w:type="dxa"/>
            <w:vAlign w:val="bottom"/>
            <w:gridSpan w:val="3"/>
          </w:tcPr>
          <w:p>
            <w:pPr>
              <w:jc w:val="right"/>
              <w:ind w:right="7"/>
              <w:spacing w:after="0"/>
              <w:rPr>
                <w:sz w:val="20"/>
                <w:szCs w:val="20"/>
                <w:color w:val="auto"/>
              </w:rPr>
            </w:pPr>
            <w:r>
              <w:rPr>
                <w:rFonts w:ascii="Arial" w:cs="Arial" w:eastAsia="Arial" w:hAnsi="Arial"/>
                <w:sz w:val="18"/>
                <w:szCs w:val="18"/>
                <w:b w:val="1"/>
                <w:bCs w:val="1"/>
                <w:color w:val="auto"/>
                <w:w w:val="95"/>
              </w:rPr>
              <w:t>(in thousands)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Preclinical studies</w:t>
            </w:r>
          </w:p>
        </w:tc>
        <w:tc>
          <w:tcPr>
            <w:tcW w:w="5200" w:type="dxa"/>
            <w:vAlign w:val="bottom"/>
            <w:gridSpan w:val="2"/>
            <w:shd w:val="clear" w:color="auto" w:fill="CFF0FC"/>
          </w:tcPr>
          <w:p>
            <w:pPr>
              <w:jc w:val="right"/>
              <w:ind w:right="858"/>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2,844</w:t>
            </w:r>
          </w:p>
        </w:tc>
        <w:tc>
          <w:tcPr>
            <w:tcW w:w="66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Professional fees</w:t>
            </w:r>
          </w:p>
        </w:tc>
        <w:tc>
          <w:tcPr>
            <w:tcW w:w="4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41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3600" w:type="dxa"/>
            <w:vAlign w:val="bottom"/>
          </w:tcPr>
          <w:p>
            <w:pPr>
              <w:ind w:left="380"/>
              <w:spacing w:after="0"/>
              <w:rPr>
                <w:sz w:val="20"/>
                <w:szCs w:val="20"/>
                <w:color w:val="auto"/>
              </w:rPr>
            </w:pPr>
            <w:r>
              <w:rPr>
                <w:rFonts w:ascii="Arial" w:cs="Arial" w:eastAsia="Arial" w:hAnsi="Arial"/>
                <w:sz w:val="18"/>
                <w:szCs w:val="18"/>
                <w:color w:val="auto"/>
              </w:rPr>
              <w:t>Total</w:t>
            </w:r>
          </w:p>
        </w:tc>
        <w:tc>
          <w:tcPr>
            <w:tcW w:w="4180" w:type="dxa"/>
            <w:vAlign w:val="bottom"/>
          </w:tcPr>
          <w:p>
            <w:pPr>
              <w:spacing w:after="0"/>
              <w:rPr>
                <w:sz w:val="19"/>
                <w:szCs w:val="19"/>
                <w:color w:val="auto"/>
              </w:rPr>
            </w:pPr>
          </w:p>
        </w:tc>
        <w:tc>
          <w:tcPr>
            <w:tcW w:w="1020" w:type="dxa"/>
            <w:vAlign w:val="bottom"/>
            <w:tcBorders>
              <w:bottom w:val="single" w:sz="8" w:color="auto"/>
            </w:tcBorders>
          </w:tcPr>
          <w:p>
            <w:pPr>
              <w:jc w:val="right"/>
              <w:ind w:right="85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3,766</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180" w:type="dxa"/>
            <w:vAlign w:val="bottom"/>
            <w:vMerge w:val="restart"/>
          </w:tcPr>
          <w:p>
            <w:pPr>
              <w:jc w:val="right"/>
              <w:ind w:right="1930"/>
              <w:spacing w:after="0"/>
              <w:rPr>
                <w:sz w:val="20"/>
                <w:szCs w:val="20"/>
                <w:color w:val="auto"/>
              </w:rPr>
            </w:pPr>
            <w:r>
              <w:rPr>
                <w:rFonts w:ascii="Arial" w:cs="Arial" w:eastAsia="Arial" w:hAnsi="Arial"/>
                <w:sz w:val="18"/>
                <w:szCs w:val="18"/>
                <w:color w:val="auto"/>
              </w:rPr>
              <w:t>130</w:t>
            </w: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0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5" w:name="page136"/>
    <w:bookmarkEnd w:id="135"/>
    <w:p>
      <w:pPr>
        <w:ind w:right="8500" w:firstLine="8"/>
        <w:spacing w:after="0" w:line="532" w:lineRule="auto"/>
        <w:tabs>
          <w:tab w:leader="none" w:pos="18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Equipment Leases</w:t>
      </w:r>
    </w:p>
    <w:p>
      <w:pPr>
        <w:spacing w:after="0" w:line="1" w:lineRule="exact"/>
        <w:rPr>
          <w:sz w:val="20"/>
          <w:szCs w:val="20"/>
          <w:color w:val="auto"/>
        </w:rPr>
      </w:pPr>
    </w:p>
    <w:p>
      <w:pPr>
        <w:ind w:right="340" w:firstLine="1175"/>
        <w:spacing w:after="0" w:line="342" w:lineRule="auto"/>
        <w:rPr>
          <w:sz w:val="20"/>
          <w:szCs w:val="20"/>
          <w:color w:val="auto"/>
        </w:rPr>
      </w:pPr>
      <w:r>
        <w:rPr>
          <w:rFonts w:ascii="Arial" w:cs="Arial" w:eastAsia="Arial" w:hAnsi="Arial"/>
          <w:sz w:val="16"/>
          <w:szCs w:val="16"/>
          <w:color w:val="auto"/>
        </w:rPr>
        <w:t>We entered into several capital lease obligations for lab equipment during 2016 and 2017. The terms of the leases were 36 months with interest rates ranging from 6.9% to 15.0%. Interest expense for the years ended December 31, 2020, 2019 and 2018 was immaterial.</w:t>
      </w:r>
    </w:p>
    <w:p>
      <w:pPr>
        <w:spacing w:after="0" w:line="124" w:lineRule="exact"/>
        <w:rPr>
          <w:sz w:val="20"/>
          <w:szCs w:val="20"/>
          <w:color w:val="auto"/>
        </w:rPr>
      </w:pPr>
    </w:p>
    <w:p>
      <w:pPr>
        <w:ind w:right="400" w:firstLine="1175"/>
        <w:spacing w:after="0" w:line="263" w:lineRule="auto"/>
        <w:rPr>
          <w:sz w:val="20"/>
          <w:szCs w:val="20"/>
          <w:color w:val="auto"/>
        </w:rPr>
      </w:pPr>
      <w:r>
        <w:rPr>
          <w:rFonts w:ascii="Arial" w:cs="Arial" w:eastAsia="Arial" w:hAnsi="Arial"/>
          <w:sz w:val="18"/>
          <w:szCs w:val="18"/>
          <w:color w:val="auto"/>
        </w:rPr>
        <w:t>The present value of the annual rental payments, including guaranteed residual value, was equal to 90% of the fair market value of the assets at the lease inception dates. The underlying assets and related amortization were included in the appropriate fixed asset category and related depreciation account, respectively.</w:t>
      </w:r>
    </w:p>
    <w:p>
      <w:pPr>
        <w:spacing w:after="0" w:line="184" w:lineRule="exact"/>
        <w:rPr>
          <w:sz w:val="20"/>
          <w:szCs w:val="20"/>
          <w:color w:val="auto"/>
        </w:rPr>
      </w:pPr>
    </w:p>
    <w:p>
      <w:pPr>
        <w:ind w:right="40" w:firstLine="1175"/>
        <w:spacing w:after="0" w:line="275" w:lineRule="auto"/>
        <w:rPr>
          <w:sz w:val="20"/>
          <w:szCs w:val="20"/>
          <w:color w:val="auto"/>
        </w:rPr>
      </w:pPr>
      <w:r>
        <w:rPr>
          <w:rFonts w:ascii="Arial" w:cs="Arial" w:eastAsia="Arial" w:hAnsi="Arial"/>
          <w:sz w:val="17"/>
          <w:szCs w:val="17"/>
          <w:color w:val="auto"/>
        </w:rPr>
        <w:t>In October 2019 and March 2020, we entered into lease buyout agreements for two pieces of lab equipment. The remaining balances of the capital lease assets for these two pieces of equipment were transferred from Capital leases — lab equipment to Lab equipment at the time of the lease buyouts (See Note 4, “Property and Equipment, Net”). The remaining capital leases had bargain purchase options and we purchased the equipment related to these leases in June 2019 and March 2020 when the leases ended. As of December 31, 2020, there was no remaining balance of lease liability on the balance sheet and there were no future minimum payments required under capital leases.</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Property and equipment, net at December 31, 2019 included the following amounts for leases that had been capitalized: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Useful Life</w:t>
            </w:r>
          </w:p>
        </w:tc>
        <w:tc>
          <w:tcPr>
            <w:tcW w:w="160" w:type="dxa"/>
            <w:vAlign w:val="bottom"/>
          </w:tcPr>
          <w:p>
            <w:pPr>
              <w:spacing w:after="0"/>
              <w:rPr>
                <w:sz w:val="18"/>
                <w:szCs w:val="18"/>
                <w:color w:val="auto"/>
              </w:rPr>
            </w:pPr>
          </w:p>
        </w:tc>
        <w:tc>
          <w:tcPr>
            <w:tcW w:w="152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720" w:type="dxa"/>
            <w:vAlign w:val="bottom"/>
          </w:tcPr>
          <w:p>
            <w:pPr>
              <w:spacing w:after="0"/>
              <w:rPr>
                <w:sz w:val="20"/>
                <w:szCs w:val="20"/>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(Years)</w:t>
            </w:r>
          </w:p>
        </w:tc>
        <w:tc>
          <w:tcPr>
            <w:tcW w:w="160" w:type="dxa"/>
            <w:vAlign w:val="bottom"/>
          </w:tcPr>
          <w:p>
            <w:pPr>
              <w:spacing w:after="0"/>
              <w:rPr>
                <w:sz w:val="20"/>
                <w:szCs w:val="20"/>
                <w:color w:val="auto"/>
              </w:rPr>
            </w:pPr>
          </w:p>
        </w:tc>
        <w:tc>
          <w:tcPr>
            <w:tcW w:w="15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7720" w:type="dxa"/>
            <w:vAlign w:val="bottom"/>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8"/>
              </w:rPr>
              <w:t>(in thousands)</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Capital lease equipment</w:t>
            </w: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3 - 5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686</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amortization</w:t>
            </w:r>
          </w:p>
        </w:tc>
        <w:tc>
          <w:tcPr>
            <w:tcW w:w="16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215</w:t>
            </w:r>
          </w:p>
        </w:tc>
      </w:tr>
      <w:tr>
        <w:trPr>
          <w:trHeight w:val="20"/>
        </w:trPr>
        <w:tc>
          <w:tcPr>
            <w:tcW w:w="77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Leases</w:t>
      </w:r>
    </w:p>
    <w:p>
      <w:pPr>
        <w:spacing w:after="0" w:line="229" w:lineRule="exact"/>
        <w:rPr>
          <w:sz w:val="20"/>
          <w:szCs w:val="20"/>
          <w:color w:val="auto"/>
        </w:rPr>
      </w:pPr>
    </w:p>
    <w:p>
      <w:pPr>
        <w:ind w:right="120" w:firstLine="1188"/>
        <w:spacing w:after="0" w:line="269" w:lineRule="auto"/>
        <w:rPr>
          <w:sz w:val="20"/>
          <w:szCs w:val="20"/>
          <w:color w:val="auto"/>
        </w:rPr>
      </w:pPr>
      <w:r>
        <w:rPr>
          <w:rFonts w:ascii="Arial" w:cs="Arial" w:eastAsia="Arial" w:hAnsi="Arial"/>
          <w:sz w:val="17"/>
          <w:szCs w:val="17"/>
          <w:color w:val="auto"/>
        </w:rPr>
        <w:t>In July 2016, we entered into a five-year lease agreement for our headquarters facility located in Foster City, California (the “Headquarter Facility”). The original term of the lease was from September 1, 2016 to August 31, 2021, with two 30-month renewal options. In July 2019, we leased another facility in Foster City, California (the “Other Foster City Facility”) as a result of growth in personnel. The original term of this lease began on July 1, 2019 and ends on October 31, 2021, with no renewal options. In November 2020, we extended the term of the lease for both the Headquarter Facility and the Other Foster City Facility for six months to March 1, 2022 and April 30, 2022, respectively. Both of the Foster City lease agreements provide for escalations of rent payments each year. We record rent expense for these two leases on a straight-line basis over the terms of the leases and deferred rent based on the difference between rent expenses and cash rental payments. In addition to payment of base rent, we are also required to pay property taxes, insurance and common area expenses for both of the Foster City leases. We also lease an office in San Diego, California with a lease term ending on April 30, 2021. In addition to payment of base rent for the San Diego office lease, we are also required to pay common area expenses. Rent is payable monthly for all facility leases.</w:t>
      </w:r>
    </w:p>
    <w:p>
      <w:pPr>
        <w:spacing w:after="0" w:line="18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Future minimum payments required under operating leases as of December 31, 2020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Years ending December 31,</w:t>
            </w:r>
          </w:p>
        </w:tc>
        <w:tc>
          <w:tcPr>
            <w:tcW w:w="5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410"/>
              <w:spacing w:after="0"/>
              <w:rPr>
                <w:sz w:val="20"/>
                <w:szCs w:val="20"/>
                <w:color w:val="auto"/>
              </w:rPr>
            </w:pPr>
            <w:r>
              <w:rPr>
                <w:rFonts w:ascii="Arial" w:cs="Arial" w:eastAsia="Arial" w:hAnsi="Arial"/>
                <w:sz w:val="18"/>
                <w:szCs w:val="18"/>
                <w:b w:val="1"/>
                <w:bCs w:val="1"/>
                <w:color w:val="auto"/>
                <w:w w:val="98"/>
              </w:rPr>
              <w:t>(in thousands)</w:t>
            </w:r>
          </w:p>
        </w:tc>
        <w:tc>
          <w:tcPr>
            <w:tcW w:w="0" w:type="dxa"/>
            <w:vAlign w:val="bottom"/>
          </w:tcPr>
          <w:p>
            <w:pPr>
              <w:spacing w:after="0"/>
              <w:rPr>
                <w:sz w:val="1"/>
                <w:szCs w:val="1"/>
                <w:color w:val="auto"/>
              </w:rPr>
            </w:pPr>
          </w:p>
        </w:tc>
      </w:tr>
      <w:tr>
        <w:trPr>
          <w:trHeight w:val="229"/>
        </w:trPr>
        <w:tc>
          <w:tcPr>
            <w:tcW w:w="3900" w:type="dxa"/>
            <w:vAlign w:val="bottom"/>
            <w:vMerge w:val="continue"/>
          </w:tcPr>
          <w:p>
            <w:pPr>
              <w:spacing w:after="0"/>
              <w:rPr>
                <w:sz w:val="19"/>
                <w:szCs w:val="19"/>
                <w:color w:val="auto"/>
              </w:rPr>
            </w:pPr>
          </w:p>
        </w:tc>
        <w:tc>
          <w:tcPr>
            <w:tcW w:w="5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jc w:val="right"/>
              <w:ind w:right="3190"/>
              <w:spacing w:after="0"/>
              <w:rPr>
                <w:sz w:val="20"/>
                <w:szCs w:val="20"/>
                <w:color w:val="auto"/>
              </w:rPr>
            </w:pPr>
            <w:r>
              <w:rPr>
                <w:rFonts w:ascii="Arial" w:cs="Arial" w:eastAsia="Arial" w:hAnsi="Arial"/>
                <w:sz w:val="18"/>
                <w:szCs w:val="18"/>
                <w:color w:val="auto"/>
              </w:rPr>
              <w:t>2021</w:t>
            </w:r>
          </w:p>
        </w:tc>
        <w:tc>
          <w:tcPr>
            <w:tcW w:w="56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jc w:val="right"/>
              <w:ind w:right="3190"/>
              <w:spacing w:after="0"/>
              <w:rPr>
                <w:sz w:val="20"/>
                <w:szCs w:val="20"/>
                <w:color w:val="auto"/>
              </w:rPr>
            </w:pPr>
            <w:r>
              <w:rPr>
                <w:rFonts w:ascii="Arial" w:cs="Arial" w:eastAsia="Arial" w:hAnsi="Arial"/>
                <w:sz w:val="18"/>
                <w:szCs w:val="18"/>
                <w:color w:val="auto"/>
              </w:rPr>
              <w:t>2022</w:t>
            </w:r>
          </w:p>
        </w:tc>
        <w:tc>
          <w:tcPr>
            <w:tcW w:w="5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future minimum payments</w:t>
            </w:r>
          </w:p>
        </w:tc>
        <w:tc>
          <w:tcPr>
            <w:tcW w:w="5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360" w:type="dxa"/>
            <w:vAlign w:val="bottom"/>
            <w:vMerge w:val="restart"/>
          </w:tcPr>
          <w:p>
            <w:pPr>
              <w:jc w:val="right"/>
              <w:ind w:right="3410"/>
              <w:spacing w:after="0"/>
              <w:rPr>
                <w:sz w:val="20"/>
                <w:szCs w:val="20"/>
                <w:color w:val="auto"/>
              </w:rPr>
            </w:pPr>
            <w:r>
              <w:rPr>
                <w:rFonts w:ascii="Arial" w:cs="Arial" w:eastAsia="Arial" w:hAnsi="Arial"/>
                <w:sz w:val="18"/>
                <w:szCs w:val="18"/>
                <w:color w:val="auto"/>
              </w:rPr>
              <w:t>131</w:t>
            </w: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6" w:name="page137"/>
    <w:bookmarkEnd w:id="136"/>
    <w:p>
      <w:pPr>
        <w:ind w:right="160" w:firstLine="1008"/>
        <w:spacing w:after="0" w:line="277" w:lineRule="auto"/>
        <w:rPr>
          <w:sz w:val="20"/>
          <w:szCs w:val="20"/>
          <w:color w:val="auto"/>
        </w:rPr>
      </w:pPr>
      <w:r>
        <w:rPr>
          <w:rFonts w:ascii="Arial" w:cs="Arial" w:eastAsia="Arial" w:hAnsi="Arial"/>
          <w:sz w:val="18"/>
          <w:szCs w:val="18"/>
          <w:color w:val="auto"/>
        </w:rPr>
        <w:t>Rent expense recognized under the leases was $0.7 million, $0.6 million and $0.4 million for the years ended December 31, 2020, 2019 and 2018, respectively.</w:t>
      </w:r>
    </w:p>
    <w:p>
      <w:pPr>
        <w:spacing w:after="0" w:line="170" w:lineRule="exact"/>
        <w:rPr>
          <w:sz w:val="20"/>
          <w:szCs w:val="20"/>
          <w:color w:val="auto"/>
        </w:rPr>
      </w:pPr>
    </w:p>
    <w:p>
      <w:pPr>
        <w:ind w:firstLine="1188"/>
        <w:spacing w:after="0" w:line="269" w:lineRule="auto"/>
        <w:rPr>
          <w:sz w:val="20"/>
          <w:szCs w:val="20"/>
          <w:color w:val="auto"/>
        </w:rPr>
      </w:pPr>
      <w:r>
        <w:rPr>
          <w:rFonts w:ascii="Arial" w:cs="Arial" w:eastAsia="Arial" w:hAnsi="Arial"/>
          <w:sz w:val="17"/>
          <w:szCs w:val="17"/>
          <w:color w:val="auto"/>
        </w:rPr>
        <w:t>In January 2021, we entered into a lease agreement for our new corporate headquarters facility to be located in San Carlos, California and a license agreement for temporary lab and office space in Palo Alto, California as we move forward with our development and clinical programs. The lease term commenced on January 22, 2021 (the “Lease Commencement Date”) and will expire 48 months from the first day of the first full month following the Rent Commencement Date (the “Base Term”). The “Rent Commencement Date” is the earlier to occur of (i) the date that is 12 months after the Lease Commencement Date, or (ii) the date that the tenant improvements are substantially completed. We have two 60-month renewal options after the Base Term expires. The license agreement for temporary space in Palo Alto will terminate when the San Carlos office leasehold improvements are completed and we move into our new corporate headquarters. The total lease payments over the lease term of both our new corporate headquarters and temporary office space in Palo Alto are expected to amount to approximately $38.2 million, which includes the lease payments, fixed operating expenses and estimated repayments of tenant improvement allowance. Upon lease commencement, we expect to recognize right-of-use lease assets and corresponding lease liabilities in accordance with ASC 842.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229" w:lineRule="exact"/>
        <w:rPr>
          <w:sz w:val="20"/>
          <w:szCs w:val="20"/>
          <w:color w:val="auto"/>
        </w:rPr>
      </w:pPr>
    </w:p>
    <w:p>
      <w:pPr>
        <w:ind w:right="80" w:firstLine="1175"/>
        <w:spacing w:after="0" w:line="279" w:lineRule="auto"/>
        <w:rPr>
          <w:sz w:val="20"/>
          <w:szCs w:val="20"/>
          <w:color w:val="auto"/>
        </w:rPr>
      </w:pPr>
      <w:r>
        <w:rPr>
          <w:rFonts w:ascii="Arial" w:cs="Arial" w:eastAsia="Arial" w:hAnsi="Arial"/>
          <w:sz w:val="17"/>
          <w:szCs w:val="17"/>
          <w:color w:val="auto"/>
        </w:rPr>
        <w:t>From time to time, we may become involved in legal proceedings arising from the ordinary course of business. We record a liability for such matters when it is probable that future losses will be incurred and that such losses can be reasonably estimated. Significant judgment by us is required to determine both probability and the estimated amount. We do not believe that there is any litigation or asserted or unasserted claim pending that could, individually or in the aggregate, have a material adverse effect on our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229" w:lineRule="exact"/>
        <w:rPr>
          <w:sz w:val="20"/>
          <w:szCs w:val="20"/>
          <w:color w:val="auto"/>
        </w:rPr>
      </w:pPr>
    </w:p>
    <w:p>
      <w:pPr>
        <w:ind w:right="180" w:firstLine="1175"/>
        <w:spacing w:after="0" w:line="279" w:lineRule="auto"/>
        <w:rPr>
          <w:sz w:val="20"/>
          <w:szCs w:val="20"/>
          <w:color w:val="auto"/>
        </w:rPr>
      </w:pPr>
      <w:r>
        <w:rPr>
          <w:rFonts w:ascii="Arial" w:cs="Arial" w:eastAsia="Arial" w:hAnsi="Arial"/>
          <w:sz w:val="17"/>
          <w:szCs w:val="17"/>
          <w:color w:val="auto"/>
        </w:rPr>
        <w:t>In the normal course of business, we enter into agreements that contain a variety of representations and provide for general indemnification. Our exposure under these agreements is unknown because it involves claims that may be made against us in the future. To date, we have not paid any claims or been required to defend any action related to our indemnification obligations. As of December 31, 2020, we did not have any material indemnification claims that were probable or reasonably possible and consequently have not recorded related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40" w:firstLine="1175"/>
        <w:spacing w:after="0" w:line="255" w:lineRule="auto"/>
        <w:rPr>
          <w:sz w:val="20"/>
          <w:szCs w:val="20"/>
          <w:color w:val="auto"/>
        </w:rPr>
      </w:pPr>
      <w:r>
        <w:rPr>
          <w:rFonts w:ascii="Arial" w:cs="Arial" w:eastAsia="Arial" w:hAnsi="Arial"/>
          <w:sz w:val="18"/>
          <w:szCs w:val="18"/>
          <w:color w:val="auto"/>
        </w:rPr>
        <w:t>To the extent permitted under Delaware law, we have agreed to indemnify our directors and officers for certain events or occurrences while the director or officer is, or was, serving at our request in such capacity. The indemnification period covers all pertinent events and occurrences during the director’s or officer’s service. The maximum potential amount of future payments we could be required to make under these indemnification agreements is not specified in the agreements; however, we have director and officer insurance coverage that reduces our exposure and enables us to recover a portion of any future amounts paid. We have not incurred any material costs as a result of such indemnification and are not currently aware of any indemnification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and Manufacturing Services Agreement</w:t>
      </w:r>
    </w:p>
    <w:p>
      <w:pPr>
        <w:spacing w:after="0" w:line="229" w:lineRule="exact"/>
        <w:rPr>
          <w:sz w:val="20"/>
          <w:szCs w:val="20"/>
          <w:color w:val="auto"/>
        </w:rPr>
      </w:pPr>
    </w:p>
    <w:p>
      <w:pPr>
        <w:ind w:right="60" w:firstLine="1175"/>
        <w:spacing w:after="0" w:line="272" w:lineRule="auto"/>
        <w:rPr>
          <w:sz w:val="20"/>
          <w:szCs w:val="20"/>
          <w:color w:val="auto"/>
        </w:rPr>
      </w:pPr>
      <w:r>
        <w:rPr>
          <w:rFonts w:ascii="Arial" w:cs="Arial" w:eastAsia="Arial" w:hAnsi="Arial"/>
          <w:sz w:val="17"/>
          <w:szCs w:val="17"/>
          <w:color w:val="auto"/>
        </w:rPr>
        <w:t>On October 21, 2016, we entered into a development and manufacturing services agreement with Lonza (the “Lonza DMSA”), pursuant to which Lonza would provide certain process development and manufacturing services and we would pay certain fees according to specified project plans to support our efforts to develop superior, novel conjugate vaccines. In January 2017, July 2017 and September 2017, we entered into amendments to the Lonza DMSA, which significantly expanded the scope of process development and manufacturing work to be provided by Lonza for our lead PCV program. We have the option to cancel signed orders at any time upon written notice, which may or may not be subject to payment of a cancellation fee. The level of cancellation fees is generally dependent on the timing of the written notice in relation to the commencement date of the work, with the maximum cancellation fee equal to the full price of the work order.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7" w:name="page138"/>
    <w:bookmarkEnd w:id="137"/>
    <w:p>
      <w:pPr>
        <w:ind w:right="80" w:firstLine="1175"/>
        <w:spacing w:after="0" w:line="286" w:lineRule="auto"/>
        <w:rPr>
          <w:sz w:val="20"/>
          <w:szCs w:val="20"/>
          <w:color w:val="auto"/>
        </w:rPr>
      </w:pPr>
      <w:r>
        <w:rPr>
          <w:rFonts w:ascii="Arial" w:cs="Arial" w:eastAsia="Arial" w:hAnsi="Arial"/>
          <w:sz w:val="17"/>
          <w:szCs w:val="17"/>
          <w:color w:val="auto"/>
        </w:rPr>
        <w:t>In the September 2017 amended agreement, we and Lonza agreed to defer the completion payments for any stage that commences after December 31, 2019 or has not been completed by December 31, 2019 until the earlier of the completion of all Investigational New Drug (“IND”)-enabling activities or December 31, 2020. In March 2020, Lonza orally agreed to defer the completion payments until April 30, 2021.</w:t>
      </w:r>
    </w:p>
    <w:p>
      <w:pPr>
        <w:spacing w:after="0" w:line="165"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In June 2018, we and Lonza agreed to certain terms for potential future equity payments as partial satisfaction of future obligations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Lonza. This agreement states that the initial pre-IND cash payments will be subject to a specified dollar cap (the “Initial Cash Cap”). After the Initial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 has been reached, we have the option to make any further pre-IND payments due to Lonza in cash, equity, or a combination of both, at our election,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provided that Lonza may elect to receive up to 25% of pre-IND payments in equity, up to a maximum of $2.5 million and provided that no more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million of pre-IND payments shall be made equity. The Initial Cash Cap had not been reached as of December 31, 2020. As such, no amount has been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recorded with respect to the potential future payments above the Initial Cash Cap at December 31, 2020 and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w:t>
      </w:r>
    </w:p>
    <w:p>
      <w:pPr>
        <w:spacing w:after="0" w:line="22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There were no shares of redeemable convertible preferred stock authorized or outstanding as of December 31, 2020.</w:t>
      </w:r>
    </w:p>
    <w:p>
      <w:pPr>
        <w:spacing w:after="0" w:line="225" w:lineRule="exact"/>
        <w:rPr>
          <w:sz w:val="20"/>
          <w:szCs w:val="20"/>
          <w:color w:val="auto"/>
        </w:rPr>
      </w:pPr>
    </w:p>
    <w:p>
      <w:pPr>
        <w:ind w:right="120" w:firstLine="1175"/>
        <w:spacing w:after="0" w:line="277" w:lineRule="auto"/>
        <w:rPr>
          <w:sz w:val="20"/>
          <w:szCs w:val="20"/>
          <w:color w:val="auto"/>
        </w:rPr>
      </w:pPr>
      <w:r>
        <w:rPr>
          <w:rFonts w:ascii="Arial" w:cs="Arial" w:eastAsia="Arial" w:hAnsi="Arial"/>
          <w:sz w:val="18"/>
          <w:szCs w:val="18"/>
          <w:color w:val="auto"/>
        </w:rPr>
        <w:t>In connection with our IPO in June 2020, the outstanding shares of our Series A, Series B, Series C and Series D Redeemable Convertible Preferred Stock automatically converted into 28,610,337 shares of common stock.</w:t>
      </w:r>
    </w:p>
    <w:p>
      <w:pPr>
        <w:spacing w:after="0" w:line="197" w:lineRule="exact"/>
        <w:rPr>
          <w:sz w:val="20"/>
          <w:szCs w:val="20"/>
          <w:color w:val="auto"/>
        </w:rPr>
      </w:pPr>
    </w:p>
    <w:p>
      <w:pPr>
        <w:ind w:right="340" w:firstLine="1175"/>
        <w:spacing w:after="0" w:line="277" w:lineRule="auto"/>
        <w:rPr>
          <w:sz w:val="20"/>
          <w:szCs w:val="20"/>
          <w:color w:val="auto"/>
        </w:rPr>
      </w:pPr>
      <w:r>
        <w:rPr>
          <w:rFonts w:ascii="Arial" w:cs="Arial" w:eastAsia="Arial" w:hAnsi="Arial"/>
          <w:sz w:val="18"/>
          <w:szCs w:val="18"/>
          <w:color w:val="auto"/>
        </w:rPr>
        <w:t>In March 2020, we sold an aggregate of 8,220,242 shares of our Series D redeemable convertible preferred stock at a purchase price of $13.3816 per share for an aggregate purchase price of $110.0 million.</w:t>
      </w:r>
    </w:p>
    <w:p>
      <w:pPr>
        <w:spacing w:after="0" w:line="170" w:lineRule="exact"/>
        <w:rPr>
          <w:sz w:val="20"/>
          <w:szCs w:val="20"/>
          <w:color w:val="auto"/>
        </w:rPr>
      </w:pPr>
    </w:p>
    <w:p>
      <w:pPr>
        <w:ind w:right="240" w:firstLine="1175"/>
        <w:spacing w:after="0" w:line="277" w:lineRule="auto"/>
        <w:rPr>
          <w:sz w:val="20"/>
          <w:szCs w:val="20"/>
          <w:color w:val="auto"/>
        </w:rPr>
      </w:pPr>
      <w:r>
        <w:rPr>
          <w:rFonts w:ascii="Arial" w:cs="Arial" w:eastAsia="Arial" w:hAnsi="Arial"/>
          <w:sz w:val="18"/>
          <w:szCs w:val="18"/>
          <w:color w:val="auto"/>
        </w:rPr>
        <w:t>The authorized, issued and outstanding shares of redeemable convertible preferred stock and liquidation preferences as of December 31, 2019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6"/>
          </w:tcPr>
          <w:p>
            <w:pPr>
              <w:jc w:val="center"/>
              <w:ind w:right="27"/>
              <w:spacing w:after="0"/>
              <w:rPr>
                <w:sz w:val="20"/>
                <w:szCs w:val="20"/>
                <w:color w:val="auto"/>
              </w:rPr>
            </w:pPr>
            <w:r>
              <w:rPr>
                <w:rFonts w:ascii="Arial" w:cs="Arial" w:eastAsia="Arial" w:hAnsi="Arial"/>
                <w:sz w:val="18"/>
                <w:szCs w:val="18"/>
                <w:b w:val="1"/>
                <w:bCs w:val="1"/>
                <w:color w:val="auto"/>
                <w:w w:val="88"/>
              </w:rPr>
              <w:t>December 31, 2019</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05"/>
        </w:trPr>
        <w:tc>
          <w:tcPr>
            <w:tcW w:w="5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150"/>
              <w:spacing w:after="0" w:line="205" w:lineRule="exact"/>
              <w:rPr>
                <w:sz w:val="20"/>
                <w:szCs w:val="20"/>
                <w:color w:val="auto"/>
              </w:rPr>
            </w:pPr>
            <w:r>
              <w:rPr>
                <w:rFonts w:ascii="Arial" w:cs="Arial" w:eastAsia="Arial" w:hAnsi="Arial"/>
                <w:sz w:val="18"/>
                <w:szCs w:val="18"/>
                <w:b w:val="1"/>
                <w:bCs w:val="1"/>
                <w:color w:val="auto"/>
                <w:w w:val="96"/>
              </w:rPr>
              <w:t>Original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52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5"/>
              </w:rPr>
              <w:t>Issued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Issuance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6"/>
              </w:rPr>
              <w:t>Liquidation</w:t>
            </w:r>
          </w:p>
        </w:tc>
      </w:tr>
      <w:tr>
        <w:trPr>
          <w:trHeight w:val="234"/>
        </w:trPr>
        <w:tc>
          <w:tcPr>
            <w:tcW w:w="520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Authorized</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w w:val="85"/>
              </w:rPr>
              <w:t>Preference</w:t>
            </w:r>
          </w:p>
        </w:tc>
      </w:tr>
      <w:tr>
        <w:trPr>
          <w:trHeight w:val="223"/>
        </w:trPr>
        <w:tc>
          <w:tcPr>
            <w:tcW w:w="52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40" w:type="dxa"/>
            <w:vAlign w:val="bottom"/>
            <w:tcBorders>
              <w:top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(In thousands)</w:t>
            </w: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Series A Redeemable Convertible Preferred</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10,502,804</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6,225,719</w:t>
            </w:r>
          </w:p>
        </w:tc>
        <w:tc>
          <w:tcPr>
            <w:tcW w:w="3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24,967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26,887</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Series B Redeemable Convertible Preferred</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11,449,515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6,786,896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55,151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60,150</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Series C Redeemable Convertible Preferred</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14,010,043</w:t>
            </w:r>
          </w:p>
        </w:tc>
        <w:tc>
          <w:tcPr>
            <w:tcW w:w="1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7,377,480</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11.52</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80,192</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85,000</w:t>
            </w:r>
          </w:p>
        </w:tc>
      </w:tr>
      <w:tr>
        <w:trPr>
          <w:trHeight w:val="223"/>
        </w:trPr>
        <w:tc>
          <w:tcPr>
            <w:tcW w:w="5200" w:type="dxa"/>
            <w:vAlign w:val="bottom"/>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35,962,362</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20,390,095</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160,310</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172,037</w:t>
            </w:r>
          </w:p>
        </w:tc>
      </w:tr>
      <w:tr>
        <w:trPr>
          <w:trHeight w:val="20"/>
        </w:trPr>
        <w:tc>
          <w:tcPr>
            <w:tcW w:w="5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229" w:lineRule="exact"/>
        <w:rPr>
          <w:sz w:val="20"/>
          <w:szCs w:val="20"/>
          <w:color w:val="auto"/>
        </w:rPr>
      </w:pPr>
    </w:p>
    <w:p>
      <w:pPr>
        <w:ind w:right="20" w:firstLine="1175"/>
        <w:spacing w:after="0" w:line="301" w:lineRule="auto"/>
        <w:rPr>
          <w:sz w:val="20"/>
          <w:szCs w:val="20"/>
          <w:color w:val="auto"/>
        </w:rPr>
      </w:pPr>
      <w:r>
        <w:rPr>
          <w:rFonts w:ascii="Arial" w:cs="Arial" w:eastAsia="Arial" w:hAnsi="Arial"/>
          <w:sz w:val="16"/>
          <w:szCs w:val="16"/>
          <w:color w:val="auto"/>
        </w:rPr>
        <w:t>At December 31, 2020 and December 31, 2019, our certificate of incorporation authorized us to issue up to 500,000,000 and 52,000,000 shares of common stock with $0.001 par value per share, respectively, of which 51,071,593 and 4,059,909 shares were issued and outstanding, respectively. The holders of our common stock are also entitled to receive dividends whenever funds are legally available, when and if declared by our board of directors. As of December 31, 2020 and 2019, no dividends have been declared. Each share of common stock is entitled to one vote.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8" w:name="page139"/>
    <w:bookmarkEnd w:id="138"/>
    <w:p>
      <w:pPr>
        <w:ind w:right="240" w:firstLine="1175"/>
        <w:spacing w:after="0" w:line="277" w:lineRule="auto"/>
        <w:rPr>
          <w:sz w:val="20"/>
          <w:szCs w:val="20"/>
          <w:color w:val="auto"/>
        </w:rPr>
      </w:pPr>
      <w:r>
        <w:rPr>
          <w:rFonts w:ascii="Arial" w:cs="Arial" w:eastAsia="Arial" w:hAnsi="Arial"/>
          <w:sz w:val="18"/>
          <w:szCs w:val="18"/>
          <w:color w:val="auto"/>
        </w:rPr>
        <w:t>Common stock reserved for future issuances under the 2020 Equity Incentive Plan (the “2020 Plan”) and the 2014 Equity Incentive Plan (the “2014 Plan”) is as follows, which excludes 66,982 shares issued outside of the 2014 Plan and 2020 Plan: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184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31,</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16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16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Options issued and outstanding</w:t>
            </w: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5,188,531</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3,364,568</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Shares available for future stock option grants</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4,651,149</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835,941</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redeemable convertible preferred stock</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20,390,095</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Common stock warrant</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31,857</w:t>
            </w:r>
          </w:p>
        </w:tc>
      </w:tr>
      <w:tr>
        <w:trPr>
          <w:trHeight w:val="24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 warrant</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59,276</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9,839,680</w:t>
            </w:r>
          </w:p>
        </w:tc>
        <w:tc>
          <w:tcPr>
            <w:tcW w:w="1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24,681,737</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479171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91710" cy="1543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229" w:lineRule="exact"/>
        <w:rPr>
          <w:sz w:val="20"/>
          <w:szCs w:val="20"/>
          <w:color w:val="auto"/>
        </w:rPr>
      </w:pPr>
    </w:p>
    <w:p>
      <w:pPr>
        <w:ind w:right="320" w:firstLine="1175"/>
        <w:spacing w:after="0" w:line="277" w:lineRule="auto"/>
        <w:rPr>
          <w:sz w:val="20"/>
          <w:szCs w:val="20"/>
          <w:color w:val="auto"/>
        </w:rPr>
      </w:pPr>
      <w:r>
        <w:rPr>
          <w:rFonts w:ascii="Arial" w:cs="Arial" w:eastAsia="Arial" w:hAnsi="Arial"/>
          <w:sz w:val="18"/>
          <w:szCs w:val="18"/>
          <w:color w:val="auto"/>
        </w:rPr>
        <w:t>In connection with our IPO in June 2020, the common stock warrant and Series C redeemable convertible preferred stock warrant were automatically net exercised for an aggregate 46,869 shares of common stock.</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Warrants issued and outstanding as of December 31, 2019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Warrants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Issued and</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Expiration</w:t>
            </w:r>
          </w:p>
        </w:tc>
        <w:tc>
          <w:tcPr>
            <w:tcW w:w="1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Exercise</w:t>
            </w:r>
          </w:p>
        </w:tc>
        <w:tc>
          <w:tcPr>
            <w:tcW w:w="0" w:type="dxa"/>
            <w:vAlign w:val="bottom"/>
          </w:tcPr>
          <w:p>
            <w:pPr>
              <w:spacing w:after="0"/>
              <w:rPr>
                <w:sz w:val="1"/>
                <w:szCs w:val="1"/>
                <w:color w:val="auto"/>
              </w:rPr>
            </w:pPr>
          </w:p>
        </w:tc>
      </w:t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Warrants to Purchase Stock</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Issue Date</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Date</w:t>
            </w:r>
          </w:p>
        </w:tc>
        <w:tc>
          <w:tcPr>
            <w:tcW w:w="1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Price</w:t>
            </w:r>
          </w:p>
        </w:tc>
        <w:tc>
          <w:tcPr>
            <w:tcW w:w="0" w:type="dxa"/>
            <w:vAlign w:val="bottom"/>
          </w:tcPr>
          <w:p>
            <w:pPr>
              <w:spacing w:after="0"/>
              <w:rPr>
                <w:sz w:val="1"/>
                <w:szCs w:val="1"/>
                <w:color w:val="auto"/>
              </w:rPr>
            </w:pPr>
          </w:p>
        </w:tc>
      </w:tr>
      <w:tr>
        <w:trPr>
          <w:trHeight w:val="223"/>
        </w:trPr>
        <w:tc>
          <w:tcPr>
            <w:tcW w:w="5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Common stock</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31,857</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July 10, 2015</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July 10, 2025</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C redeemable convertible preferred stock</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59,276</w:t>
            </w:r>
          </w:p>
        </w:tc>
        <w:tc>
          <w:tcPr>
            <w:tcW w:w="12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93"/>
              </w:rPr>
              <w:t>May 29, 2018</w:t>
            </w:r>
          </w:p>
        </w:tc>
        <w:tc>
          <w:tcPr>
            <w:tcW w:w="140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91"/>
              </w:rPr>
              <w:t>May 29, 2028</w:t>
            </w:r>
          </w:p>
        </w:tc>
        <w:tc>
          <w:tcPr>
            <w:tcW w:w="160" w:type="dxa"/>
            <w:vAlign w:val="bottom"/>
            <w:tcBorders>
              <w:bottom w:val="single" w:sz="8" w:color="CFF0FC"/>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91,133</w:t>
            </w:r>
          </w:p>
        </w:tc>
        <w:tc>
          <w:tcPr>
            <w:tcW w:w="1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Equity Incentive Plans</w:t>
            </w: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2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2020 and 2014 Equity Incentive Plans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1175"/>
        <w:spacing w:after="0" w:line="285" w:lineRule="auto"/>
        <w:rPr>
          <w:sz w:val="20"/>
          <w:szCs w:val="20"/>
          <w:color w:val="auto"/>
        </w:rPr>
      </w:pPr>
      <w:r>
        <w:rPr>
          <w:rFonts w:ascii="Arial" w:cs="Arial" w:eastAsia="Arial" w:hAnsi="Arial"/>
          <w:sz w:val="16"/>
          <w:szCs w:val="16"/>
          <w:color w:val="auto"/>
        </w:rPr>
        <w:t>In June 2020, our board of directors adopted, and our stockholders approved, the 2020 Plan, which became effective on June 11, 2020. Under the 2020 Plan, we may grant stock options, appreciation rights, restricted stock and restricted stock units to employees, consultants and directors. Stock options granted under the 2020 Plan may be either incentive stock options or nonqualified stock options. Incentive stock options may be granted only to our employees, including officers and directors who are also employees. Nonqualified stock options may be granted to our employees, officers, directors, consultants and advisors. The exercise price of stock options granted under the 2020 Plan must be at least equal to the fair market value of the common stock on the date of grant, except that an incentive stock option granted to an employee who owns more than 10% of the shares of our common stock shall have an exercise price of no less than 110% of the fair value per share on the grant date and expire five years from the date of grant. The maximum term of stock options granted under the 2020 Plan is 10 years, unless subject to the provisions regarding 10% stockholders. Our stock options granted to new employees generally vest over four years at a rate of 25% upon the first anniversary of the vesting commencement date and monthly thereafter. Our other stock options granted to employees generally vest on terms consistent with stock options granted to new employees or monthly over four years from the vesting commencement date. A total of 10,150,000 shares of common stock were approved to be initially reserved for issuance under the 2020 Plan. The number of shares that remained available for issuance under the 2014 Plan as of the effective date of the 2020 Plan and shares subject to outstanding awards under the 2014 Plan as of the effective date of the 2020 Plan that are subsequently canceled, forfeited or repurchased by us will be added to the shares reserved under the 2020 Plan. In addition, the number of shares of common stock available for issuance under the 2020 Plan will be automatically increased on the first day of each calendar year during the ten-year term of the 2020 Plan, beginning with January 1, 2021 and ending with January 1, 2030, by an amount equal to 5% of the outstanding number of shares of our common stock on December 31 of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9" w:name="page140"/>
    <w:bookmarkEnd w:id="139"/>
    <w:p>
      <w:pPr>
        <w:ind w:right="40"/>
        <w:spacing w:after="0" w:line="263" w:lineRule="auto"/>
        <w:rPr>
          <w:sz w:val="20"/>
          <w:szCs w:val="20"/>
          <w:color w:val="auto"/>
        </w:rPr>
      </w:pPr>
      <w:r>
        <w:rPr>
          <w:rFonts w:ascii="Arial" w:cs="Arial" w:eastAsia="Arial" w:hAnsi="Arial"/>
          <w:sz w:val="18"/>
          <w:szCs w:val="18"/>
          <w:color w:val="auto"/>
        </w:rPr>
        <w:t>preceding calendar year or such lesser amount as determined by our board of directors. As of December 31, 2020, an aggregate of 4,651,149 shares of common stock were available for issuance under the 2020 Plan. Effective January 1, 2021, the number of shares of common stock available under the 2020 Plan increased by 2,553,579 shares pursuant to the evergreen provision of the 2020 Plan.</w:t>
      </w:r>
    </w:p>
    <w:p>
      <w:pPr>
        <w:spacing w:after="0" w:line="184" w:lineRule="exact"/>
        <w:rPr>
          <w:sz w:val="20"/>
          <w:szCs w:val="20"/>
          <w:color w:val="auto"/>
        </w:rPr>
      </w:pPr>
    </w:p>
    <w:p>
      <w:pPr>
        <w:ind w:firstLine="1175"/>
        <w:spacing w:after="0" w:line="279" w:lineRule="auto"/>
        <w:rPr>
          <w:sz w:val="20"/>
          <w:szCs w:val="20"/>
          <w:color w:val="auto"/>
        </w:rPr>
      </w:pPr>
      <w:r>
        <w:rPr>
          <w:rFonts w:ascii="Arial" w:cs="Arial" w:eastAsia="Arial" w:hAnsi="Arial"/>
          <w:sz w:val="17"/>
          <w:szCs w:val="17"/>
          <w:color w:val="auto"/>
        </w:rPr>
        <w:t>Our 2014 Plan permitted the granting of incentive stock options, non-statutory stock options, restricted stock and other stock-based awards. Subsequent to the adoption of the 2020 Plan, no additional equity awards can be made under the 2014 Plan. Shares reserved and remaining available for issuance under the 2014 Plan were added to the 2020 Plan reserve upon its effectiveness. As of December 31, 2020, 4,714,549 shares and 407,000 shares of common stock were subject to outstanding options under the 2014 Plan and 2020 Plan, respectively.</w:t>
      </w:r>
    </w:p>
    <w:p>
      <w:pPr>
        <w:spacing w:after="0" w:line="171" w:lineRule="exact"/>
        <w:rPr>
          <w:sz w:val="20"/>
          <w:szCs w:val="20"/>
          <w:color w:val="auto"/>
        </w:rPr>
      </w:pPr>
    </w:p>
    <w:p>
      <w:pPr>
        <w:ind w:right="20" w:firstLine="1175"/>
        <w:spacing w:after="0" w:line="257" w:lineRule="auto"/>
        <w:rPr>
          <w:sz w:val="20"/>
          <w:szCs w:val="20"/>
          <w:color w:val="auto"/>
        </w:rPr>
      </w:pPr>
      <w:r>
        <w:rPr>
          <w:rFonts w:ascii="Arial" w:cs="Arial" w:eastAsia="Arial" w:hAnsi="Arial"/>
          <w:sz w:val="18"/>
          <w:szCs w:val="18"/>
          <w:color w:val="auto"/>
        </w:rPr>
        <w:t>The terms of the 2014 Plan permit the exercise of options granted prior to vesting, subject to required approvals. The unvested shares are subject to our lapsing repurchase right upon termination of employment at the original purchase price. Shares purchased by employees pursuant to the early exercise of stock options are not deemed, for accounting purposes, to be issued until those shares vest according to their respective vesting schedules. Cash received for early exercised stock options is recorded as other liabilities on the balance sheet and is reclassified to common stock and additional paid-in capital as such shares vest.</w:t>
      </w:r>
    </w:p>
    <w:p>
      <w:pPr>
        <w:spacing w:after="0" w:line="188" w:lineRule="exact"/>
        <w:rPr>
          <w:sz w:val="20"/>
          <w:szCs w:val="20"/>
          <w:color w:val="auto"/>
        </w:rPr>
      </w:pPr>
    </w:p>
    <w:p>
      <w:pPr>
        <w:ind w:right="40" w:firstLine="1175"/>
        <w:spacing w:after="0" w:line="263" w:lineRule="auto"/>
        <w:rPr>
          <w:sz w:val="20"/>
          <w:szCs w:val="20"/>
          <w:color w:val="auto"/>
        </w:rPr>
      </w:pPr>
      <w:r>
        <w:rPr>
          <w:rFonts w:ascii="Arial" w:cs="Arial" w:eastAsia="Arial" w:hAnsi="Arial"/>
          <w:sz w:val="18"/>
          <w:szCs w:val="18"/>
          <w:color w:val="auto"/>
        </w:rPr>
        <w:t>At December 31, 2020 and December 31, 2019, 15,056 and 86,409 shares, respectively, remained subject to our right of repurchase as a result of the early exercised stock options. The remaining liabilities related to early exercised shares as of December 31, 2020 and December 31, 2019 were $0 and $0.2 million, respectively, and were recorded in other liabilities.</w:t>
      </w:r>
    </w:p>
    <w:p>
      <w:pPr>
        <w:spacing w:after="0" w:line="184"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Activity under our 2020 Plan and 2014 Plan, which excludes options to purchase 66,982 shares granted outside of the 2020 Plan and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rPr>
              <w:t>Options Outstanding</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line="205"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Weighted-</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Available</w:t>
            </w: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for</w:t>
            </w: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Price Per</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Term</w:t>
            </w: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Stock Option Activity</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Grant</w:t>
            </w: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Share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Balances — December 31, 2017</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496,729</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2,056,087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Additional shares authorized</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1,969,386</w:t>
            </w:r>
          </w:p>
        </w:tc>
        <w:tc>
          <w:tcPr>
            <w:tcW w:w="1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granted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(1,617,228)</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1,617,228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(86,163)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forfeited</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620,948</w:t>
            </w:r>
          </w:p>
        </w:tc>
        <w:tc>
          <w:tcPr>
            <w:tcW w:w="1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(620,948)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Balances — December 31, 2018</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1,469,835</w:t>
            </w:r>
          </w:p>
        </w:tc>
        <w:tc>
          <w:tcPr>
            <w:tcW w:w="1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2,966,204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granted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(887,659)</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887,659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(302,512)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forfeited</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253,765</w:t>
            </w:r>
          </w:p>
        </w:tc>
        <w:tc>
          <w:tcPr>
            <w:tcW w:w="1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(253,765)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Balances — December 31, 2019</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835,941</w:t>
            </w:r>
          </w:p>
        </w:tc>
        <w:tc>
          <w:tcPr>
            <w:tcW w:w="1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3,297,586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Additional shares authorized</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5,997,435</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(2,255,690)</w:t>
            </w:r>
          </w:p>
        </w:tc>
        <w:tc>
          <w:tcPr>
            <w:tcW w:w="1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2,255,690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(358,264)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Options forfeited</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73,463</w:t>
            </w:r>
          </w:p>
        </w:tc>
        <w:tc>
          <w:tcPr>
            <w:tcW w:w="1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(73,463)</w:t>
            </w:r>
          </w:p>
        </w:tc>
        <w:tc>
          <w:tcPr>
            <w:tcW w:w="2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Balances — December 31, 2020</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4,651,149</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5,121,549</w:t>
            </w: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112,239</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 December 31, 2020</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line="20" w:lineRule="exact"/>
              <w:rPr>
                <w:sz w:val="1"/>
                <w:szCs w:val="1"/>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FF0FC"/>
            </w:tcBorders>
            <w:gridSpan w:val="2"/>
            <w:vMerge w:val="continue"/>
          </w:tcPr>
          <w:p>
            <w:pPr>
              <w:spacing w:after="0"/>
              <w:rPr>
                <w:sz w:val="21"/>
                <w:szCs w:val="21"/>
                <w:color w:val="auto"/>
              </w:rPr>
            </w:pPr>
          </w:p>
        </w:tc>
        <w:tc>
          <w:tcPr>
            <w:tcW w:w="1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5,121,549</w:t>
            </w:r>
          </w:p>
        </w:tc>
        <w:tc>
          <w:tcPr>
            <w:tcW w:w="200" w:type="dxa"/>
            <w:vAlign w:val="bottom"/>
            <w:tcBorders>
              <w:bottom w:val="single" w:sz="8" w:color="CFF0FC"/>
            </w:tcBorders>
            <w:gridSpan w:val="2"/>
            <w:vMerge w:val="continue"/>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112,239</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Exercisable at December 31, 2020</w:t>
            </w:r>
          </w:p>
        </w:tc>
        <w:tc>
          <w:tcPr>
            <w:tcW w:w="1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1,921,993</w:t>
            </w: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47,457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00" w:firstLine="1175"/>
        <w:spacing w:after="0" w:line="277" w:lineRule="auto"/>
        <w:rPr>
          <w:sz w:val="20"/>
          <w:szCs w:val="20"/>
          <w:color w:val="auto"/>
        </w:rPr>
      </w:pPr>
      <w:r>
        <w:rPr>
          <w:rFonts w:ascii="Arial" w:cs="Arial" w:eastAsia="Arial" w:hAnsi="Arial"/>
          <w:sz w:val="18"/>
          <w:szCs w:val="18"/>
          <w:color w:val="auto"/>
        </w:rPr>
        <w:t>During the years ended December 31, 2020, 2019 and 2018, 358,264, 302,512 and 86,163 shares of stock options, respectively, were exercised for cash at a weighted-average price per share of $1.88, $1.46 and $1.48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0" w:name="page141"/>
    <w:bookmarkEnd w:id="140"/>
    <w:p>
      <w:pPr>
        <w:jc w:val="both"/>
        <w:ind w:right="140"/>
        <w:spacing w:after="0" w:line="263" w:lineRule="auto"/>
        <w:rPr>
          <w:sz w:val="20"/>
          <w:szCs w:val="20"/>
          <w:color w:val="auto"/>
        </w:rPr>
      </w:pPr>
      <w:r>
        <w:rPr>
          <w:rFonts w:ascii="Arial" w:cs="Arial" w:eastAsia="Arial" w:hAnsi="Arial"/>
          <w:sz w:val="18"/>
          <w:szCs w:val="18"/>
          <w:color w:val="auto"/>
        </w:rPr>
        <w:t>respectively. The weighted-average grant date fair value of options granted for the years ended December 31, 2020, 2019 and 2018 was $9.62, $1.52 and $1.38, respectively. The intrinsic value of the stock options exercised was $7.8 million, $0.3 million, and $0 for the years ended December 31, 2020, 2019 and 2018,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Employee Stock Purchase Plan</w:t>
      </w:r>
    </w:p>
    <w:p>
      <w:pPr>
        <w:spacing w:after="0" w:line="229" w:lineRule="exact"/>
        <w:rPr>
          <w:sz w:val="20"/>
          <w:szCs w:val="20"/>
          <w:color w:val="auto"/>
        </w:rPr>
      </w:pPr>
    </w:p>
    <w:p>
      <w:pPr>
        <w:ind w:right="60" w:firstLine="1175"/>
        <w:spacing w:after="0" w:line="288" w:lineRule="auto"/>
        <w:rPr>
          <w:sz w:val="20"/>
          <w:szCs w:val="20"/>
          <w:color w:val="auto"/>
        </w:rPr>
      </w:pPr>
      <w:r>
        <w:rPr>
          <w:rFonts w:ascii="Arial" w:cs="Arial" w:eastAsia="Arial" w:hAnsi="Arial"/>
          <w:sz w:val="16"/>
          <w:szCs w:val="16"/>
          <w:color w:val="auto"/>
        </w:rPr>
        <w:t>In June 2020, our board of directors adopted, and our stockholders approved, the 2020 Employee Stock Purchase Plan (the “2020 ESPP”), which became effective on June 11, 2020. The 2020 ESPP permits participants to purchase common stock through payroll deductions of up to 15% of their eligible compensation. Employees purchase shares of common stock at a price per share equal to 85% of the lower of the fair market value at the start or end of the six-month purchase periods within the two-year offering period. A total of 650,000 shares of common stock were approved to be initially reserved for issuance under the 2020 ESPP. In addition, the number of shares of common stock available for issuance under the 2020 ESPP will be automatically increased on the first day of each calendar year during the ten-year term of the 2020 Plan, beginning with January 1, 2021 and ending with January 1, 2030, by an amount of 1% of the outstanding number of shares of our common stock on December 31</w:t>
      </w:r>
      <w:r>
        <w:rPr>
          <w:rFonts w:ascii="Arial" w:cs="Arial" w:eastAsia="Arial" w:hAnsi="Arial"/>
          <w:sz w:val="13"/>
          <w:szCs w:val="13"/>
          <w:color w:val="auto"/>
        </w:rPr>
        <w:t>st</w:t>
      </w:r>
      <w:r>
        <w:rPr>
          <w:rFonts w:ascii="Arial" w:cs="Arial" w:eastAsia="Arial" w:hAnsi="Arial"/>
          <w:sz w:val="16"/>
          <w:szCs w:val="16"/>
          <w:color w:val="auto"/>
        </w:rPr>
        <w:t xml:space="preserve"> of the preceding calendar year or such lesser amount as determined by our board of directors. For the year ended December 31, 2020, employees acquired 27,465 shares of our common stock under the 2020 ESPP and 622,535 shares of common stock remained available for issuance under the 2020 ESPP. Effective January 1, 2021, the number of shares of common stock available under the 2020 ESPP increased by 510,715 shares pursuant to the evergreen provision of the 2020 ESPP.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320" w:firstLine="1175"/>
        <w:spacing w:after="0" w:line="277" w:lineRule="auto"/>
        <w:rPr>
          <w:sz w:val="20"/>
          <w:szCs w:val="20"/>
          <w:color w:val="auto"/>
        </w:rPr>
      </w:pPr>
      <w:r>
        <w:rPr>
          <w:rFonts w:ascii="Arial" w:cs="Arial" w:eastAsia="Arial" w:hAnsi="Arial"/>
          <w:sz w:val="18"/>
          <w:szCs w:val="18"/>
          <w:color w:val="auto"/>
        </w:rPr>
        <w:t>We estimated the fair value of employee stock options using the Black-Scholes option-pricing model for the years ended December 31, 2020, 2019 and 2018 using the following weighted-average assumptions: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w w:val="91"/>
              </w:rPr>
              <w:t>Year Ended December 31,</w:t>
            </w:r>
          </w:p>
        </w:tc>
        <w:tc>
          <w:tcPr>
            <w:tcW w:w="7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5920" w:type="dxa"/>
            <w:vAlign w:val="bottom"/>
          </w:tcPr>
          <w:p>
            <w:pPr>
              <w:spacing w:after="0"/>
              <w:rPr>
                <w:sz w:val="19"/>
                <w:szCs w:val="19"/>
                <w:color w:val="auto"/>
              </w:rPr>
            </w:pPr>
          </w:p>
        </w:tc>
        <w:tc>
          <w:tcPr>
            <w:tcW w:w="14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168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23"/>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Fair Value Assumptions</w:t>
            </w:r>
          </w:p>
        </w:tc>
        <w:tc>
          <w:tcPr>
            <w:tcW w:w="7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tcPr>
          <w:p>
            <w:pPr>
              <w:jc w:val="right"/>
              <w:spacing w:after="0"/>
              <w:rPr>
                <w:sz w:val="20"/>
                <w:szCs w:val="20"/>
                <w:color w:val="auto"/>
              </w:rPr>
            </w:pPr>
            <w:r>
              <w:rPr>
                <w:rFonts w:ascii="Arial" w:cs="Arial" w:eastAsia="Arial" w:hAnsi="Arial"/>
                <w:sz w:val="18"/>
                <w:szCs w:val="18"/>
                <w:color w:val="auto"/>
              </w:rPr>
              <w:t>81.2%</w:t>
            </w:r>
          </w:p>
        </w:tc>
        <w:tc>
          <w:tcPr>
            <w:tcW w:w="740" w:type="dxa"/>
            <w:vAlign w:val="bottom"/>
          </w:tcPr>
          <w:p>
            <w:pPr>
              <w:ind w:left="20"/>
              <w:spacing w:after="0"/>
              <w:rPr>
                <w:sz w:val="20"/>
                <w:szCs w:val="20"/>
                <w:color w:val="auto"/>
              </w:rPr>
            </w:pPr>
            <w:r>
              <w:rPr>
                <w:rFonts w:ascii="Arial" w:cs="Arial" w:eastAsia="Arial" w:hAnsi="Arial"/>
                <w:sz w:val="18"/>
                <w:szCs w:val="18"/>
                <w:color w:val="auto"/>
              </w:rPr>
              <w:t>- 94.1%</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78.4%</w:t>
            </w:r>
          </w:p>
        </w:tc>
        <w:tc>
          <w:tcPr>
            <w:tcW w:w="940" w:type="dxa"/>
            <w:vAlign w:val="bottom"/>
          </w:tcPr>
          <w:p>
            <w:pPr>
              <w:ind w:left="20"/>
              <w:spacing w:after="0"/>
              <w:rPr>
                <w:sz w:val="20"/>
                <w:szCs w:val="20"/>
                <w:color w:val="auto"/>
              </w:rPr>
            </w:pPr>
            <w:r>
              <w:rPr>
                <w:rFonts w:ascii="Arial" w:cs="Arial" w:eastAsia="Arial" w:hAnsi="Arial"/>
                <w:sz w:val="18"/>
                <w:szCs w:val="18"/>
                <w:color w:val="auto"/>
              </w:rPr>
              <w:t>- 80.4%</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77.0%</w:t>
            </w:r>
          </w:p>
        </w:tc>
        <w:tc>
          <w:tcPr>
            <w:tcW w:w="960" w:type="dxa"/>
            <w:vAlign w:val="bottom"/>
          </w:tcPr>
          <w:p>
            <w:pPr>
              <w:ind w:left="20"/>
              <w:spacing w:after="0"/>
              <w:rPr>
                <w:sz w:val="20"/>
                <w:szCs w:val="20"/>
                <w:color w:val="auto"/>
              </w:rPr>
            </w:pPr>
            <w:r>
              <w:rPr>
                <w:rFonts w:ascii="Arial" w:cs="Arial" w:eastAsia="Arial" w:hAnsi="Arial"/>
                <w:sz w:val="18"/>
                <w:szCs w:val="18"/>
                <w:color w:val="auto"/>
              </w:rPr>
              <w:t>- 78.2%</w:t>
            </w: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0%</w:t>
            </w:r>
          </w:p>
        </w:tc>
        <w:tc>
          <w:tcPr>
            <w:tcW w:w="2020" w:type="dxa"/>
            <w:vAlign w:val="bottom"/>
            <w:gridSpan w:val="4"/>
            <w:shd w:val="clear" w:color="auto" w:fill="CFF0FC"/>
          </w:tcPr>
          <w:p>
            <w:pPr>
              <w:jc w:val="right"/>
              <w:ind w:right="69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710"/>
              <w:spacing w:after="0"/>
              <w:rPr>
                <w:sz w:val="20"/>
                <w:szCs w:val="20"/>
                <w:color w:val="auto"/>
              </w:rPr>
            </w:pPr>
            <w:r>
              <w:rPr>
                <w:rFonts w:ascii="Arial" w:cs="Arial" w:eastAsia="Arial" w:hAnsi="Arial"/>
                <w:sz w:val="18"/>
                <w:szCs w:val="18"/>
                <w:color w:val="auto"/>
              </w:rPr>
              <w:t>0%</w:t>
            </w: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c>
          <w:tcPr>
            <w:tcW w:w="740" w:type="dxa"/>
            <w:vAlign w:val="bottom"/>
          </w:tcPr>
          <w:p>
            <w:pPr>
              <w:ind w:left="20"/>
              <w:spacing w:after="0"/>
              <w:rPr>
                <w:sz w:val="20"/>
                <w:szCs w:val="20"/>
                <w:color w:val="auto"/>
              </w:rPr>
            </w:pPr>
            <w:r>
              <w:rPr>
                <w:rFonts w:ascii="Arial" w:cs="Arial" w:eastAsia="Arial" w:hAnsi="Arial"/>
                <w:sz w:val="18"/>
                <w:szCs w:val="18"/>
                <w:color w:val="auto"/>
              </w:rPr>
              <w:t>- 6.1</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c>
          <w:tcPr>
            <w:tcW w:w="940" w:type="dxa"/>
            <w:vAlign w:val="bottom"/>
          </w:tcPr>
          <w:p>
            <w:pPr>
              <w:ind w:left="20"/>
              <w:spacing w:after="0"/>
              <w:rPr>
                <w:sz w:val="20"/>
                <w:szCs w:val="20"/>
                <w:color w:val="auto"/>
              </w:rPr>
            </w:pPr>
            <w:r>
              <w:rPr>
                <w:rFonts w:ascii="Arial" w:cs="Arial" w:eastAsia="Arial" w:hAnsi="Arial"/>
                <w:sz w:val="18"/>
                <w:szCs w:val="18"/>
                <w:color w:val="auto"/>
              </w:rPr>
              <w:t>- 6.1</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960" w:type="dxa"/>
            <w:vAlign w:val="bottom"/>
          </w:tcPr>
          <w:p>
            <w:pPr>
              <w:ind w:left="20"/>
              <w:spacing w:after="0"/>
              <w:rPr>
                <w:sz w:val="20"/>
                <w:szCs w:val="20"/>
                <w:color w:val="auto"/>
              </w:rPr>
            </w:pPr>
            <w:r>
              <w:rPr>
                <w:rFonts w:ascii="Arial" w:cs="Arial" w:eastAsia="Arial" w:hAnsi="Arial"/>
                <w:sz w:val="18"/>
                <w:szCs w:val="18"/>
                <w:color w:val="auto"/>
              </w:rPr>
              <w:t>- 6.1</w:t>
            </w: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- 1.4%</w:t>
            </w: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- 2.4%</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- 2.9%</w:t>
            </w:r>
          </w:p>
        </w:tc>
      </w:tr>
    </w:tbl>
    <w:p>
      <w:pPr>
        <w:spacing w:after="0" w:line="229" w:lineRule="exact"/>
        <w:rPr>
          <w:sz w:val="20"/>
          <w:szCs w:val="20"/>
          <w:color w:val="auto"/>
        </w:rPr>
      </w:pPr>
    </w:p>
    <w:p>
      <w:pPr>
        <w:ind w:right="260" w:firstLine="1175"/>
        <w:spacing w:after="0" w:line="277" w:lineRule="auto"/>
        <w:rPr>
          <w:sz w:val="20"/>
          <w:szCs w:val="20"/>
          <w:color w:val="auto"/>
        </w:rPr>
      </w:pPr>
      <w:r>
        <w:rPr>
          <w:rFonts w:ascii="Arial" w:cs="Arial" w:eastAsia="Arial" w:hAnsi="Arial"/>
          <w:sz w:val="18"/>
          <w:szCs w:val="18"/>
          <w:color w:val="auto"/>
        </w:rPr>
        <w:t>We estimated the fair value of shares under the 2020 ESPP using the Black-Scholes option-pricing model for the years ended December 31, 2020, 2019 and 2018 using the following weighted-average assumptions: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Year Ended December 31,</w:t>
            </w:r>
          </w:p>
        </w:tc>
        <w:tc>
          <w:tcPr>
            <w:tcW w:w="1360" w:type="dxa"/>
            <w:vAlign w:val="bottom"/>
            <w:tcBorders>
              <w:bottom w:val="single" w:sz="8" w:color="auto"/>
            </w:tcBorders>
          </w:tcPr>
          <w:p>
            <w:pPr>
              <w:spacing w:after="0"/>
              <w:rPr>
                <w:sz w:val="20"/>
                <w:szCs w:val="20"/>
                <w:color w:val="auto"/>
              </w:rPr>
            </w:pPr>
          </w:p>
        </w:tc>
      </w:tr>
      <w:tr>
        <w:trPr>
          <w:trHeight w:val="223"/>
        </w:trPr>
        <w:tc>
          <w:tcPr>
            <w:tcW w:w="36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60" w:type="dxa"/>
            <w:vAlign w:val="bottom"/>
            <w:gridSpan w:val="2"/>
          </w:tcPr>
          <w:p>
            <w:pPr>
              <w:jc w:val="right"/>
              <w:ind w:right="619"/>
              <w:spacing w:after="0"/>
              <w:rPr>
                <w:sz w:val="20"/>
                <w:szCs w:val="20"/>
                <w:color w:val="auto"/>
              </w:rPr>
            </w:pPr>
            <w:r>
              <w:rPr>
                <w:rFonts w:ascii="Arial" w:cs="Arial" w:eastAsia="Arial" w:hAnsi="Arial"/>
                <w:sz w:val="18"/>
                <w:szCs w:val="18"/>
                <w:b w:val="1"/>
                <w:bCs w:val="1"/>
                <w:color w:val="auto"/>
              </w:rPr>
              <w:t>2020</w:t>
            </w:r>
          </w:p>
        </w:tc>
        <w:tc>
          <w:tcPr>
            <w:tcW w:w="18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center"/>
              <w:ind w:right="277"/>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Fair Value Assumptions</w:t>
            </w:r>
          </w:p>
        </w:tc>
        <w:tc>
          <w:tcPr>
            <w:tcW w:w="2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Expected volatility</w:t>
            </w:r>
          </w:p>
        </w:tc>
        <w:tc>
          <w:tcPr>
            <w:tcW w:w="2940" w:type="dxa"/>
            <w:vAlign w:val="bottom"/>
            <w:gridSpan w:val="2"/>
          </w:tcPr>
          <w:p>
            <w:pPr>
              <w:jc w:val="right"/>
              <w:spacing w:after="0"/>
              <w:rPr>
                <w:sz w:val="20"/>
                <w:szCs w:val="20"/>
                <w:color w:val="auto"/>
              </w:rPr>
            </w:pPr>
            <w:r>
              <w:rPr>
                <w:rFonts w:ascii="Arial" w:cs="Arial" w:eastAsia="Arial" w:hAnsi="Arial"/>
                <w:sz w:val="16"/>
                <w:szCs w:val="16"/>
                <w:color w:val="auto"/>
              </w:rPr>
              <w:t>105.8%</w:t>
            </w:r>
          </w:p>
        </w:tc>
        <w:tc>
          <w:tcPr>
            <w:tcW w:w="940" w:type="dxa"/>
            <w:vAlign w:val="bottom"/>
          </w:tcPr>
          <w:p>
            <w:pPr>
              <w:ind w:left="40"/>
              <w:spacing w:after="0"/>
              <w:rPr>
                <w:sz w:val="20"/>
                <w:szCs w:val="20"/>
                <w:color w:val="auto"/>
              </w:rPr>
            </w:pPr>
            <w:r>
              <w:rPr>
                <w:rFonts w:ascii="Arial" w:cs="Arial" w:eastAsia="Arial" w:hAnsi="Arial"/>
                <w:sz w:val="16"/>
                <w:szCs w:val="16"/>
                <w:color w:val="auto"/>
              </w:rPr>
              <w:t>- 158.2%</w:t>
            </w:r>
          </w:p>
        </w:tc>
        <w:tc>
          <w:tcPr>
            <w:tcW w:w="140" w:type="dxa"/>
            <w:vAlign w:val="bottom"/>
          </w:tcPr>
          <w:p>
            <w:pPr>
              <w:spacing w:after="0"/>
              <w:rPr>
                <w:sz w:val="19"/>
                <w:szCs w:val="19"/>
                <w:color w:val="auto"/>
              </w:rPr>
            </w:pPr>
          </w:p>
        </w:tc>
        <w:tc>
          <w:tcPr>
            <w:tcW w:w="2180" w:type="dxa"/>
            <w:vAlign w:val="bottom"/>
            <w:gridSpan w:val="3"/>
          </w:tcPr>
          <w:p>
            <w:pPr>
              <w:jc w:val="center"/>
              <w:ind w:right="500"/>
              <w:spacing w:after="0"/>
              <w:rPr>
                <w:sz w:val="20"/>
                <w:szCs w:val="20"/>
                <w:color w:val="auto"/>
              </w:rPr>
            </w:pPr>
            <w:r>
              <w:rPr>
                <w:rFonts w:ascii="Arial" w:cs="Arial" w:eastAsia="Arial" w:hAnsi="Arial"/>
                <w:sz w:val="16"/>
                <w:szCs w:val="16"/>
                <w:color w:val="auto"/>
              </w:rPr>
              <w:t>N/A</w:t>
            </w:r>
          </w:p>
        </w:tc>
        <w:tc>
          <w:tcPr>
            <w:tcW w:w="1360" w:type="dxa"/>
            <w:vAlign w:val="bottom"/>
          </w:tcPr>
          <w:p>
            <w:pPr>
              <w:jc w:val="center"/>
              <w:ind w:right="277"/>
              <w:spacing w:after="0"/>
              <w:rPr>
                <w:sz w:val="20"/>
                <w:szCs w:val="20"/>
                <w:color w:val="auto"/>
              </w:rPr>
            </w:pPr>
            <w:r>
              <w:rPr>
                <w:rFonts w:ascii="Arial" w:cs="Arial" w:eastAsia="Arial" w:hAnsi="Arial"/>
                <w:sz w:val="16"/>
                <w:szCs w:val="16"/>
                <w:color w:val="auto"/>
              </w:rPr>
              <w:t>N/A</w:t>
            </w: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3880" w:type="dxa"/>
            <w:vAlign w:val="bottom"/>
            <w:gridSpan w:val="3"/>
            <w:shd w:val="clear" w:color="auto" w:fill="CFF0FC"/>
          </w:tcPr>
          <w:p>
            <w:pPr>
              <w:jc w:val="right"/>
              <w:ind w:right="699"/>
              <w:spacing w:after="0"/>
              <w:rPr>
                <w:sz w:val="20"/>
                <w:szCs w:val="20"/>
                <w:color w:val="auto"/>
              </w:rPr>
            </w:pPr>
            <w:r>
              <w:rPr>
                <w:rFonts w:ascii="Arial" w:cs="Arial" w:eastAsia="Arial" w:hAnsi="Arial"/>
                <w:sz w:val="16"/>
                <w:szCs w:val="16"/>
                <w:color w:val="auto"/>
              </w:rPr>
              <w:t>0%</w:t>
            </w:r>
          </w:p>
        </w:tc>
        <w:tc>
          <w:tcPr>
            <w:tcW w:w="140" w:type="dxa"/>
            <w:vAlign w:val="bottom"/>
            <w:shd w:val="clear" w:color="auto" w:fill="CFF0FC"/>
          </w:tcPr>
          <w:p>
            <w:pPr>
              <w:spacing w:after="0"/>
              <w:rPr>
                <w:sz w:val="19"/>
                <w:szCs w:val="19"/>
                <w:color w:val="auto"/>
              </w:rPr>
            </w:pPr>
          </w:p>
        </w:tc>
        <w:tc>
          <w:tcPr>
            <w:tcW w:w="2180" w:type="dxa"/>
            <w:vAlign w:val="bottom"/>
            <w:gridSpan w:val="3"/>
            <w:shd w:val="clear" w:color="auto" w:fill="CFF0FC"/>
          </w:tcPr>
          <w:p>
            <w:pPr>
              <w:jc w:val="center"/>
              <w:ind w:right="500"/>
              <w:spacing w:after="0"/>
              <w:rPr>
                <w:sz w:val="20"/>
                <w:szCs w:val="20"/>
                <w:color w:val="auto"/>
              </w:rPr>
            </w:pPr>
            <w:r>
              <w:rPr>
                <w:rFonts w:ascii="Arial" w:cs="Arial" w:eastAsia="Arial" w:hAnsi="Arial"/>
                <w:sz w:val="16"/>
                <w:szCs w:val="16"/>
                <w:color w:val="auto"/>
              </w:rPr>
              <w:t>N/A</w:t>
            </w:r>
          </w:p>
        </w:tc>
        <w:tc>
          <w:tcPr>
            <w:tcW w:w="1360" w:type="dxa"/>
            <w:vAlign w:val="bottom"/>
            <w:shd w:val="clear" w:color="auto" w:fill="CFF0FC"/>
          </w:tcPr>
          <w:p>
            <w:pPr>
              <w:jc w:val="center"/>
              <w:ind w:right="277"/>
              <w:spacing w:after="0"/>
              <w:rPr>
                <w:sz w:val="20"/>
                <w:szCs w:val="20"/>
                <w:color w:val="auto"/>
              </w:rPr>
            </w:pPr>
            <w:r>
              <w:rPr>
                <w:rFonts w:ascii="Arial" w:cs="Arial" w:eastAsia="Arial" w:hAnsi="Arial"/>
                <w:sz w:val="16"/>
                <w:szCs w:val="16"/>
                <w:color w:val="auto"/>
              </w:rPr>
              <w:t>N/A</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94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940" w:type="dxa"/>
            <w:vAlign w:val="bottom"/>
          </w:tcPr>
          <w:p>
            <w:pPr>
              <w:ind w:left="40"/>
              <w:spacing w:after="0"/>
              <w:rPr>
                <w:sz w:val="20"/>
                <w:szCs w:val="20"/>
                <w:color w:val="auto"/>
              </w:rPr>
            </w:pPr>
            <w:r>
              <w:rPr>
                <w:rFonts w:ascii="Arial" w:cs="Arial" w:eastAsia="Arial" w:hAnsi="Arial"/>
                <w:sz w:val="16"/>
                <w:szCs w:val="16"/>
                <w:color w:val="auto"/>
              </w:rPr>
              <w:t>- 2.0</w:t>
            </w:r>
          </w:p>
        </w:tc>
        <w:tc>
          <w:tcPr>
            <w:tcW w:w="140" w:type="dxa"/>
            <w:vAlign w:val="bottom"/>
          </w:tcPr>
          <w:p>
            <w:pPr>
              <w:spacing w:after="0"/>
              <w:rPr>
                <w:sz w:val="19"/>
                <w:szCs w:val="19"/>
                <w:color w:val="auto"/>
              </w:rPr>
            </w:pPr>
          </w:p>
        </w:tc>
        <w:tc>
          <w:tcPr>
            <w:tcW w:w="2180" w:type="dxa"/>
            <w:vAlign w:val="bottom"/>
            <w:gridSpan w:val="3"/>
          </w:tcPr>
          <w:p>
            <w:pPr>
              <w:jc w:val="center"/>
              <w:ind w:right="500"/>
              <w:spacing w:after="0"/>
              <w:rPr>
                <w:sz w:val="20"/>
                <w:szCs w:val="20"/>
                <w:color w:val="auto"/>
              </w:rPr>
            </w:pPr>
            <w:r>
              <w:rPr>
                <w:rFonts w:ascii="Arial" w:cs="Arial" w:eastAsia="Arial" w:hAnsi="Arial"/>
                <w:sz w:val="16"/>
                <w:szCs w:val="16"/>
                <w:color w:val="auto"/>
              </w:rPr>
              <w:t>N/A</w:t>
            </w:r>
          </w:p>
        </w:tc>
        <w:tc>
          <w:tcPr>
            <w:tcW w:w="1360" w:type="dxa"/>
            <w:vAlign w:val="bottom"/>
          </w:tcPr>
          <w:p>
            <w:pPr>
              <w:jc w:val="center"/>
              <w:ind w:right="277"/>
              <w:spacing w:after="0"/>
              <w:rPr>
                <w:sz w:val="20"/>
                <w:szCs w:val="20"/>
                <w:color w:val="auto"/>
              </w:rPr>
            </w:pPr>
            <w:r>
              <w:rPr>
                <w:rFonts w:ascii="Arial" w:cs="Arial" w:eastAsia="Arial" w:hAnsi="Arial"/>
                <w:sz w:val="16"/>
                <w:szCs w:val="16"/>
                <w:color w:val="auto"/>
              </w:rPr>
              <w:t>N/A</w:t>
            </w: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940" w:type="dxa"/>
            <w:vAlign w:val="bottom"/>
            <w:shd w:val="clear" w:color="auto" w:fill="CFF0FC"/>
          </w:tcPr>
          <w:p>
            <w:pPr>
              <w:ind w:left="40"/>
              <w:spacing w:after="0"/>
              <w:rPr>
                <w:sz w:val="20"/>
                <w:szCs w:val="20"/>
                <w:color w:val="auto"/>
              </w:rPr>
            </w:pPr>
            <w:r>
              <w:rPr>
                <w:rFonts w:ascii="Arial" w:cs="Arial" w:eastAsia="Arial" w:hAnsi="Arial"/>
                <w:sz w:val="16"/>
                <w:szCs w:val="16"/>
                <w:color w:val="auto"/>
              </w:rPr>
              <w:t>- 0.2%</w:t>
            </w:r>
          </w:p>
        </w:tc>
        <w:tc>
          <w:tcPr>
            <w:tcW w:w="140" w:type="dxa"/>
            <w:vAlign w:val="bottom"/>
            <w:shd w:val="clear" w:color="auto" w:fill="CFF0FC"/>
          </w:tcPr>
          <w:p>
            <w:pPr>
              <w:spacing w:after="0"/>
              <w:rPr>
                <w:sz w:val="19"/>
                <w:szCs w:val="19"/>
                <w:color w:val="auto"/>
              </w:rPr>
            </w:pPr>
          </w:p>
        </w:tc>
        <w:tc>
          <w:tcPr>
            <w:tcW w:w="2180" w:type="dxa"/>
            <w:vAlign w:val="bottom"/>
            <w:gridSpan w:val="3"/>
            <w:shd w:val="clear" w:color="auto" w:fill="CFF0FC"/>
          </w:tcPr>
          <w:p>
            <w:pPr>
              <w:jc w:val="center"/>
              <w:ind w:right="500"/>
              <w:spacing w:after="0"/>
              <w:rPr>
                <w:sz w:val="20"/>
                <w:szCs w:val="20"/>
                <w:color w:val="auto"/>
              </w:rPr>
            </w:pPr>
            <w:r>
              <w:rPr>
                <w:rFonts w:ascii="Arial" w:cs="Arial" w:eastAsia="Arial" w:hAnsi="Arial"/>
                <w:sz w:val="16"/>
                <w:szCs w:val="16"/>
                <w:color w:val="auto"/>
              </w:rPr>
              <w:t>N/A</w:t>
            </w:r>
          </w:p>
        </w:tc>
        <w:tc>
          <w:tcPr>
            <w:tcW w:w="1360" w:type="dxa"/>
            <w:vAlign w:val="bottom"/>
            <w:shd w:val="clear" w:color="auto" w:fill="CFF0FC"/>
          </w:tcPr>
          <w:p>
            <w:pPr>
              <w:jc w:val="center"/>
              <w:ind w:right="277"/>
              <w:spacing w:after="0"/>
              <w:rPr>
                <w:sz w:val="20"/>
                <w:szCs w:val="20"/>
                <w:color w:val="auto"/>
              </w:rPr>
            </w:pPr>
            <w:r>
              <w:rPr>
                <w:rFonts w:ascii="Arial" w:cs="Arial" w:eastAsia="Arial" w:hAnsi="Arial"/>
                <w:sz w:val="16"/>
                <w:szCs w:val="16"/>
                <w:color w:val="auto"/>
              </w:rPr>
              <w:t>N/A</w:t>
            </w:r>
          </w:p>
        </w:tc>
      </w:tr>
      <w:tr>
        <w:trPr>
          <w:trHeight w:val="675"/>
        </w:trPr>
        <w:tc>
          <w:tcPr>
            <w:tcW w:w="3680" w:type="dxa"/>
            <w:vAlign w:val="bottom"/>
          </w:tcPr>
          <w:p>
            <w:pPr>
              <w:spacing w:after="0"/>
              <w:rPr>
                <w:sz w:val="24"/>
                <w:szCs w:val="24"/>
                <w:color w:val="auto"/>
              </w:rPr>
            </w:pPr>
          </w:p>
        </w:tc>
        <w:tc>
          <w:tcPr>
            <w:tcW w:w="2220" w:type="dxa"/>
            <w:vAlign w:val="bottom"/>
          </w:tcPr>
          <w:p>
            <w:pPr>
              <w:jc w:val="right"/>
              <w:ind w:right="57"/>
              <w:spacing w:after="0"/>
              <w:rPr>
                <w:sz w:val="20"/>
                <w:szCs w:val="20"/>
                <w:color w:val="auto"/>
              </w:rPr>
            </w:pPr>
            <w:r>
              <w:rPr>
                <w:rFonts w:ascii="Arial" w:cs="Arial" w:eastAsia="Arial" w:hAnsi="Arial"/>
                <w:sz w:val="18"/>
                <w:szCs w:val="18"/>
                <w:color w:val="auto"/>
              </w:rPr>
              <w:t>136</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1" w:name="page142"/>
    <w:bookmarkEnd w:id="141"/>
    <w:p>
      <w:pPr>
        <w:ind w:right="120" w:firstLine="1175"/>
        <w:spacing w:after="0" w:line="277" w:lineRule="auto"/>
        <w:rPr>
          <w:sz w:val="20"/>
          <w:szCs w:val="20"/>
          <w:color w:val="auto"/>
        </w:rPr>
      </w:pPr>
      <w:r>
        <w:rPr>
          <w:rFonts w:ascii="Arial" w:cs="Arial" w:eastAsia="Arial" w:hAnsi="Arial"/>
          <w:sz w:val="18"/>
          <w:szCs w:val="18"/>
          <w:color w:val="auto"/>
        </w:rPr>
        <w:t>We recorded total stock-based compensation expense for the years ended December 31, 2020, 2019 and 2018 related to the 2014 Plan, the 2020 Plan and the 2020 ESPP in the statements of operations and allocated the amounts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23"/>
        </w:trPr>
        <w:tc>
          <w:tcPr>
            <w:tcW w:w="59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23"/>
        </w:trPr>
        <w:tc>
          <w:tcPr>
            <w:tcW w:w="5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368</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274</w:t>
            </w:r>
          </w:p>
        </w:tc>
      </w:tr>
      <w:tr>
        <w:trPr>
          <w:trHeight w:val="229"/>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817</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475</w:t>
            </w:r>
          </w:p>
        </w:tc>
      </w:tr>
      <w:tr>
        <w:trPr>
          <w:trHeight w:val="223"/>
        </w:trPr>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5,434</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1,185</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749</w:t>
            </w:r>
          </w:p>
        </w:tc>
      </w:tr>
      <w:tr>
        <w:trPr>
          <w:trHeight w:val="20"/>
        </w:trPr>
        <w:tc>
          <w:tcPr>
            <w:tcW w:w="5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580" w:firstLine="1175"/>
        <w:spacing w:after="0" w:line="342" w:lineRule="auto"/>
        <w:rPr>
          <w:sz w:val="20"/>
          <w:szCs w:val="20"/>
          <w:color w:val="auto"/>
        </w:rPr>
      </w:pPr>
      <w:r>
        <w:rPr>
          <w:rFonts w:ascii="Arial" w:cs="Arial" w:eastAsia="Arial" w:hAnsi="Arial"/>
          <w:sz w:val="16"/>
          <w:szCs w:val="16"/>
          <w:color w:val="auto"/>
        </w:rPr>
        <w:t>Upon our IPO, 362,935 performance-based awards vested and, as a result, we recognized $0.3 million of stock-based compensation expense during the three months ended June 30, 2020, which amount is included in the above table for the year ended December 31, 2020.</w:t>
      </w:r>
    </w:p>
    <w:p>
      <w:pPr>
        <w:spacing w:after="0" w:line="124" w:lineRule="exact"/>
        <w:rPr>
          <w:sz w:val="20"/>
          <w:szCs w:val="20"/>
          <w:color w:val="auto"/>
        </w:rPr>
      </w:pPr>
    </w:p>
    <w:p>
      <w:pPr>
        <w:ind w:right="240" w:firstLine="1175"/>
        <w:spacing w:after="0" w:line="277" w:lineRule="auto"/>
        <w:rPr>
          <w:sz w:val="20"/>
          <w:szCs w:val="20"/>
          <w:color w:val="auto"/>
        </w:rPr>
      </w:pPr>
      <w:r>
        <w:rPr>
          <w:rFonts w:ascii="Arial" w:cs="Arial" w:eastAsia="Arial" w:hAnsi="Arial"/>
          <w:sz w:val="18"/>
          <w:szCs w:val="18"/>
          <w:color w:val="auto"/>
        </w:rPr>
        <w:t>As of December 31, 2020, there was $19.5 million of unrecognized stock-based compensation expense related to the employee and non-employee awards, which is expected to be recognized over a weighted-average period of 2.7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Funding Arrangement</w:t>
      </w:r>
    </w:p>
    <w:p>
      <w:pPr>
        <w:spacing w:after="0" w:line="229" w:lineRule="exact"/>
        <w:rPr>
          <w:sz w:val="20"/>
          <w:szCs w:val="20"/>
          <w:color w:val="auto"/>
        </w:rPr>
      </w:pPr>
    </w:p>
    <w:p>
      <w:pPr>
        <w:ind w:right="20" w:firstLine="1175"/>
        <w:spacing w:after="0" w:line="269" w:lineRule="auto"/>
        <w:rPr>
          <w:sz w:val="20"/>
          <w:szCs w:val="20"/>
          <w:color w:val="auto"/>
        </w:rPr>
      </w:pPr>
      <w:r>
        <w:rPr>
          <w:rFonts w:ascii="Arial" w:cs="Arial" w:eastAsia="Arial" w:hAnsi="Arial"/>
          <w:sz w:val="17"/>
          <w:szCs w:val="17"/>
          <w:color w:val="auto"/>
        </w:rPr>
        <w:t>In July 2019, we received a cost-reimbursement research award from Combating Antibiotic Resistant Bacteria Biopharmaceutical Accelerator (“CARB-X”), a public-private partnership funded under a Cooperative Agreement from Assistant Secretary for Preparedness and Response/Biomedical Advanced Research and Development Authority (“BARDA”) and by awards from Wellcome Trust, Germany’s Federal Ministry of Education and Research, the United Kingdom Global Antimicrobial Resistance Innovation Fund and the Bill &amp; Melinda Gates Foundation. In connection with this funding, we entered into a cost-reimbursement sub-award agreement with the Trustees of Boston University, the administrator of the program. The initial award provided the potential for funding up to four years to develop a universal vaccine to prevent infections caused by Group A Strep bacteria, which include pharyngitis, impetigo and necrotizing fasciitis, at an amount equal to 50% of reimbursable expenses up to specified amounts. The initial award committed initial funding of up to $1.6 million and, subject to a CARB-X decision to extend the options, up to $15.1 million in total funding available upon achievement of development milestones over the next four years. Specified research expenditures are reimbursable expenses associated with agreed-upon activities needed to advance the research project supported by the grant. These expenditures can include labor, laboratory supplies, travel, consulting and third-party vendor research and development support costs.</w:t>
      </w:r>
    </w:p>
    <w:p>
      <w:pPr>
        <w:spacing w:after="0" w:line="182" w:lineRule="exact"/>
        <w:rPr>
          <w:sz w:val="20"/>
          <w:szCs w:val="20"/>
          <w:color w:val="auto"/>
        </w:rPr>
      </w:pPr>
    </w:p>
    <w:p>
      <w:pPr>
        <w:jc w:val="both"/>
        <w:ind w:right="20" w:firstLine="1175"/>
        <w:spacing w:after="0" w:line="299" w:lineRule="auto"/>
        <w:rPr>
          <w:sz w:val="20"/>
          <w:szCs w:val="20"/>
          <w:color w:val="auto"/>
        </w:rPr>
      </w:pPr>
      <w:r>
        <w:rPr>
          <w:rFonts w:ascii="Arial" w:cs="Arial" w:eastAsia="Arial" w:hAnsi="Arial"/>
          <w:sz w:val="16"/>
          <w:szCs w:val="16"/>
          <w:color w:val="auto"/>
        </w:rPr>
        <w:t>Income from grants is recognized in the period during which the related specified expenses are incurred, provided that the conditions under which the grants were provided have been met. We recognized $2.5 million and $0.2 million of grant income under this award and recorded the amounts in Other income (expense), net in the statement of operations and comprehensive loss during the years ended December 31, 2020 and 2019, respectively.</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There was no grant income recorded in the year ended December 31, 2018. A grant receivable of $0.3 million and $0.2 million representing unreimbursed, eligible costs incurred under the CARB-X agreement was recorded and included in prepaid expenses and other current assets in the balance sheet as of December 31, 2020 and December 31, 2019, respectively.</w:t>
      </w:r>
    </w:p>
    <w:p>
      <w:pPr>
        <w:spacing w:after="0" w:line="190" w:lineRule="exact"/>
        <w:rPr>
          <w:sz w:val="20"/>
          <w:szCs w:val="20"/>
          <w:color w:val="auto"/>
        </w:rPr>
      </w:pPr>
    </w:p>
    <w:p>
      <w:pPr>
        <w:ind w:right="20" w:firstLine="1175"/>
        <w:spacing w:after="0" w:line="255" w:lineRule="auto"/>
        <w:rPr>
          <w:sz w:val="20"/>
          <w:szCs w:val="20"/>
          <w:color w:val="auto"/>
        </w:rPr>
      </w:pPr>
      <w:r>
        <w:rPr>
          <w:rFonts w:ascii="Arial" w:cs="Arial" w:eastAsia="Arial" w:hAnsi="Arial"/>
          <w:sz w:val="18"/>
          <w:szCs w:val="18"/>
          <w:color w:val="auto"/>
        </w:rPr>
        <w:t>In July 2020, the CARB-X agreement was amended to increase the funding percentage for reimbursable expenses during the initial funding period from 50% to 90%. As a result, the initial funding amount increased from $1.6 million to $2.7 million. We anticipate that the increase in the funding percentage for reimbursable expenses may apply to future funding periods and, if so, the total funding amount over the four-year period, if the options to extend are exercised by CARB-X, would increase from the $15.1 million in the original agreement. In December 2020, we reached the maximum CARB-X funding limit for the initial year on our VAX-A1 program. We are in the process of submitting our funding proposal to CARB-X for the next funding period under our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11. Net Loss Per Share</w:t>
      </w:r>
    </w:p>
    <w:p>
      <w:pPr>
        <w:spacing w:after="0" w:line="229" w:lineRule="exact"/>
        <w:rPr>
          <w:sz w:val="20"/>
          <w:szCs w:val="20"/>
          <w:color w:val="auto"/>
        </w:rPr>
      </w:pPr>
    </w:p>
    <w:p>
      <w:pPr>
        <w:ind w:firstLine="1175"/>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and excludes shares which are legally outstanding, but subject to repurchase by us: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 thousands)</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(89,217)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(50,274)</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(29,485)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 used in computing net</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6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loss per share, basic and diluted</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29,545,810</w:t>
            </w:r>
          </w:p>
        </w:tc>
        <w:tc>
          <w:tcPr>
            <w:tcW w:w="24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3,795,090</w:t>
            </w:r>
          </w:p>
        </w:tc>
        <w:tc>
          <w:tcPr>
            <w:tcW w:w="24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3,629,896</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1175"/>
        <w:spacing w:after="0" w:line="277" w:lineRule="auto"/>
        <w:rPr>
          <w:sz w:val="20"/>
          <w:szCs w:val="20"/>
          <w:color w:val="auto"/>
        </w:rPr>
      </w:pPr>
      <w:r>
        <w:rPr>
          <w:rFonts w:ascii="Arial" w:cs="Arial" w:eastAsia="Arial" w:hAnsi="Arial"/>
          <w:sz w:val="18"/>
          <w:szCs w:val="18"/>
          <w:color w:val="auto"/>
        </w:rPr>
        <w:t>The following potentially dilutive securities were excluded from the computation of diluted net loss per share for the period presented because including them would have been antidilutive: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420" w:type="dxa"/>
            <w:vAlign w:val="bottom"/>
            <w:tcBorders>
              <w:bottom w:val="single" w:sz="8" w:color="auto"/>
            </w:tcBorders>
            <w:gridSpan w:val="5"/>
          </w:tcPr>
          <w:p>
            <w:pPr>
              <w:ind w:left="1240"/>
              <w:spacing w:after="0"/>
              <w:rPr>
                <w:sz w:val="20"/>
                <w:szCs w:val="20"/>
                <w:color w:val="auto"/>
              </w:rPr>
            </w:pPr>
            <w:r>
              <w:rPr>
                <w:rFonts w:ascii="Arial" w:cs="Arial" w:eastAsia="Arial" w:hAnsi="Arial"/>
                <w:sz w:val="18"/>
                <w:szCs w:val="18"/>
                <w:b w:val="1"/>
                <w:bCs w:val="1"/>
                <w:color w:val="auto"/>
                <w:w w:val="97"/>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5,188,531</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3,364,568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3,033,186</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Series A</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6,225,719</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6,225,719</w:t>
            </w:r>
          </w:p>
        </w:tc>
      </w:tr>
      <w:tr>
        <w:trPr>
          <w:trHeight w:val="229"/>
        </w:trPr>
        <w:tc>
          <w:tcPr>
            <w:tcW w:w="6660" w:type="dxa"/>
            <w:vAlign w:val="bottom"/>
          </w:tcPr>
          <w:p>
            <w:pPr>
              <w:ind w:left="260"/>
              <w:spacing w:after="0"/>
              <w:rPr>
                <w:sz w:val="20"/>
                <w:szCs w:val="20"/>
                <w:color w:val="auto"/>
              </w:rPr>
            </w:pPr>
            <w:r>
              <w:rPr>
                <w:rFonts w:ascii="Arial" w:cs="Arial" w:eastAsia="Arial" w:hAnsi="Arial"/>
                <w:sz w:val="18"/>
                <w:szCs w:val="18"/>
                <w:color w:val="auto"/>
              </w:rPr>
              <w:t>Series B</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6,786,896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6,786,896</w:t>
            </w: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Series C</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7,377,480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3,688,740</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Common stock warrant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31,857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31,857</w:t>
            </w: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 warrant</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59,276</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59,276</w:t>
            </w:r>
          </w:p>
        </w:tc>
      </w:tr>
      <w:tr>
        <w:trPr>
          <w:trHeight w:val="223"/>
        </w:trPr>
        <w:tc>
          <w:tcPr>
            <w:tcW w:w="6660" w:type="dxa"/>
            <w:vAlign w:val="bottom"/>
          </w:tcPr>
          <w:p>
            <w:pPr>
              <w:ind w:left="26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5,188,531</w:t>
            </w:r>
          </w:p>
        </w:tc>
        <w:tc>
          <w:tcPr>
            <w:tcW w:w="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23,845,796</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19,825,674</w:t>
            </w:r>
          </w:p>
        </w:tc>
      </w:tr>
      <w:tr>
        <w:trPr>
          <w:trHeight w:val="20"/>
        </w:trPr>
        <w:tc>
          <w:tcPr>
            <w:tcW w:w="6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5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Our pre-tax book loss was derived from our business operations within the United States.</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 reconciliation of our effective tax rate to the statutory U.S. federal rate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b w:val="1"/>
                <w:bCs w:val="1"/>
                <w:color w:val="auto"/>
                <w:w w:val="90"/>
              </w:rPr>
              <w:t>Year Ended December 31,</w:t>
            </w:r>
          </w:p>
        </w:tc>
        <w:tc>
          <w:tcPr>
            <w:tcW w:w="1520" w:type="dxa"/>
            <w:vAlign w:val="bottom"/>
            <w:tcBorders>
              <w:bottom w:val="single" w:sz="8" w:color="auto"/>
            </w:tcBorders>
          </w:tcPr>
          <w:p>
            <w:pPr>
              <w:spacing w:after="0"/>
              <w:rPr>
                <w:sz w:val="20"/>
                <w:szCs w:val="20"/>
                <w:color w:val="auto"/>
              </w:rPr>
            </w:pPr>
          </w:p>
        </w:tc>
      </w:tr>
      <w:tr>
        <w:trPr>
          <w:trHeight w:val="237"/>
        </w:trPr>
        <w:tc>
          <w:tcPr>
            <w:tcW w:w="7240" w:type="dxa"/>
            <w:vAlign w:val="bottom"/>
            <w:gridSpan w:val="2"/>
          </w:tcPr>
          <w:p>
            <w:pPr>
              <w:ind w:left="6840"/>
              <w:spacing w:after="0"/>
              <w:rPr>
                <w:sz w:val="20"/>
                <w:szCs w:val="20"/>
                <w:color w:val="auto"/>
              </w:rPr>
            </w:pPr>
            <w:r>
              <w:rPr>
                <w:rFonts w:ascii="Arial" w:cs="Arial" w:eastAsia="Arial" w:hAnsi="Arial"/>
                <w:sz w:val="18"/>
                <w:szCs w:val="18"/>
                <w:b w:val="1"/>
                <w:bCs w:val="1"/>
                <w:color w:val="auto"/>
                <w:w w:val="94"/>
              </w:rPr>
              <w:t>2020</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5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r>
              <w:rPr>
                <w:rFonts w:ascii="Arial" w:cs="Arial" w:eastAsia="Arial" w:hAnsi="Arial"/>
                <w:sz w:val="15"/>
                <w:szCs w:val="15"/>
                <w:b w:val="1"/>
                <w:bCs w:val="1"/>
                <w:color w:val="auto"/>
              </w:rPr>
              <w:t>(1)</w:t>
            </w:r>
          </w:p>
        </w:tc>
      </w:tr>
      <w:tr>
        <w:trPr>
          <w:trHeight w:val="223"/>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Statutory Rate</w:t>
            </w:r>
          </w:p>
        </w:tc>
        <w:tc>
          <w:tcPr>
            <w:tcW w:w="8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Change in Fair Value of Tranche Liability</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7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Credits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7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(22.1)%</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23"/>
        </w:trPr>
        <w:tc>
          <w:tcPr>
            <w:tcW w:w="64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0"/>
        </w:trPr>
        <w:tc>
          <w:tcPr>
            <w:tcW w:w="6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5480" w:right="2320" w:hanging="5040"/>
        <w:spacing w:after="0" w:line="841" w:lineRule="auto"/>
        <w:tabs>
          <w:tab w:leader="none" w:pos="128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2018 effective tax rate reconciliation has been updated to conform to the 2020 and 2019 presentation. 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-920115</wp:posOffset>
            </wp:positionV>
            <wp:extent cx="16459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-272415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3" w:name="page144"/>
    <w:bookmarkEnd w:id="143"/>
    <w:p>
      <w:pPr>
        <w:ind w:right="120" w:firstLine="1175"/>
        <w:spacing w:after="0" w:line="27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the assets and liabilities for financial reporting purposes and the amounts used for income tax purposes. The following table presents significant components of our deferred tax assets as of December 31, 2020 and 2019: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480" w:type="dxa"/>
            <w:vAlign w:val="bottom"/>
            <w:tcBorders>
              <w:bottom w:val="single" w:sz="8" w:color="auto"/>
            </w:tcBorders>
            <w:gridSpan w:val="5"/>
          </w:tcPr>
          <w:p>
            <w:pPr>
              <w:jc w:val="right"/>
              <w:ind w:right="97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7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 xml:space="preserve">2019 </w:t>
            </w:r>
            <w:r>
              <w:rPr>
                <w:rFonts w:ascii="Arial" w:cs="Arial" w:eastAsia="Arial" w:hAnsi="Arial"/>
                <w:sz w:val="15"/>
                <w:szCs w:val="15"/>
                <w:b w:val="1"/>
                <w:bCs w:val="1"/>
                <w:color w:val="auto"/>
                <w:w w:val="94"/>
              </w:rPr>
              <w:t>(1)</w:t>
            </w:r>
          </w:p>
        </w:tc>
      </w:tr>
      <w:tr>
        <w:trPr>
          <w:trHeight w:val="223"/>
        </w:trPr>
        <w:tc>
          <w:tcPr>
            <w:tcW w:w="7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122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losses</w:t>
            </w:r>
          </w:p>
        </w:tc>
        <w:tc>
          <w:tcPr>
            <w:tcW w:w="960" w:type="dxa"/>
            <w:vAlign w:val="bottom"/>
            <w:shd w:val="clear" w:color="auto" w:fill="CFF0FC"/>
          </w:tcPr>
          <w:p>
            <w:pPr>
              <w:jc w:val="right"/>
              <w:ind w:right="798"/>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8"/>
              </w:rPr>
              <w:t>52,330</w:t>
            </w:r>
          </w:p>
        </w:tc>
        <w:tc>
          <w:tcPr>
            <w:tcW w:w="6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25,582</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Fixed assets</w:t>
            </w:r>
          </w:p>
        </w:tc>
        <w:tc>
          <w:tcPr>
            <w:tcW w:w="96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528</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379</w:t>
            </w: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Accruals &amp; reserves</w:t>
            </w:r>
          </w:p>
        </w:tc>
        <w:tc>
          <w:tcPr>
            <w:tcW w:w="9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2,786</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467</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Credits</w:t>
            </w:r>
          </w:p>
        </w:tc>
        <w:tc>
          <w:tcPr>
            <w:tcW w:w="96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1,222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872</w:t>
            </w: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Section 59(e) Capitalized expenses</w:t>
            </w:r>
          </w:p>
        </w:tc>
        <w:tc>
          <w:tcPr>
            <w:tcW w:w="9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3,381</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manufacturing expenses</w:t>
            </w: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3,374</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871</w:t>
            </w: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8"/>
              </w:rPr>
              <w:t>63,621</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28,171</w:t>
            </w: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Valuation allowance</w:t>
            </w: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(63,621)</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(28,171)</w:t>
            </w: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960" w:type="dxa"/>
            <w:vAlign w:val="bottom"/>
            <w:tcBorders>
              <w:bottom w:val="single" w:sz="8" w:color="auto"/>
            </w:tcBorders>
            <w:shd w:val="clear" w:color="auto" w:fill="CFF0FC"/>
          </w:tcPr>
          <w:p>
            <w:pPr>
              <w:jc w:val="right"/>
              <w:ind w:right="798"/>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-154940</wp:posOffset>
            </wp:positionV>
            <wp:extent cx="221170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ind w:left="1100" w:hanging="660"/>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2019 deferred tax asset presentation has been updated to conform to the 2020 presentation.</w:t>
      </w:r>
    </w:p>
    <w:p>
      <w:pPr>
        <w:spacing w:after="0" w:line="263" w:lineRule="exact"/>
        <w:rPr>
          <w:sz w:val="20"/>
          <w:szCs w:val="20"/>
          <w:color w:val="auto"/>
        </w:rPr>
      </w:pPr>
    </w:p>
    <w:p>
      <w:pPr>
        <w:ind w:right="160" w:firstLine="1175"/>
        <w:spacing w:after="0" w:line="301" w:lineRule="auto"/>
        <w:rPr>
          <w:sz w:val="20"/>
          <w:szCs w:val="20"/>
          <w:color w:val="auto"/>
        </w:rPr>
      </w:pPr>
      <w:r>
        <w:rPr>
          <w:rFonts w:ascii="Arial" w:cs="Arial" w:eastAsia="Arial" w:hAnsi="Arial"/>
          <w:sz w:val="16"/>
          <w:szCs w:val="16"/>
          <w:color w:val="auto"/>
        </w:rPr>
        <w:t>At December 31, 2020, we have net operating loss carryforwards of approximately $186.5 million and $148.8 million available to reduce future taxable income, if any, for federal and state income tax purposes, respectively. The federal and state net operating loss carryforwards, except the federal loss carryforward arising in tax years beginning after December 31, 2017, begin to expire in 2034 unless previously utilized. Federal net operating losses arising in tax years beginning after December 31, 2017 have an indefinite carryover period and do not expire.</w:t>
      </w:r>
    </w:p>
    <w:p>
      <w:pPr>
        <w:spacing w:after="0" w:line="157" w:lineRule="exact"/>
        <w:rPr>
          <w:sz w:val="20"/>
          <w:szCs w:val="20"/>
          <w:color w:val="auto"/>
        </w:rPr>
      </w:pPr>
    </w:p>
    <w:p>
      <w:pPr>
        <w:jc w:val="both"/>
        <w:ind w:right="560" w:firstLine="1175"/>
        <w:spacing w:after="0" w:line="263" w:lineRule="auto"/>
        <w:rPr>
          <w:sz w:val="20"/>
          <w:szCs w:val="20"/>
          <w:color w:val="auto"/>
        </w:rPr>
      </w:pPr>
      <w:r>
        <w:rPr>
          <w:rFonts w:ascii="Arial" w:cs="Arial" w:eastAsia="Arial" w:hAnsi="Arial"/>
          <w:sz w:val="18"/>
          <w:szCs w:val="18"/>
          <w:color w:val="auto"/>
        </w:rPr>
        <w:t>At December 31, 2020, we have research credit carryforwards of $0.8 million and $0.9 million available to offset future income tax liabilities, if any, for federal and California income tax purposes, respectively. The federal research and development tax credit carryforwards expire beginning in 2039 unless previously utilized. The California tax credits can be carried forward indefinitely.</w:t>
      </w:r>
    </w:p>
    <w:p>
      <w:pPr>
        <w:spacing w:after="0" w:line="184" w:lineRule="exact"/>
        <w:rPr>
          <w:sz w:val="20"/>
          <w:szCs w:val="20"/>
          <w:color w:val="auto"/>
        </w:rPr>
      </w:pPr>
    </w:p>
    <w:p>
      <w:pPr>
        <w:ind w:right="320" w:firstLine="1175"/>
        <w:spacing w:after="0" w:line="263" w:lineRule="auto"/>
        <w:rPr>
          <w:sz w:val="20"/>
          <w:szCs w:val="20"/>
          <w:color w:val="auto"/>
        </w:rPr>
      </w:pPr>
      <w:r>
        <w:rPr>
          <w:rFonts w:ascii="Arial" w:cs="Arial" w:eastAsia="Arial" w:hAnsi="Arial"/>
          <w:sz w:val="18"/>
          <w:szCs w:val="18"/>
          <w:color w:val="auto"/>
        </w:rPr>
        <w:t>We have evaluated the positive and negative evidences bearing upon the realizability of our deferred tax assets. Based on our history of operating losses, we have concluded that it is more likely than not that the benefit of our deferred tax assets will not be realized. Accordingly, we have provided a full valuation allowance for deferred tax assets as of December 31, 2020 and 2019.</w:t>
      </w:r>
    </w:p>
    <w:p>
      <w:pPr>
        <w:spacing w:after="0" w:line="184" w:lineRule="exact"/>
        <w:rPr>
          <w:sz w:val="20"/>
          <w:szCs w:val="20"/>
          <w:color w:val="auto"/>
        </w:rPr>
      </w:pPr>
    </w:p>
    <w:p>
      <w:pPr>
        <w:ind w:firstLine="1175"/>
        <w:spacing w:after="0" w:line="272" w:lineRule="auto"/>
        <w:rPr>
          <w:sz w:val="20"/>
          <w:szCs w:val="20"/>
          <w:color w:val="auto"/>
        </w:rPr>
      </w:pPr>
      <w:r>
        <w:rPr>
          <w:rFonts w:ascii="Arial" w:cs="Arial" w:eastAsia="Arial" w:hAnsi="Arial"/>
          <w:sz w:val="17"/>
          <w:szCs w:val="17"/>
          <w:color w:val="auto"/>
        </w:rPr>
        <w:t>Utilization of the net operating loss carryforward and research credit carryforward may be subject to an annual limitation due to the ownership percentage change limitations under Section 382 and Section 383, respectively, provided by the Internal Revenue Code of 1986, as amended (the “Code”), and similar state provisions. The annual limitation may result in the expiration of the net operating loss before utilization. We have experienced ownership changes in the past. As a result of the ownership changes, we have determined that approximately $1.3 million of our federal research credits will expire unutilized, and such amounts are excluded from our research credit carryforwards. The Company does not expect any ownership changes during the year ended December 31, 2020 to result in a limitation that would materially reduce the total amount of net operating loss carryforwards and credits that can be utilized. Subsequent ownership changes may affect the limitation in future years.</w:t>
      </w:r>
    </w:p>
    <w:p>
      <w:pPr>
        <w:spacing w:after="0" w:line="177" w:lineRule="exact"/>
        <w:rPr>
          <w:sz w:val="20"/>
          <w:szCs w:val="20"/>
          <w:color w:val="auto"/>
        </w:rPr>
      </w:pPr>
    </w:p>
    <w:p>
      <w:pPr>
        <w:ind w:right="40" w:firstLine="1175"/>
        <w:spacing w:after="0" w:line="255" w:lineRule="auto"/>
        <w:rPr>
          <w:sz w:val="20"/>
          <w:szCs w:val="20"/>
          <w:color w:val="auto"/>
        </w:rPr>
      </w:pPr>
      <w:r>
        <w:rPr>
          <w:rFonts w:ascii="Arial" w:cs="Arial" w:eastAsia="Arial" w:hAnsi="Arial"/>
          <w:sz w:val="18"/>
          <w:szCs w:val="18"/>
          <w:color w:val="auto"/>
        </w:rPr>
        <w:t>We have uncertain tax benefits (“UTBs”) totaling $0.4 million and $0.3 million as of December 31, 2020 and 2019, respectively, which were netted against deferred tax assets subject to valuation allowance. The UTBs had no effect on the effective tax rate. We recognize interest and penalties related to UTBs, when they occur, as a component of income tax expense. To the extent accrued interest and penalties do not ultimately become payable, amounts accrued will be reduced and reflected as a reduction of the provision for income taxes in the period such determination is made. There were no interest or penalties recognized for the years ended December 31, 2020 and 2019. We do not expect our UTBs to change significantly over the next 12 months.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4" w:name="page145"/>
    <w:bookmarkEnd w:id="144"/>
    <w:p>
      <w:pPr>
        <w:ind w:left="1180"/>
        <w:spacing w:after="0"/>
        <w:rPr>
          <w:sz w:val="20"/>
          <w:szCs w:val="20"/>
          <w:color w:val="auto"/>
        </w:rPr>
      </w:pPr>
      <w:r>
        <w:rPr>
          <w:rFonts w:ascii="Arial" w:cs="Arial" w:eastAsia="Arial" w:hAnsi="Arial"/>
          <w:sz w:val="18"/>
          <w:szCs w:val="18"/>
          <w:color w:val="auto"/>
        </w:rPr>
        <w:t>A reconciliation of the beginning and ending unrecognized tax benefit amount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23"/>
        </w:trPr>
        <w:tc>
          <w:tcPr>
            <w:tcW w:w="5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Balance at the beginning of the year</w:t>
            </w:r>
          </w:p>
        </w:tc>
        <w:tc>
          <w:tcPr>
            <w:tcW w:w="2200" w:type="dxa"/>
            <w:vAlign w:val="bottom"/>
            <w:gridSpan w:val="2"/>
            <w:shd w:val="clear" w:color="auto" w:fill="CFF0FC"/>
          </w:tcPr>
          <w:p>
            <w:pPr>
              <w:jc w:val="right"/>
              <w:ind w:right="73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119</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Additions based on tax positions related to current year</w:t>
            </w: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228</w:t>
            </w: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Adjustments based on tax positions related to prior years</w:t>
            </w:r>
          </w:p>
        </w:tc>
        <w:tc>
          <w:tcPr>
            <w:tcW w:w="13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300" w:type="dxa"/>
            <w:vAlign w:val="bottom"/>
          </w:tcPr>
          <w:p>
            <w:pPr>
              <w:spacing w:after="0"/>
              <w:rPr>
                <w:sz w:val="19"/>
                <w:szCs w:val="19"/>
                <w:color w:val="auto"/>
              </w:rPr>
            </w:pPr>
          </w:p>
        </w:tc>
        <w:tc>
          <w:tcPr>
            <w:tcW w:w="900" w:type="dxa"/>
            <w:vAlign w:val="bottom"/>
            <w:tcBorders>
              <w:bottom w:val="single" w:sz="8" w:color="auto"/>
            </w:tcBorders>
          </w:tcPr>
          <w:p>
            <w:pPr>
              <w:jc w:val="right"/>
              <w:ind w:right="73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408</w:t>
            </w:r>
          </w:p>
        </w:tc>
      </w:tr>
      <w:tr>
        <w:trPr>
          <w:trHeight w:val="20"/>
        </w:trPr>
        <w:tc>
          <w:tcPr>
            <w:tcW w:w="5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firstLine="1175"/>
        <w:spacing w:after="0" w:line="257" w:lineRule="auto"/>
        <w:rPr>
          <w:sz w:val="20"/>
          <w:szCs w:val="20"/>
          <w:color w:val="auto"/>
        </w:rPr>
      </w:pPr>
      <w:r>
        <w:rPr>
          <w:rFonts w:ascii="Arial" w:cs="Arial" w:eastAsia="Arial" w:hAnsi="Arial"/>
          <w:sz w:val="18"/>
          <w:szCs w:val="18"/>
          <w:color w:val="auto"/>
        </w:rPr>
        <w:t>We file U.S. federal and state tax returns. In general, the Company is no longer subject to tax examination by the Internal Revenue Service or state taxing authorities for years before 2016. Although the federal and state statutes are closed for purposes of assessing additional income tax in those prior years, the taxing authorities may still make adjustments to the net operating loss, or NOL, and credit carryforwards used in open years. Therefore, the tax statutes should be considered open as it relates to the NOL and credit carryforwards used in open years. We do not have any tax audits or other issues pending.</w:t>
      </w:r>
    </w:p>
    <w:p>
      <w:pPr>
        <w:spacing w:after="0" w:line="188" w:lineRule="exact"/>
        <w:rPr>
          <w:sz w:val="20"/>
          <w:szCs w:val="20"/>
          <w:color w:val="auto"/>
        </w:rPr>
      </w:pPr>
    </w:p>
    <w:p>
      <w:pPr>
        <w:ind w:right="120" w:firstLine="1175"/>
        <w:spacing w:after="0" w:line="263" w:lineRule="auto"/>
        <w:rPr>
          <w:sz w:val="20"/>
          <w:szCs w:val="20"/>
          <w:color w:val="auto"/>
        </w:rPr>
      </w:pPr>
      <w:r>
        <w:rPr>
          <w:rFonts w:ascii="Arial" w:cs="Arial" w:eastAsia="Arial" w:hAnsi="Arial"/>
          <w:sz w:val="18"/>
          <w:szCs w:val="18"/>
          <w:color w:val="auto"/>
        </w:rPr>
        <w:t>On March 27, 2020, the President of the United States signed into law the Coronavirus Aid, Relief, and Economic Security Act (CARES Act). The CARES Act, among other things, includes certain income tax provisions for individuals and corporations; however, these benefits do not impact our current tax provision.</w:t>
      </w:r>
    </w:p>
    <w:p>
      <w:pPr>
        <w:spacing w:after="0" w:line="184" w:lineRule="exact"/>
        <w:rPr>
          <w:sz w:val="20"/>
          <w:szCs w:val="20"/>
          <w:color w:val="auto"/>
        </w:rPr>
      </w:pPr>
    </w:p>
    <w:p>
      <w:pPr>
        <w:ind w:right="40" w:firstLine="1175"/>
        <w:spacing w:after="0" w:line="296" w:lineRule="auto"/>
        <w:rPr>
          <w:sz w:val="20"/>
          <w:szCs w:val="20"/>
          <w:color w:val="auto"/>
        </w:rPr>
      </w:pPr>
      <w:r>
        <w:rPr>
          <w:rFonts w:ascii="Arial" w:cs="Arial" w:eastAsia="Arial" w:hAnsi="Arial"/>
          <w:sz w:val="16"/>
          <w:szCs w:val="16"/>
          <w:color w:val="auto"/>
        </w:rPr>
        <w:t>On December 21, 2020, the President of the United States signed into law the “Consolidated Appropriations Act, 2021” which includes further COVID-19 economic relief and extension of certain expiring tax provisions. The relief package includes a tax provision clarifying that businesses with forgiven Paycheck Protection Program, or PPP, loans can deduct regular business expenses that are paid for with the loan proceeds. Additional pandemic relief tax measures include an expansion of the employee retention credit, enhanced charitable contribution deductions and a temporary full deduction for business expenses for food and beverages provided by a restaurant. These benefits do not have a material impact on the current tax provision.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We have an ongoing relationship with Sutro Biopharma. In 2013, Sutro Biopharma provided support to facilitate the establishment of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Company. As of December 31, 2020 and December 31, 2019, Sutro Biopharma owned approximately 1.6 million shares of our common stock.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Sutro Biopharma also owned warrants to purchase 31,857 shares of our common stock (the “Common Stock Warrant”) at an exercise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price of $0.79289 per share and 59,276 shares of our Series C redeemable convertible stock (the “Preferred Stock Warrant”) at an exercise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$11.5215 per share. The Common Stock Warrant and the Preferred Stock Warrant were automatically net exercised pursuant to their terms for 30,278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and 16,591 shares, respectively, of our common stock in connection with the IPO. In the agreements and amendments identified herein, we licensed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certain intellectual property and acquired certain supply rights from Sutro Biopharma, including the right to use the XpressCF platform to discover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 vaccine candidates for the treatment or prophylaxis of infectious diseases. On October 12, 2015, we and Sutro Biopharma (“the Parties”) entered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into the Sutro Biopharma License Agreement, which amended and restated an agreement dated August 1, 2014. The Sutro Biopharma License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subsequently amended on May 9, 2018 (“License Amendment A1”) and May 29, 2018 (“License Amendment A2”). In consideration for the License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 A2, we issued to Sutro Biopharma the Preferred Stock Warrant to purchase 59,276 shares of Series C redeemable convertible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a purchase price of $11.5215 per share. We also entered into a separate supply agreement with Sutro Biopharma on May 29, 2018 (the “Sutro Biopharma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Supply Agreement”).</w:t>
      </w:r>
    </w:p>
    <w:p>
      <w:pPr>
        <w:spacing w:after="0" w:line="211" w:lineRule="exact"/>
        <w:rPr>
          <w:sz w:val="20"/>
          <w:szCs w:val="20"/>
          <w:color w:val="auto"/>
        </w:rPr>
      </w:pPr>
    </w:p>
    <w:p>
      <w:pPr>
        <w:ind w:right="20" w:firstLine="1175"/>
        <w:spacing w:after="0" w:line="275" w:lineRule="auto"/>
        <w:rPr>
          <w:sz w:val="20"/>
          <w:szCs w:val="20"/>
          <w:color w:val="auto"/>
        </w:rPr>
      </w:pPr>
      <w:r>
        <w:rPr>
          <w:rFonts w:ascii="Arial" w:cs="Arial" w:eastAsia="Arial" w:hAnsi="Arial"/>
          <w:sz w:val="17"/>
          <w:szCs w:val="17"/>
          <w:color w:val="auto"/>
        </w:rPr>
        <w:t xml:space="preserve">Under the Sutro Biopharma License Agreement, Sutro Biopharma granted us an exclusive, worldwide license to research, develop, manufacture and commercialize vaccine products addressing infectious disease, which are discovered or produced based on the use of Sutro Biopharma’s proprietary cell-free protein expression technology, known as XpressCF, which utilizes extracts derived from strains of </w:t>
      </w:r>
      <w:r>
        <w:rPr>
          <w:rFonts w:ascii="Arial" w:cs="Arial" w:eastAsia="Arial" w:hAnsi="Arial"/>
          <w:sz w:val="17"/>
          <w:szCs w:val="17"/>
          <w:i w:val="1"/>
          <w:iCs w:val="1"/>
          <w:color w:val="auto"/>
        </w:rPr>
        <w:t>E. coli</w:t>
      </w:r>
      <w:r>
        <w:rPr>
          <w:rFonts w:ascii="Arial" w:cs="Arial" w:eastAsia="Arial" w:hAnsi="Arial"/>
          <w:sz w:val="17"/>
          <w:szCs w:val="17"/>
          <w:color w:val="auto"/>
        </w:rPr>
        <w:t>. In connection with the Sutro Biopharma License Agreement, under the Sutro Biopharma Supply Agreement, Sutro Biopharma has agreed to manufacture and supply extracts and reagents for us on a cost-plus basis. In consideration for the rights licensed, we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5" w:name="page146"/>
    <w:bookmarkEnd w:id="145"/>
    <w:p>
      <w:pPr>
        <w:spacing w:after="0" w:line="269" w:lineRule="auto"/>
        <w:rPr>
          <w:sz w:val="20"/>
          <w:szCs w:val="20"/>
          <w:color w:val="auto"/>
        </w:rPr>
      </w:pPr>
      <w:r>
        <w:rPr>
          <w:rFonts w:ascii="Arial" w:cs="Arial" w:eastAsia="Arial" w:hAnsi="Arial"/>
          <w:sz w:val="17"/>
          <w:szCs w:val="17"/>
          <w:color w:val="auto"/>
        </w:rPr>
        <w:t xml:space="preserve">are obligated to pay a 4% royalty on worldwide aggregate annual net sales of our vaccine products for human health and a 2% royalty on such net sales of vaccine products for animal health. In addition, for a certain period of time, if we grant a sublicense to a third party to further develop or sell a vaccine product discovered or generated by us, we are obligated to pay Sutro Biopharma a percentage, in the low single digits, of any net sublicense fees received. Our obligation to pay single-digit royalties to Sutro Biopharma expires on a country-by-country basis on the later of the expiration of the last to expire patent covering the manufacture, use, offer for sale or importation of the applicable vaccine product and ten years from first commercial sale of the applicable vaccine product. Our obligation to pay sublicense fees to Sutro Biopharma expired in July 2020. In License Amendment A1, the Parties amended the license agreement to remove a pre-IND regulatory meeting as a diligence milestone and to agree that certain other diligence milestones had been satisfied. In License Amendment A2, the Parties amended the license agreement to add certain terms confirming our obligation to purchase Sutro Biopharma’s proprietary extract from </w:t>
      </w:r>
      <w:r>
        <w:rPr>
          <w:rFonts w:ascii="Arial" w:cs="Arial" w:eastAsia="Arial" w:hAnsi="Arial"/>
          <w:sz w:val="17"/>
          <w:szCs w:val="17"/>
          <w:i w:val="1"/>
          <w:iCs w:val="1"/>
          <w:color w:val="auto"/>
        </w:rPr>
        <w:t>E. coli</w:t>
      </w:r>
      <w:r>
        <w:rPr>
          <w:rFonts w:ascii="Arial" w:cs="Arial" w:eastAsia="Arial" w:hAnsi="Arial"/>
          <w:sz w:val="17"/>
          <w:szCs w:val="17"/>
          <w:color w:val="auto"/>
        </w:rPr>
        <w:t xml:space="preserve"> (“Extract”) from Sutro Biopharma. In addition, the Parties amended the license agreement to specify our rights to a transfer of certain know-how relating to the manufacture of Extract in the event of a declaration of bankruptcy by Sutro Biopharma. Finally, the Parties agreed to terms providing for injunctive relief in the event of a breach or threatened breach by the other party.</w:t>
      </w:r>
    </w:p>
    <w:p>
      <w:pPr>
        <w:spacing w:after="0" w:line="182" w:lineRule="exact"/>
        <w:rPr>
          <w:sz w:val="20"/>
          <w:szCs w:val="20"/>
          <w:color w:val="auto"/>
        </w:rPr>
      </w:pPr>
    </w:p>
    <w:p>
      <w:pPr>
        <w:ind w:firstLine="1175"/>
        <w:spacing w:after="0" w:line="255" w:lineRule="auto"/>
        <w:rPr>
          <w:sz w:val="20"/>
          <w:szCs w:val="20"/>
          <w:color w:val="auto"/>
        </w:rPr>
      </w:pPr>
      <w:r>
        <w:rPr>
          <w:rFonts w:ascii="Arial" w:cs="Arial" w:eastAsia="Arial" w:hAnsi="Arial"/>
          <w:sz w:val="18"/>
          <w:szCs w:val="18"/>
          <w:color w:val="auto"/>
        </w:rPr>
        <w:t>In the Sutro Biopharma Supply Agreement, the Parties agreed to terms for the supply of manufactured Extract and custom reagents by Sutro Biopharma for us to use in manufacturing vaccine compositions in non-clinical research or in Phase 1 or Phase 2 clinical trials. The term of the Sutro Biopharma Supply Agreement is from execution until the later of July 31, 2021 and the date the parties enter into and commence activities under the supply agreement unless extended through a subsequent supply agreement for the supply of Extract and custom reagents for vaccine compositions for Phase 3 and commercial uses as contemplated in the Supply Agreement. In February 2021, we entered into an amendment to the Sutro Biopharma Supply Agreement and extended the term to July 31, 2022.</w:t>
      </w:r>
    </w:p>
    <w:p>
      <w:pPr>
        <w:spacing w:after="0" w:line="192" w:lineRule="exact"/>
        <w:rPr>
          <w:sz w:val="20"/>
          <w:szCs w:val="20"/>
          <w:color w:val="auto"/>
        </w:rPr>
      </w:pPr>
    </w:p>
    <w:p>
      <w:pPr>
        <w:ind w:firstLine="1175"/>
        <w:spacing w:after="0" w:line="257" w:lineRule="auto"/>
        <w:rPr>
          <w:sz w:val="20"/>
          <w:szCs w:val="20"/>
          <w:color w:val="auto"/>
        </w:rPr>
      </w:pPr>
      <w:r>
        <w:rPr>
          <w:rFonts w:ascii="Arial" w:cs="Arial" w:eastAsia="Arial" w:hAnsi="Arial"/>
          <w:sz w:val="18"/>
          <w:szCs w:val="18"/>
          <w:color w:val="auto"/>
        </w:rPr>
        <w:t>We recognized expense related to the Supply Agreement of $1.2 million, $1.1 million and $1.4 million for the years ended December 31, 2020, 2019 and 2018, respectively. In addition, we recorded $0.2 million, $0 and $0.5 million in changes in the fair value of the Preferred Stock Warrant for the years ended December 31, 2020, 2019 and 2018, respectively. The expense related to the changes in the fair value of the warrant is included in research and development expenses in the statements of operations and comprehensive loss. Accrued expenses payable to Sutro Biopharma were $0.7 million and $0 as of December 31, 2020 and December 31, 2019,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tables provide the selected quarterly financial data for the years ended December 31, 2020 and 2019 (in thousands, except share and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540"/>
              <w:spacing w:after="0" w:line="205" w:lineRule="exact"/>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580"/>
              <w:spacing w:after="0" w:line="205" w:lineRule="exact"/>
              <w:rPr>
                <w:sz w:val="20"/>
                <w:szCs w:val="20"/>
                <w:color w:val="auto"/>
              </w:rPr>
            </w:pPr>
            <w:r>
              <w:rPr>
                <w:rFonts w:ascii="Arial" w:cs="Arial" w:eastAsia="Arial" w:hAnsi="Arial"/>
                <w:sz w:val="18"/>
                <w:szCs w:val="18"/>
                <w:b w:val="1"/>
                <w:bCs w:val="1"/>
                <w:color w:val="auto"/>
              </w:rPr>
              <w:t>Second</w:t>
            </w:r>
          </w:p>
        </w:tc>
        <w:tc>
          <w:tcPr>
            <w:tcW w:w="160" w:type="dxa"/>
            <w:vAlign w:val="bottom"/>
          </w:tcPr>
          <w:p>
            <w:pPr>
              <w:spacing w:after="0"/>
              <w:rPr>
                <w:sz w:val="17"/>
                <w:szCs w:val="17"/>
                <w:color w:val="auto"/>
              </w:rPr>
            </w:pPr>
          </w:p>
        </w:tc>
        <w:tc>
          <w:tcPr>
            <w:tcW w:w="1220" w:type="dxa"/>
            <w:vAlign w:val="bottom"/>
            <w:gridSpan w:val="2"/>
          </w:tcPr>
          <w:p>
            <w:pPr>
              <w:jc w:val="right"/>
              <w:ind w:right="620"/>
              <w:spacing w:after="0" w:line="205" w:lineRule="exact"/>
              <w:rPr>
                <w:sz w:val="20"/>
                <w:szCs w:val="20"/>
                <w:color w:val="auto"/>
              </w:rPr>
            </w:pPr>
            <w:r>
              <w:rPr>
                <w:rFonts w:ascii="Arial" w:cs="Arial" w:eastAsia="Arial" w:hAnsi="Arial"/>
                <w:sz w:val="18"/>
                <w:szCs w:val="18"/>
                <w:b w:val="1"/>
                <w:bCs w:val="1"/>
                <w:color w:val="auto"/>
              </w:rPr>
              <w:t>Third</w:t>
            </w:r>
          </w:p>
        </w:tc>
        <w:tc>
          <w:tcPr>
            <w:tcW w:w="160" w:type="dxa"/>
            <w:vAlign w:val="bottom"/>
          </w:tcPr>
          <w:p>
            <w:pPr>
              <w:spacing w:after="0"/>
              <w:rPr>
                <w:sz w:val="17"/>
                <w:szCs w:val="17"/>
                <w:color w:val="auto"/>
              </w:rPr>
            </w:pPr>
          </w:p>
        </w:tc>
        <w:tc>
          <w:tcPr>
            <w:tcW w:w="940" w:type="dxa"/>
            <w:vAlign w:val="bottom"/>
          </w:tcPr>
          <w:p>
            <w:pPr>
              <w:jc w:val="right"/>
              <w:ind w:right="190"/>
              <w:spacing w:after="0" w:line="205" w:lineRule="exact"/>
              <w:rPr>
                <w:sz w:val="20"/>
                <w:szCs w:val="20"/>
                <w:color w:val="auto"/>
              </w:rPr>
            </w:pPr>
            <w:r>
              <w:rPr>
                <w:rFonts w:ascii="Arial" w:cs="Arial" w:eastAsia="Arial" w:hAnsi="Arial"/>
                <w:sz w:val="18"/>
                <w:szCs w:val="18"/>
                <w:b w:val="1"/>
                <w:bCs w:val="1"/>
                <w:color w:val="auto"/>
              </w:rPr>
              <w:t>Fourth</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8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24,315</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8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21,224</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21,308</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8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(21,224)</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(21,308)</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9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8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(27,142)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(20,320)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(21,018)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(20,737)</w:t>
            </w:r>
          </w:p>
        </w:tc>
        <w:tc>
          <w:tcPr>
            <w:tcW w:w="0" w:type="dxa"/>
            <w:vAlign w:val="bottom"/>
          </w:tcPr>
          <w:p>
            <w:pPr>
              <w:spacing w:after="0"/>
              <w:rPr>
                <w:sz w:val="1"/>
                <w:szCs w:val="1"/>
                <w:color w:val="auto"/>
              </w:rPr>
            </w:pPr>
          </w:p>
        </w:tc>
      </w:tr>
      <w:tr>
        <w:trPr>
          <w:trHeight w:val="210"/>
        </w:trPr>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8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basic and</w:t>
            </w: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diluted</w:t>
            </w:r>
          </w:p>
        </w:tc>
        <w:tc>
          <w:tcPr>
            <w:tcW w:w="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4,049,848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11,803,778</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50,895,358</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50,964,294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540"/>
              <w:spacing w:after="0" w:line="205" w:lineRule="exact"/>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580"/>
              <w:spacing w:after="0" w:line="205" w:lineRule="exact"/>
              <w:rPr>
                <w:sz w:val="20"/>
                <w:szCs w:val="20"/>
                <w:color w:val="auto"/>
              </w:rPr>
            </w:pPr>
            <w:r>
              <w:rPr>
                <w:rFonts w:ascii="Arial" w:cs="Arial" w:eastAsia="Arial" w:hAnsi="Arial"/>
                <w:sz w:val="18"/>
                <w:szCs w:val="18"/>
                <w:b w:val="1"/>
                <w:bCs w:val="1"/>
                <w:color w:val="auto"/>
              </w:rPr>
              <w:t>Second</w:t>
            </w:r>
          </w:p>
        </w:tc>
        <w:tc>
          <w:tcPr>
            <w:tcW w:w="160" w:type="dxa"/>
            <w:vAlign w:val="bottom"/>
          </w:tcPr>
          <w:p>
            <w:pPr>
              <w:spacing w:after="0"/>
              <w:rPr>
                <w:sz w:val="17"/>
                <w:szCs w:val="17"/>
                <w:color w:val="auto"/>
              </w:rPr>
            </w:pPr>
          </w:p>
        </w:tc>
        <w:tc>
          <w:tcPr>
            <w:tcW w:w="1220" w:type="dxa"/>
            <w:vAlign w:val="bottom"/>
            <w:gridSpan w:val="2"/>
          </w:tcPr>
          <w:p>
            <w:pPr>
              <w:jc w:val="right"/>
              <w:ind w:right="620"/>
              <w:spacing w:after="0" w:line="205" w:lineRule="exact"/>
              <w:rPr>
                <w:sz w:val="20"/>
                <w:szCs w:val="20"/>
                <w:color w:val="auto"/>
              </w:rPr>
            </w:pPr>
            <w:r>
              <w:rPr>
                <w:rFonts w:ascii="Arial" w:cs="Arial" w:eastAsia="Arial" w:hAnsi="Arial"/>
                <w:sz w:val="18"/>
                <w:szCs w:val="18"/>
                <w:b w:val="1"/>
                <w:bCs w:val="1"/>
                <w:color w:val="auto"/>
              </w:rPr>
              <w:t>Third</w:t>
            </w:r>
          </w:p>
        </w:tc>
        <w:tc>
          <w:tcPr>
            <w:tcW w:w="160" w:type="dxa"/>
            <w:vAlign w:val="bottom"/>
          </w:tcPr>
          <w:p>
            <w:pPr>
              <w:spacing w:after="0"/>
              <w:rPr>
                <w:sz w:val="17"/>
                <w:szCs w:val="17"/>
                <w:color w:val="auto"/>
              </w:rPr>
            </w:pPr>
          </w:p>
        </w:tc>
        <w:tc>
          <w:tcPr>
            <w:tcW w:w="940" w:type="dxa"/>
            <w:vAlign w:val="bottom"/>
          </w:tcPr>
          <w:p>
            <w:pPr>
              <w:jc w:val="right"/>
              <w:ind w:right="190"/>
              <w:spacing w:after="0" w:line="205" w:lineRule="exact"/>
              <w:rPr>
                <w:sz w:val="20"/>
                <w:szCs w:val="20"/>
                <w:color w:val="auto"/>
              </w:rPr>
            </w:pPr>
            <w:r>
              <w:rPr>
                <w:rFonts w:ascii="Arial" w:cs="Arial" w:eastAsia="Arial" w:hAnsi="Arial"/>
                <w:sz w:val="18"/>
                <w:szCs w:val="18"/>
                <w:b w:val="1"/>
                <w:bCs w:val="1"/>
                <w:color w:val="auto"/>
              </w:rPr>
              <w:t>Fourth</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8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12,628</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8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12,232</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12,140</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8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(12,232)</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(12,140)</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8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(13,671)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(10,665)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(11,317)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(14,621)</w:t>
            </w:r>
          </w:p>
        </w:tc>
        <w:tc>
          <w:tcPr>
            <w:tcW w:w="0" w:type="dxa"/>
            <w:vAlign w:val="bottom"/>
          </w:tcPr>
          <w:p>
            <w:pPr>
              <w:spacing w:after="0"/>
              <w:rPr>
                <w:sz w:val="1"/>
                <w:szCs w:val="1"/>
                <w:color w:val="auto"/>
              </w:rPr>
            </w:pPr>
          </w:p>
        </w:tc>
      </w:tr>
      <w:tr>
        <w:trPr>
          <w:trHeight w:val="210"/>
        </w:trPr>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8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basic and</w:t>
            </w: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diluted</w:t>
            </w:r>
          </w:p>
        </w:tc>
        <w:tc>
          <w:tcPr>
            <w:tcW w:w="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3,671,102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3,682,897</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3,857,298</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3,965,166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In January 2021, we entered into a lease agreement for our new corporate headquarters facility to be located in San Carlos, California and a license agreement for temporary lab and office space in Palo Alto, California. See Note 5, “Commitments and Contingencies,” for more details.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jc w:val="center"/>
        <w:ind w:right="8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1175"/>
        <w:spacing w:after="0" w:line="26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2" w:lineRule="exact"/>
        <w:rPr>
          <w:sz w:val="20"/>
          <w:szCs w:val="20"/>
          <w:color w:val="auto"/>
        </w:rPr>
      </w:pPr>
    </w:p>
    <w:p>
      <w:pPr>
        <w:ind w:firstLine="1175"/>
        <w:spacing w:after="0" w:line="271" w:lineRule="auto"/>
        <w:rPr>
          <w:sz w:val="20"/>
          <w:szCs w:val="20"/>
          <w:color w:val="auto"/>
        </w:rPr>
      </w:pPr>
      <w:r>
        <w:rPr>
          <w:rFonts w:ascii="Arial" w:cs="Arial" w:eastAsia="Arial" w:hAnsi="Arial"/>
          <w:sz w:val="17"/>
          <w:szCs w:val="17"/>
          <w:color w:val="auto"/>
        </w:rPr>
        <w:t>Our management, with the participation of our Chief Executive Office, or CEO, and our Chief Financial Officer, or CFO, our principal executive officer and principal financial officer, respectively, has evaluated the effectiveness of the design and operation of our disclosure controls and procedures, as defined in Rules 13a-15(e) and 15d-15(e) under the Securities Exchange Act of 1934, as amended, or the Exchange Act, as of December 31, 2020. Based on this evaluation, our CEO and CFO have concluded that our disclosure controls and procedures as of December 31, 2020 were effective at a reasonable assurance level (a) to ensure information that we are required to disclose in reports we file or submit under the Exchange Act is recorded, processed, summarized and reported within the time periods specified in SEC rules and forms and (b) to ensure that information required to be disclosed by us in reports filed or submitted under the Exchange Act is accumulated and communicated to our management, including our CEO and CFO,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right="140" w:firstLine="1175"/>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as permitted during the transition period established under the rules of the SEC for newly public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20" w:firstLine="1175"/>
        <w:spacing w:after="0" w:line="263" w:lineRule="auto"/>
        <w:rPr>
          <w:sz w:val="20"/>
          <w:szCs w:val="20"/>
          <w:color w:val="auto"/>
        </w:rPr>
      </w:pPr>
      <w:r>
        <w:rPr>
          <w:rFonts w:ascii="Arial" w:cs="Arial" w:eastAsia="Arial" w:hAnsi="Arial"/>
          <w:sz w:val="18"/>
          <w:szCs w:val="18"/>
          <w:color w:val="auto"/>
        </w:rPr>
        <w:t>There was no change in our internal control over financial reporting, as such term is defined in Rules 13a-15(f) and 15d-15(f) under the Exchange Act that occurred during the year ended December 31, 2020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520" w:firstLine="1175"/>
        <w:spacing w:after="0" w:line="263" w:lineRule="auto"/>
        <w:rPr>
          <w:sz w:val="20"/>
          <w:szCs w:val="20"/>
          <w:color w:val="auto"/>
        </w:rPr>
      </w:pPr>
      <w:r>
        <w:rPr>
          <w:rFonts w:ascii="Arial" w:cs="Arial" w:eastAsia="Arial" w:hAnsi="Arial"/>
          <w:sz w:val="18"/>
          <w:szCs w:val="18"/>
          <w:color w:val="auto"/>
        </w:rPr>
        <w:t>The information required by this item of Form 10-K will be included in our definitive proxy statement to be filed with the SEC in connection with the solicitation of proxies for our 2021 Annual Meeting of Stockholders, or the 2021 Proxy Statement,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firstLine="1175"/>
        <w:spacing w:after="0" w:line="277" w:lineRule="auto"/>
        <w:rPr>
          <w:sz w:val="20"/>
          <w:szCs w:val="20"/>
          <w:color w:val="auto"/>
        </w:rPr>
      </w:pPr>
      <w:r>
        <w:rPr>
          <w:rFonts w:ascii="Arial" w:cs="Arial" w:eastAsia="Arial" w:hAnsi="Arial"/>
          <w:sz w:val="18"/>
          <w:szCs w:val="18"/>
          <w:color w:val="auto"/>
        </w:rPr>
        <w:t>The information required by this item of Form 10-K will be included in our 2021 Proxy Statement to be filed with the SEC within 120 days after our fiscal year end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1175"/>
        <w:spacing w:after="0" w:line="277" w:lineRule="auto"/>
        <w:rPr>
          <w:sz w:val="20"/>
          <w:szCs w:val="20"/>
          <w:color w:val="auto"/>
        </w:rPr>
      </w:pPr>
      <w:r>
        <w:rPr>
          <w:rFonts w:ascii="Arial" w:cs="Arial" w:eastAsia="Arial" w:hAnsi="Arial"/>
          <w:sz w:val="18"/>
          <w:szCs w:val="18"/>
          <w:color w:val="auto"/>
        </w:rPr>
        <w:t>The information required by this item of Form 10-K will be included in our 2021 Proxy Statement to be filed with the SEC within 120 days after our fiscal year end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1175"/>
        <w:spacing w:after="0" w:line="277" w:lineRule="auto"/>
        <w:rPr>
          <w:sz w:val="20"/>
          <w:szCs w:val="20"/>
          <w:color w:val="auto"/>
        </w:rPr>
      </w:pPr>
      <w:r>
        <w:rPr>
          <w:rFonts w:ascii="Arial" w:cs="Arial" w:eastAsia="Arial" w:hAnsi="Arial"/>
          <w:sz w:val="18"/>
          <w:szCs w:val="18"/>
          <w:color w:val="auto"/>
        </w:rPr>
        <w:t>The information required by this item of Form 10-K will be included in our 2021 Proxy Statement to be filed with the SEC within 120 days after our fiscal year end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firstLine="1175"/>
        <w:spacing w:after="0" w:line="277" w:lineRule="auto"/>
        <w:rPr>
          <w:sz w:val="20"/>
          <w:szCs w:val="20"/>
          <w:color w:val="auto"/>
        </w:rPr>
      </w:pPr>
      <w:r>
        <w:rPr>
          <w:rFonts w:ascii="Arial" w:cs="Arial" w:eastAsia="Arial" w:hAnsi="Arial"/>
          <w:sz w:val="18"/>
          <w:szCs w:val="18"/>
          <w:color w:val="auto"/>
        </w:rPr>
        <w:t>The information required by this item of Form 10-K will be included in our 2021 Proxy Statement to be filed with the SEC within 120 days after our fiscal year end and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9" w:name="page150"/>
    <w:bookmarkEnd w:id="149"/>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1020" w:hanging="432"/>
        <w:spacing w:after="0"/>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25" w:lineRule="exact"/>
        <w:rPr>
          <w:rFonts w:ascii="Arial" w:cs="Arial" w:eastAsia="Arial" w:hAnsi="Arial"/>
          <w:sz w:val="18"/>
          <w:szCs w:val="18"/>
          <w:color w:val="auto"/>
        </w:rPr>
      </w:pPr>
    </w:p>
    <w:p>
      <w:pPr>
        <w:ind w:left="1460" w:hanging="440"/>
        <w:spacing w:after="0"/>
        <w:tabs>
          <w:tab w:leader="none" w:pos="1460" w:val="left"/>
        </w:tabs>
        <w:numPr>
          <w:ilvl w:val="2"/>
          <w:numId w:val="79"/>
        </w:numPr>
        <w:rPr>
          <w:rFonts w:ascii="Arial" w:cs="Arial" w:eastAsia="Arial" w:hAnsi="Arial"/>
          <w:sz w:val="18"/>
          <w:szCs w:val="18"/>
          <w:color w:val="auto"/>
        </w:rPr>
      </w:pPr>
      <w:r>
        <w:rPr>
          <w:rFonts w:ascii="Arial" w:cs="Arial" w:eastAsia="Arial" w:hAnsi="Arial"/>
          <w:sz w:val="18"/>
          <w:szCs w:val="18"/>
          <w:color w:val="auto"/>
        </w:rPr>
        <w:t>All Financial Statements</w:t>
      </w:r>
    </w:p>
    <w:p>
      <w:pPr>
        <w:spacing w:after="0" w:line="225" w:lineRule="exact"/>
        <w:rPr>
          <w:rFonts w:ascii="Arial" w:cs="Arial" w:eastAsia="Arial" w:hAnsi="Arial"/>
          <w:sz w:val="18"/>
          <w:szCs w:val="18"/>
          <w:color w:val="auto"/>
        </w:rPr>
      </w:pPr>
    </w:p>
    <w:p>
      <w:pPr>
        <w:ind w:left="1480" w:right="220"/>
        <w:spacing w:after="0" w:line="308" w:lineRule="auto"/>
        <w:rPr>
          <w:rFonts w:ascii="Arial" w:cs="Arial" w:eastAsia="Arial" w:hAnsi="Arial"/>
          <w:sz w:val="18"/>
          <w:szCs w:val="18"/>
          <w:color w:val="auto"/>
        </w:rPr>
      </w:pPr>
      <w:r>
        <w:rPr>
          <w:rFonts w:ascii="Arial" w:cs="Arial" w:eastAsia="Arial" w:hAnsi="Arial"/>
          <w:sz w:val="17"/>
          <w:szCs w:val="17"/>
          <w:color w:val="auto"/>
        </w:rPr>
        <w:t>The financial statements and Report of Independent Registered Public Accounting Firm filed as part of this Annual Report on Form 10-K are listed in the “Index to Financial Statements” under Part II, Item 8 of this Annual Report on Form 10-K.</w:t>
      </w:r>
    </w:p>
    <w:p>
      <w:pPr>
        <w:spacing w:after="0" w:line="146" w:lineRule="exact"/>
        <w:rPr>
          <w:rFonts w:ascii="Arial" w:cs="Arial" w:eastAsia="Arial" w:hAnsi="Arial"/>
          <w:sz w:val="18"/>
          <w:szCs w:val="18"/>
          <w:color w:val="auto"/>
        </w:rPr>
      </w:pPr>
    </w:p>
    <w:p>
      <w:pPr>
        <w:ind w:left="1460" w:hanging="440"/>
        <w:spacing w:after="0"/>
        <w:tabs>
          <w:tab w:leader="none" w:pos="1460" w:val="left"/>
        </w:tabs>
        <w:numPr>
          <w:ilvl w:val="2"/>
          <w:numId w:val="79"/>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rFonts w:ascii="Arial" w:cs="Arial" w:eastAsia="Arial" w:hAnsi="Arial"/>
          <w:sz w:val="18"/>
          <w:szCs w:val="18"/>
          <w:color w:val="auto"/>
        </w:rPr>
      </w:pPr>
    </w:p>
    <w:p>
      <w:pPr>
        <w:ind w:left="1480"/>
        <w:spacing w:after="0" w:line="342" w:lineRule="auto"/>
        <w:rPr>
          <w:rFonts w:ascii="Arial" w:cs="Arial" w:eastAsia="Arial" w:hAnsi="Arial"/>
          <w:sz w:val="18"/>
          <w:szCs w:val="18"/>
          <w:color w:val="auto"/>
        </w:rPr>
      </w:pPr>
      <w:r>
        <w:rPr>
          <w:rFonts w:ascii="Arial" w:cs="Arial" w:eastAsia="Arial" w:hAnsi="Arial"/>
          <w:sz w:val="16"/>
          <w:szCs w:val="16"/>
          <w:color w:val="auto"/>
        </w:rPr>
        <w:t>All financial statement schedules have been omitted because of the absence of conditions under which they are required or because the required information, where material, is shown in the financial statements, financial notes or supplementary financial information.</w:t>
      </w:r>
    </w:p>
    <w:p>
      <w:pPr>
        <w:spacing w:after="0" w:line="123" w:lineRule="exact"/>
        <w:rPr>
          <w:rFonts w:ascii="Arial" w:cs="Arial" w:eastAsia="Arial" w:hAnsi="Arial"/>
          <w:sz w:val="18"/>
          <w:szCs w:val="18"/>
          <w:color w:val="auto"/>
        </w:rPr>
      </w:pPr>
    </w:p>
    <w:p>
      <w:pPr>
        <w:ind w:left="1400" w:hanging="434"/>
        <w:spacing w:after="0"/>
        <w:tabs>
          <w:tab w:leader="none" w:pos="14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420" w:right="320"/>
        <w:spacing w:after="0" w:line="263" w:lineRule="auto"/>
        <w:rPr>
          <w:sz w:val="20"/>
          <w:szCs w:val="20"/>
          <w:color w:val="auto"/>
        </w:rPr>
      </w:pPr>
      <w:r>
        <w:rPr>
          <w:rFonts w:ascii="Arial" w:cs="Arial" w:eastAsia="Arial" w:hAnsi="Arial"/>
          <w:sz w:val="18"/>
          <w:szCs w:val="18"/>
          <w:color w:val="auto"/>
        </w:rPr>
        <w:t>The list of exhibits filed with this Annual Report on Form 10-K is set forth in the Exhibit Index preceding the signature page and is incorporated herein by reference or filed with this Annual Report on Form 10-K, in each case as indicated herein (numbered in accordance with Item 601 of Regulation S-K).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Exhibit</w:t>
            </w:r>
          </w:p>
        </w:tc>
        <w:tc>
          <w:tcPr>
            <w:tcW w:w="26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Description</w:t>
            </w:r>
          </w:p>
        </w:tc>
        <w:tc>
          <w:tcPr>
            <w:tcW w:w="168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Incorporated by Reference</w:t>
            </w:r>
          </w:p>
        </w:tc>
        <w:tc>
          <w:tcPr>
            <w:tcW w:w="1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80" w:type="dxa"/>
            <w:vAlign w:val="bottom"/>
            <w:tcBorders>
              <w:bottom w:val="single" w:sz="8" w:color="auto"/>
            </w:tcBorders>
            <w:vMerge w:val="continue"/>
          </w:tcPr>
          <w:p>
            <w:pPr>
              <w:spacing w:after="0"/>
              <w:rPr>
                <w:sz w:val="13"/>
                <w:szCs w:val="13"/>
                <w:color w:val="auto"/>
              </w:rPr>
            </w:pPr>
          </w:p>
        </w:tc>
        <w:tc>
          <w:tcPr>
            <w:tcW w:w="2660" w:type="dxa"/>
            <w:vAlign w:val="bottom"/>
            <w:tcBorders>
              <w:bottom w:val="single" w:sz="8" w:color="auto"/>
            </w:tcBorders>
            <w:vMerge w:val="continue"/>
          </w:tcPr>
          <w:p>
            <w:pPr>
              <w:spacing w:after="0"/>
              <w:rPr>
                <w:sz w:val="13"/>
                <w:szCs w:val="13"/>
                <w:color w:val="auto"/>
              </w:rPr>
            </w:pPr>
          </w:p>
        </w:tc>
        <w:tc>
          <w:tcPr>
            <w:tcW w:w="1680" w:type="dxa"/>
            <w:vAlign w:val="bottom"/>
            <w:tcBorders>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Schedule/Form</w:t>
            </w:r>
          </w:p>
        </w:tc>
        <w:tc>
          <w:tcPr>
            <w:tcW w:w="1580" w:type="dxa"/>
            <w:vAlign w:val="bottom"/>
            <w:tcBorders>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File Number</w:t>
            </w:r>
          </w:p>
        </w:tc>
        <w:tc>
          <w:tcPr>
            <w:tcW w:w="1560" w:type="dxa"/>
            <w:vAlign w:val="bottom"/>
            <w:tcBorders>
              <w:bottom w:val="single" w:sz="8" w:color="auto"/>
            </w:tcBorders>
          </w:tcPr>
          <w:p>
            <w:pPr>
              <w:ind w:left="440"/>
              <w:spacing w:after="0" w:line="155" w:lineRule="exact"/>
              <w:rPr>
                <w:sz w:val="20"/>
                <w:szCs w:val="20"/>
                <w:color w:val="auto"/>
              </w:rPr>
            </w:pPr>
            <w:r>
              <w:rPr>
                <w:rFonts w:ascii="Arial" w:cs="Arial" w:eastAsia="Arial" w:hAnsi="Arial"/>
                <w:sz w:val="14"/>
                <w:szCs w:val="14"/>
                <w:b w:val="1"/>
                <w:bCs w:val="1"/>
                <w:color w:val="auto"/>
              </w:rPr>
              <w:t>Exhibits</w:t>
            </w:r>
          </w:p>
        </w:tc>
        <w:tc>
          <w:tcPr>
            <w:tcW w:w="1980" w:type="dxa"/>
            <w:vAlign w:val="bottom"/>
            <w:tcBorders>
              <w:bottom w:val="single" w:sz="8" w:color="auto"/>
            </w:tcBorders>
          </w:tcPr>
          <w:p>
            <w:pPr>
              <w:ind w:left="580"/>
              <w:spacing w:after="0" w:line="155" w:lineRule="exact"/>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337"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rPr>
              <w:t>3.1</w:t>
            </w:r>
          </w:p>
        </w:tc>
        <w:tc>
          <w:tcPr>
            <w:tcW w:w="2680" w:type="dxa"/>
            <w:vAlign w:val="bottom"/>
            <w:tcBorders>
              <w:bottom w:val="single" w:sz="8" w:color="0000EE"/>
            </w:tcBorders>
            <w:gridSpan w:val="22"/>
          </w:tcPr>
          <w:p>
            <w:pPr>
              <w:spacing w:after="0"/>
              <w:rPr>
                <w:rFonts w:ascii="Arial" w:cs="Arial" w:eastAsia="Arial" w:hAnsi="Arial"/>
                <w:sz w:val="18"/>
                <w:szCs w:val="18"/>
                <w:color w:val="0000EE"/>
                <w:w w:val="90"/>
              </w:rPr>
            </w:pPr>
            <w:hyperlink r:id="rId195">
              <w:r>
                <w:rPr>
                  <w:rFonts w:ascii="Arial" w:cs="Arial" w:eastAsia="Arial" w:hAnsi="Arial"/>
                  <w:sz w:val="18"/>
                  <w:szCs w:val="18"/>
                  <w:color w:val="0000EE"/>
                  <w:w w:val="90"/>
                </w:rPr>
                <w:t>Amended and Restated Certificate of</w:t>
              </w:r>
            </w:hyperlink>
          </w:p>
        </w:tc>
        <w:tc>
          <w:tcPr>
            <w:tcW w:w="280" w:type="dxa"/>
            <w:vAlign w:val="bottom"/>
            <w:gridSpan w:val="4"/>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960" w:type="dxa"/>
            <w:vAlign w:val="bottom"/>
            <w:gridSpan w:val="26"/>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Incorporation of Vaxcyte, Inc., as</w:t>
              </w:r>
            </w:hyperlink>
          </w:p>
        </w:tc>
      </w:tr>
      <w:tr>
        <w:trPr>
          <w:trHeight w:val="196"/>
        </w:trPr>
        <w:tc>
          <w:tcPr>
            <w:tcW w:w="1480" w:type="dxa"/>
            <w:vAlign w:val="bottom"/>
          </w:tcPr>
          <w:p>
            <w:pPr>
              <w:spacing w:after="0"/>
              <w:rPr>
                <w:sz w:val="17"/>
                <w:szCs w:val="17"/>
                <w:color w:val="auto"/>
              </w:rPr>
            </w:pPr>
          </w:p>
        </w:tc>
        <w:tc>
          <w:tcPr>
            <w:tcW w:w="24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amended</w:t>
              </w:r>
            </w:hyperlink>
          </w:p>
        </w:tc>
        <w:tc>
          <w:tcPr>
            <w:tcW w:w="560" w:type="dxa"/>
            <w:vAlign w:val="bottom"/>
            <w:gridSpan w:val="11"/>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480" w:type="dxa"/>
            <w:vAlign w:val="bottom"/>
          </w:tcPr>
          <w:p>
            <w:pPr>
              <w:spacing w:after="0"/>
              <w:rPr>
                <w:sz w:val="20"/>
                <w:szCs w:val="20"/>
                <w:color w:val="auto"/>
              </w:rPr>
            </w:pPr>
            <w:r>
              <w:rPr>
                <w:rFonts w:ascii="Arial" w:cs="Arial" w:eastAsia="Arial" w:hAnsi="Arial"/>
                <w:sz w:val="18"/>
                <w:szCs w:val="18"/>
                <w:color w:val="auto"/>
              </w:rPr>
              <w:t>3.2</w:t>
            </w:r>
          </w:p>
        </w:tc>
        <w:tc>
          <w:tcPr>
            <w:tcW w:w="2960" w:type="dxa"/>
            <w:vAlign w:val="bottom"/>
            <w:gridSpan w:val="26"/>
          </w:tcPr>
          <w:p>
            <w:pPr>
              <w:spacing w:after="0"/>
              <w:rPr>
                <w:rFonts w:ascii="Arial" w:cs="Arial" w:eastAsia="Arial" w:hAnsi="Arial"/>
                <w:sz w:val="18"/>
                <w:szCs w:val="18"/>
                <w:color w:val="0000EE"/>
              </w:rPr>
            </w:pPr>
            <w:hyperlink r:id="rId196">
              <w:r>
                <w:rPr>
                  <w:rFonts w:ascii="Arial" w:cs="Arial" w:eastAsia="Arial" w:hAnsi="Arial"/>
                  <w:sz w:val="18"/>
                  <w:szCs w:val="18"/>
                  <w:color w:val="0000EE"/>
                </w:rPr>
                <w:t>Amended and Restated Bylaws of</w:t>
              </w:r>
            </w:hyperlink>
          </w:p>
        </w:tc>
      </w:tr>
      <w:tr>
        <w:trPr>
          <w:trHeight w:val="196"/>
        </w:trPr>
        <w:tc>
          <w:tcPr>
            <w:tcW w:w="1480" w:type="dxa"/>
            <w:vAlign w:val="bottom"/>
          </w:tcPr>
          <w:p>
            <w:pPr>
              <w:spacing w:after="0"/>
              <w:rPr>
                <w:sz w:val="17"/>
                <w:szCs w:val="17"/>
                <w:color w:val="auto"/>
              </w:rPr>
            </w:pPr>
          </w:p>
        </w:tc>
        <w:tc>
          <w:tcPr>
            <w:tcW w:w="24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96">
              <w:r>
                <w:rPr>
                  <w:rFonts w:ascii="Arial" w:cs="Arial" w:eastAsia="Arial" w:hAnsi="Arial"/>
                  <w:sz w:val="18"/>
                  <w:szCs w:val="18"/>
                  <w:color w:val="0000EE"/>
                </w:rPr>
                <w:t>Vaxcyte, Inc.</w:t>
              </w:r>
            </w:hyperlink>
          </w:p>
        </w:tc>
        <w:tc>
          <w:tcPr>
            <w:tcW w:w="520" w:type="dxa"/>
            <w:vAlign w:val="bottom"/>
            <w:gridSpan w:val="10"/>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4.1</w:t>
            </w:r>
          </w:p>
        </w:tc>
        <w:tc>
          <w:tcPr>
            <w:tcW w:w="2960" w:type="dxa"/>
            <w:vAlign w:val="bottom"/>
            <w:gridSpan w:val="26"/>
          </w:tcPr>
          <w:p>
            <w:pPr>
              <w:spacing w:after="0"/>
              <w:rPr>
                <w:rFonts w:ascii="Arial" w:cs="Arial" w:eastAsia="Arial" w:hAnsi="Arial"/>
                <w:sz w:val="18"/>
                <w:szCs w:val="18"/>
                <w:color w:val="0000EE"/>
                <w:w w:val="93"/>
              </w:rPr>
            </w:pPr>
            <w:hyperlink r:id="rId197">
              <w:r>
                <w:rPr>
                  <w:rFonts w:ascii="Arial" w:cs="Arial" w:eastAsia="Arial" w:hAnsi="Arial"/>
                  <w:sz w:val="18"/>
                  <w:szCs w:val="18"/>
                  <w:color w:val="0000EE"/>
                  <w:w w:val="93"/>
                </w:rPr>
                <w:t>Form of common stock certificate of the</w:t>
              </w:r>
            </w:hyperlink>
          </w:p>
        </w:tc>
      </w:tr>
      <w:tr>
        <w:trPr>
          <w:trHeight w:val="196"/>
        </w:trPr>
        <w:tc>
          <w:tcPr>
            <w:tcW w:w="148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97">
              <w:r>
                <w:rPr>
                  <w:rFonts w:ascii="Arial" w:cs="Arial" w:eastAsia="Arial" w:hAnsi="Arial"/>
                  <w:sz w:val="18"/>
                  <w:szCs w:val="18"/>
                  <w:color w:val="0000EE"/>
                  <w:w w:val="87"/>
                </w:rPr>
                <w:t>Registrant</w:t>
              </w:r>
            </w:hyperlink>
          </w:p>
        </w:tc>
        <w:tc>
          <w:tcPr>
            <w:tcW w:w="2160" w:type="dxa"/>
            <w:vAlign w:val="bottom"/>
            <w:tcBorders>
              <w:top w:val="single" w:sz="8" w:color="0000EE"/>
            </w:tcBorders>
            <w:gridSpan w:val="21"/>
          </w:tcPr>
          <w:p>
            <w:pPr>
              <w:spacing w:after="0"/>
              <w:rPr>
                <w:sz w:val="17"/>
                <w:szCs w:val="17"/>
                <w:color w:val="auto"/>
              </w:rPr>
            </w:pPr>
          </w:p>
        </w:tc>
        <w:tc>
          <w:tcPr>
            <w:tcW w:w="60" w:type="dxa"/>
            <w:vAlign w:val="bottom"/>
            <w:gridSpan w:val="3"/>
          </w:tcPr>
          <w:p>
            <w:pPr>
              <w:spacing w:after="0"/>
              <w:rPr>
                <w:sz w:val="17"/>
                <w:szCs w:val="17"/>
                <w:color w:val="auto"/>
              </w:rPr>
            </w:pPr>
          </w:p>
        </w:tc>
      </w:tr>
      <w:tr>
        <w:trPr>
          <w:trHeight w:val="236"/>
        </w:trPr>
        <w:tc>
          <w:tcPr>
            <w:tcW w:w="1480" w:type="dxa"/>
            <w:vAlign w:val="bottom"/>
          </w:tcPr>
          <w:p>
            <w:pPr>
              <w:spacing w:after="0"/>
              <w:rPr>
                <w:sz w:val="20"/>
                <w:szCs w:val="20"/>
                <w:color w:val="auto"/>
              </w:rPr>
            </w:pPr>
            <w:r>
              <w:rPr>
                <w:rFonts w:ascii="Arial" w:cs="Arial" w:eastAsia="Arial" w:hAnsi="Arial"/>
                <w:sz w:val="18"/>
                <w:szCs w:val="18"/>
                <w:color w:val="auto"/>
              </w:rPr>
              <w:t>4.2</w:t>
            </w:r>
          </w:p>
        </w:tc>
        <w:tc>
          <w:tcPr>
            <w:tcW w:w="2960" w:type="dxa"/>
            <w:vAlign w:val="bottom"/>
            <w:gridSpan w:val="26"/>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Description of Capital Stock</w:t>
              </w:r>
            </w:hyperlink>
            <w:r>
              <w:rPr>
                <w:rFonts w:ascii="Arial" w:cs="Arial" w:eastAsia="Arial" w:hAnsi="Arial"/>
                <w:sz w:val="18"/>
                <w:szCs w:val="18"/>
                <w:color w:val="000000"/>
              </w:rPr>
              <w:t>.</w:t>
            </w:r>
          </w:p>
        </w:tc>
      </w:tr>
      <w:tr>
        <w:trPr>
          <w:trHeight w:val="20"/>
        </w:trPr>
        <w:tc>
          <w:tcPr>
            <w:tcW w:w="148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10.1</w:t>
            </w:r>
          </w:p>
        </w:tc>
        <w:tc>
          <w:tcPr>
            <w:tcW w:w="2960" w:type="dxa"/>
            <w:vAlign w:val="bottom"/>
            <w:tcBorders>
              <w:bottom w:val="single" w:sz="8" w:color="0000EE"/>
            </w:tcBorders>
            <w:gridSpan w:val="26"/>
          </w:tcPr>
          <w:p>
            <w:pPr>
              <w:spacing w:after="0"/>
              <w:rPr>
                <w:rFonts w:ascii="Arial" w:cs="Arial" w:eastAsia="Arial" w:hAnsi="Arial"/>
                <w:sz w:val="18"/>
                <w:szCs w:val="18"/>
                <w:color w:val="0000EE"/>
                <w:w w:val="89"/>
              </w:rPr>
            </w:pPr>
            <w:hyperlink r:id="rId198">
              <w:r>
                <w:rPr>
                  <w:rFonts w:ascii="Arial" w:cs="Arial" w:eastAsia="Arial" w:hAnsi="Arial"/>
                  <w:sz w:val="18"/>
                  <w:szCs w:val="18"/>
                  <w:color w:val="0000EE"/>
                  <w:w w:val="89"/>
                </w:rPr>
                <w:t>Amended and Restated Investors’ Rights</w:t>
              </w:r>
            </w:hyperlink>
          </w:p>
        </w:tc>
      </w:tr>
      <w:tr>
        <w:trPr>
          <w:trHeight w:val="196"/>
        </w:trPr>
        <w:tc>
          <w:tcPr>
            <w:tcW w:w="1480" w:type="dxa"/>
            <w:vAlign w:val="bottom"/>
          </w:tcPr>
          <w:p>
            <w:pPr>
              <w:spacing w:after="0"/>
              <w:rPr>
                <w:sz w:val="17"/>
                <w:szCs w:val="17"/>
                <w:color w:val="auto"/>
              </w:rPr>
            </w:pPr>
          </w:p>
        </w:tc>
        <w:tc>
          <w:tcPr>
            <w:tcW w:w="292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198">
              <w:r>
                <w:rPr>
                  <w:rFonts w:ascii="Arial" w:cs="Arial" w:eastAsia="Arial" w:hAnsi="Arial"/>
                  <w:sz w:val="18"/>
                  <w:szCs w:val="18"/>
                  <w:color w:val="0000EE"/>
                  <w:w w:val="89"/>
                </w:rPr>
                <w:t>Agreement by and among the Registrant</w:t>
              </w:r>
            </w:hyperlink>
          </w:p>
        </w:tc>
        <w:tc>
          <w:tcPr>
            <w:tcW w:w="40" w:type="dxa"/>
            <w:vAlign w:val="bottom"/>
            <w:gridSpan w:val="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6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and certain of its stockholders, dated</w:t>
              </w:r>
            </w:hyperlink>
          </w:p>
        </w:tc>
        <w:tc>
          <w:tcPr>
            <w:tcW w:w="300" w:type="dxa"/>
            <w:vAlign w:val="bottom"/>
            <w:gridSpan w:val="5"/>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960" w:type="dxa"/>
            <w:vAlign w:val="bottom"/>
            <w:gridSpan w:val="26"/>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March 20, 2020.</w:t>
              </w:r>
            </w:hyperlink>
          </w:p>
        </w:tc>
      </w:tr>
      <w:tr>
        <w:trPr>
          <w:trHeight w:val="20"/>
        </w:trPr>
        <w:tc>
          <w:tcPr>
            <w:tcW w:w="148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480" w:type="dxa"/>
            <w:vAlign w:val="bottom"/>
          </w:tcPr>
          <w:p>
            <w:pPr>
              <w:spacing w:after="0"/>
              <w:rPr>
                <w:sz w:val="20"/>
                <w:szCs w:val="20"/>
                <w:color w:val="auto"/>
              </w:rPr>
            </w:pPr>
            <w:r>
              <w:rPr>
                <w:rFonts w:ascii="Arial" w:cs="Arial" w:eastAsia="Arial" w:hAnsi="Arial"/>
                <w:sz w:val="18"/>
                <w:szCs w:val="18"/>
                <w:color w:val="auto"/>
              </w:rPr>
              <w:t>10.2#</w:t>
            </w:r>
          </w:p>
        </w:tc>
        <w:tc>
          <w:tcPr>
            <w:tcW w:w="2660" w:type="dxa"/>
            <w:vAlign w:val="bottom"/>
            <w:tcBorders>
              <w:bottom w:val="single" w:sz="8" w:color="0000EE"/>
            </w:tcBorders>
            <w:gridSpan w:val="21"/>
          </w:tcPr>
          <w:p>
            <w:pPr>
              <w:spacing w:after="0"/>
              <w:rPr>
                <w:rFonts w:ascii="Arial" w:cs="Arial" w:eastAsia="Arial" w:hAnsi="Arial"/>
                <w:sz w:val="18"/>
                <w:szCs w:val="18"/>
                <w:color w:val="0000EE"/>
                <w:w w:val="88"/>
              </w:rPr>
            </w:pPr>
            <w:hyperlink r:id="rId199">
              <w:r>
                <w:rPr>
                  <w:rFonts w:ascii="Arial" w:cs="Arial" w:eastAsia="Arial" w:hAnsi="Arial"/>
                  <w:sz w:val="18"/>
                  <w:szCs w:val="18"/>
                  <w:color w:val="0000EE"/>
                  <w:w w:val="88"/>
                </w:rPr>
                <w:t>Vaxcyte, Inc. Amended and Restated</w:t>
              </w:r>
            </w:hyperlink>
          </w:p>
        </w:tc>
        <w:tc>
          <w:tcPr>
            <w:tcW w:w="300" w:type="dxa"/>
            <w:vAlign w:val="bottom"/>
            <w:gridSpan w:val="5"/>
          </w:tcPr>
          <w:p>
            <w:pPr>
              <w:spacing w:after="0"/>
              <w:rPr>
                <w:sz w:val="20"/>
                <w:szCs w:val="20"/>
                <w:color w:val="auto"/>
              </w:rPr>
            </w:pPr>
          </w:p>
        </w:tc>
      </w:tr>
      <w:tr>
        <w:trPr>
          <w:trHeight w:val="196"/>
        </w:trPr>
        <w:tc>
          <w:tcPr>
            <w:tcW w:w="1480" w:type="dxa"/>
            <w:vAlign w:val="bottom"/>
          </w:tcPr>
          <w:p>
            <w:pPr>
              <w:spacing w:after="0"/>
              <w:rPr>
                <w:sz w:val="17"/>
                <w:szCs w:val="17"/>
                <w:color w:val="auto"/>
              </w:rPr>
            </w:pPr>
          </w:p>
        </w:tc>
        <w:tc>
          <w:tcPr>
            <w:tcW w:w="2960" w:type="dxa"/>
            <w:vAlign w:val="bottom"/>
            <w:gridSpan w:val="26"/>
          </w:tcPr>
          <w:p>
            <w:pPr>
              <w:spacing w:after="0" w:line="196" w:lineRule="exact"/>
              <w:rPr>
                <w:rFonts w:ascii="Arial" w:cs="Arial" w:eastAsia="Arial" w:hAnsi="Arial"/>
                <w:sz w:val="18"/>
                <w:szCs w:val="18"/>
                <w:color w:val="0000EE"/>
                <w:w w:val="92"/>
              </w:rPr>
            </w:pPr>
            <w:hyperlink r:id="rId199">
              <w:r>
                <w:rPr>
                  <w:rFonts w:ascii="Arial" w:cs="Arial" w:eastAsia="Arial" w:hAnsi="Arial"/>
                  <w:sz w:val="18"/>
                  <w:szCs w:val="18"/>
                  <w:color w:val="0000EE"/>
                  <w:w w:val="92"/>
                </w:rPr>
                <w:t>2014 Equity Incentive Plan and forms of</w:t>
              </w:r>
            </w:hyperlink>
          </w:p>
        </w:tc>
      </w:tr>
      <w:tr>
        <w:trPr>
          <w:trHeight w:val="196"/>
        </w:trPr>
        <w:tc>
          <w:tcPr>
            <w:tcW w:w="1480" w:type="dxa"/>
            <w:vAlign w:val="bottom"/>
          </w:tcPr>
          <w:p>
            <w:pPr>
              <w:spacing w:after="0"/>
              <w:rPr>
                <w:sz w:val="17"/>
                <w:szCs w:val="17"/>
                <w:color w:val="auto"/>
              </w:rPr>
            </w:pPr>
          </w:p>
        </w:tc>
        <w:tc>
          <w:tcPr>
            <w:tcW w:w="29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agreements thereunder.</w:t>
              </w:r>
            </w:hyperlink>
          </w:p>
        </w:tc>
        <w:tc>
          <w:tcPr>
            <w:tcW w:w="40" w:type="dxa"/>
            <w:vAlign w:val="bottom"/>
            <w:gridSpan w:val="2"/>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10.3#</w:t>
            </w:r>
          </w:p>
        </w:tc>
        <w:tc>
          <w:tcPr>
            <w:tcW w:w="2960" w:type="dxa"/>
            <w:vAlign w:val="bottom"/>
            <w:tcBorders>
              <w:bottom w:val="single" w:sz="8" w:color="0000EE"/>
            </w:tcBorders>
            <w:gridSpan w:val="26"/>
          </w:tcPr>
          <w:p>
            <w:pPr>
              <w:spacing w:after="0"/>
              <w:rPr>
                <w:rFonts w:ascii="Arial" w:cs="Arial" w:eastAsia="Arial" w:hAnsi="Arial"/>
                <w:sz w:val="18"/>
                <w:szCs w:val="18"/>
                <w:color w:val="0000EE"/>
                <w:w w:val="91"/>
              </w:rPr>
            </w:pPr>
            <w:hyperlink r:id="rId200">
              <w:r>
                <w:rPr>
                  <w:rFonts w:ascii="Arial" w:cs="Arial" w:eastAsia="Arial" w:hAnsi="Arial"/>
                  <w:sz w:val="18"/>
                  <w:szCs w:val="18"/>
                  <w:color w:val="0000EE"/>
                  <w:w w:val="91"/>
                </w:rPr>
                <w:t>Vaxcyte, Inc. 2020 Equity Incentive Plan</w:t>
              </w:r>
            </w:hyperlink>
          </w:p>
        </w:tc>
      </w:tr>
      <w:tr>
        <w:trPr>
          <w:trHeight w:val="196"/>
        </w:trPr>
        <w:tc>
          <w:tcPr>
            <w:tcW w:w="1480" w:type="dxa"/>
            <w:vAlign w:val="bottom"/>
          </w:tcPr>
          <w:p>
            <w:pPr>
              <w:spacing w:after="0"/>
              <w:rPr>
                <w:sz w:val="17"/>
                <w:szCs w:val="17"/>
                <w:color w:val="auto"/>
              </w:rPr>
            </w:pPr>
          </w:p>
        </w:tc>
        <w:tc>
          <w:tcPr>
            <w:tcW w:w="264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r:id="rId200">
              <w:r>
                <w:rPr>
                  <w:rFonts w:ascii="Arial" w:cs="Arial" w:eastAsia="Arial" w:hAnsi="Arial"/>
                  <w:sz w:val="18"/>
                  <w:szCs w:val="18"/>
                  <w:color w:val="0000EE"/>
                  <w:w w:val="88"/>
                </w:rPr>
                <w:t>and forms of agreements thereunder.</w:t>
              </w:r>
            </w:hyperlink>
          </w:p>
        </w:tc>
        <w:tc>
          <w:tcPr>
            <w:tcW w:w="320" w:type="dxa"/>
            <w:vAlign w:val="bottom"/>
            <w:gridSpan w:val="6"/>
          </w:tcPr>
          <w:p>
            <w:pPr>
              <w:spacing w:after="0"/>
              <w:rPr>
                <w:sz w:val="17"/>
                <w:szCs w:val="17"/>
                <w:color w:val="auto"/>
              </w:rPr>
            </w:pPr>
          </w:p>
        </w:tc>
      </w:t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10.4#</w:t>
            </w:r>
          </w:p>
        </w:tc>
        <w:tc>
          <w:tcPr>
            <w:tcW w:w="2580" w:type="dxa"/>
            <w:vAlign w:val="bottom"/>
            <w:tcBorders>
              <w:bottom w:val="single" w:sz="8" w:color="0000EE"/>
            </w:tcBorders>
            <w:gridSpan w:val="18"/>
          </w:tcPr>
          <w:p>
            <w:pPr>
              <w:spacing w:after="0"/>
              <w:rPr>
                <w:rFonts w:ascii="Arial" w:cs="Arial" w:eastAsia="Arial" w:hAnsi="Arial"/>
                <w:sz w:val="18"/>
                <w:szCs w:val="18"/>
                <w:color w:val="0000EE"/>
                <w:w w:val="90"/>
              </w:rPr>
            </w:pPr>
            <w:hyperlink r:id="rId201">
              <w:r>
                <w:rPr>
                  <w:rFonts w:ascii="Arial" w:cs="Arial" w:eastAsia="Arial" w:hAnsi="Arial"/>
                  <w:sz w:val="18"/>
                  <w:szCs w:val="18"/>
                  <w:color w:val="0000EE"/>
                  <w:w w:val="90"/>
                </w:rPr>
                <w:t>Vaxcyte, Inc. 2020 Employee Stock</w:t>
              </w:r>
            </w:hyperlink>
          </w:p>
        </w:tc>
        <w:tc>
          <w:tcPr>
            <w:tcW w:w="380" w:type="dxa"/>
            <w:vAlign w:val="bottom"/>
            <w:gridSpan w:val="8"/>
          </w:tcPr>
          <w:p>
            <w:pPr>
              <w:spacing w:after="0"/>
              <w:rPr>
                <w:sz w:val="20"/>
                <w:szCs w:val="20"/>
                <w:color w:val="auto"/>
              </w:rPr>
            </w:pPr>
          </w:p>
        </w:tc>
      </w:tr>
      <w:tr>
        <w:trPr>
          <w:trHeight w:val="196"/>
        </w:trPr>
        <w:tc>
          <w:tcPr>
            <w:tcW w:w="1480" w:type="dxa"/>
            <w:vAlign w:val="bottom"/>
          </w:tcPr>
          <w:p>
            <w:pPr>
              <w:spacing w:after="0"/>
              <w:rPr>
                <w:sz w:val="17"/>
                <w:szCs w:val="17"/>
                <w:color w:val="auto"/>
              </w:rPr>
            </w:pPr>
          </w:p>
        </w:tc>
        <w:tc>
          <w:tcPr>
            <w:tcW w:w="2960" w:type="dxa"/>
            <w:vAlign w:val="bottom"/>
            <w:gridSpan w:val="26"/>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Purchase Plan</w:t>
              </w:r>
              <w:r>
                <w:rPr>
                  <w:rFonts w:ascii="Arial" w:cs="Arial" w:eastAsia="Arial" w:hAnsi="Arial"/>
                  <w:sz w:val="18"/>
                  <w:szCs w:val="18"/>
                  <w:color w:val="000000"/>
                </w:rPr>
                <w:t>.</w:t>
              </w:r>
            </w:hyperlink>
          </w:p>
        </w:tc>
      </w:tr>
      <w:tr>
        <w:trPr>
          <w:trHeight w:val="20"/>
        </w:trPr>
        <w:tc>
          <w:tcPr>
            <w:tcW w:w="148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480" w:type="dxa"/>
            <w:vAlign w:val="bottom"/>
          </w:tcPr>
          <w:p>
            <w:pPr>
              <w:spacing w:after="0"/>
              <w:rPr>
                <w:sz w:val="20"/>
                <w:szCs w:val="20"/>
                <w:color w:val="auto"/>
              </w:rPr>
            </w:pPr>
            <w:r>
              <w:rPr>
                <w:rFonts w:ascii="Arial" w:cs="Arial" w:eastAsia="Arial" w:hAnsi="Arial"/>
                <w:sz w:val="18"/>
                <w:szCs w:val="18"/>
                <w:color w:val="auto"/>
              </w:rPr>
              <w:t>10.5</w:t>
            </w:r>
          </w:p>
        </w:tc>
        <w:tc>
          <w:tcPr>
            <w:tcW w:w="2960" w:type="dxa"/>
            <w:vAlign w:val="bottom"/>
            <w:gridSpan w:val="26"/>
          </w:tcPr>
          <w:p>
            <w:pPr>
              <w:spacing w:after="0"/>
              <w:rPr>
                <w:rFonts w:ascii="Arial" w:cs="Arial" w:eastAsia="Arial" w:hAnsi="Arial"/>
                <w:sz w:val="18"/>
                <w:szCs w:val="18"/>
                <w:color w:val="0000EE"/>
              </w:rPr>
            </w:pPr>
            <w:hyperlink r:id="rId202">
              <w:r>
                <w:rPr>
                  <w:rFonts w:ascii="Arial" w:cs="Arial" w:eastAsia="Arial" w:hAnsi="Arial"/>
                  <w:sz w:val="18"/>
                  <w:szCs w:val="18"/>
                  <w:color w:val="0000EE"/>
                </w:rPr>
                <w:t>Form of Indemnification Agreement</w:t>
              </w:r>
            </w:hyperlink>
          </w:p>
        </w:tc>
      </w:tr>
      <w:tr>
        <w:trPr>
          <w:trHeight w:val="196"/>
        </w:trPr>
        <w:tc>
          <w:tcPr>
            <w:tcW w:w="148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r:id="rId202">
              <w:r>
                <w:rPr>
                  <w:rFonts w:ascii="Arial" w:cs="Arial" w:eastAsia="Arial" w:hAnsi="Arial"/>
                  <w:sz w:val="18"/>
                  <w:szCs w:val="18"/>
                  <w:color w:val="0000EE"/>
                  <w:w w:val="89"/>
                </w:rPr>
                <w:t>entered into by and between the</w:t>
              </w:r>
            </w:hyperlink>
          </w:p>
        </w:tc>
        <w:tc>
          <w:tcPr>
            <w:tcW w:w="300" w:type="dxa"/>
            <w:vAlign w:val="bottom"/>
            <w:tcBorders>
              <w:top w:val="single" w:sz="8" w:color="0000EE"/>
            </w:tcBorders>
            <w:gridSpan w:val="5"/>
          </w:tcPr>
          <w:p>
            <w:pPr>
              <w:spacing w:after="0"/>
              <w:rPr>
                <w:sz w:val="17"/>
                <w:szCs w:val="17"/>
                <w:color w:val="auto"/>
              </w:rPr>
            </w:pPr>
          </w:p>
        </w:tc>
        <w:tc>
          <w:tcPr>
            <w:tcW w:w="340" w:type="dxa"/>
            <w:vAlign w:val="bottom"/>
            <w:gridSpan w:val="7"/>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960" w:type="dxa"/>
            <w:vAlign w:val="bottom"/>
            <w:gridSpan w:val="26"/>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Registrant and each director and</w:t>
              </w:r>
            </w:hyperlink>
          </w:p>
        </w:tc>
      </w:tr>
      <w:tr>
        <w:trPr>
          <w:trHeight w:val="196"/>
        </w:trPr>
        <w:tc>
          <w:tcPr>
            <w:tcW w:w="1480" w:type="dxa"/>
            <w:vAlign w:val="bottom"/>
          </w:tcPr>
          <w:p>
            <w:pPr>
              <w:spacing w:after="0"/>
              <w:rPr>
                <w:sz w:val="17"/>
                <w:szCs w:val="17"/>
                <w:color w:val="auto"/>
              </w:rPr>
            </w:pPr>
          </w:p>
        </w:tc>
        <w:tc>
          <w:tcPr>
            <w:tcW w:w="23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executive officer.</w:t>
              </w:r>
            </w:hyperlink>
          </w:p>
        </w:tc>
        <w:tc>
          <w:tcPr>
            <w:tcW w:w="640" w:type="dxa"/>
            <w:vAlign w:val="bottom"/>
            <w:gridSpan w:val="12"/>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10.6#</w:t>
            </w:r>
          </w:p>
        </w:tc>
        <w:tc>
          <w:tcPr>
            <w:tcW w:w="2540" w:type="dxa"/>
            <w:vAlign w:val="bottom"/>
            <w:tcBorders>
              <w:bottom w:val="single" w:sz="8" w:color="0000EE"/>
            </w:tcBorders>
            <w:gridSpan w:val="17"/>
          </w:tcPr>
          <w:p>
            <w:pPr>
              <w:spacing w:after="0"/>
              <w:rPr>
                <w:rFonts w:ascii="Arial" w:cs="Arial" w:eastAsia="Arial" w:hAnsi="Arial"/>
                <w:sz w:val="18"/>
                <w:szCs w:val="18"/>
                <w:color w:val="0000EE"/>
                <w:w w:val="91"/>
              </w:rPr>
            </w:pPr>
            <w:hyperlink r:id="rId203">
              <w:r>
                <w:rPr>
                  <w:rFonts w:ascii="Arial" w:cs="Arial" w:eastAsia="Arial" w:hAnsi="Arial"/>
                  <w:sz w:val="18"/>
                  <w:szCs w:val="18"/>
                  <w:color w:val="0000EE"/>
                  <w:w w:val="91"/>
                </w:rPr>
                <w:t>Executive Employment Agreement</w:t>
              </w:r>
            </w:hyperlink>
          </w:p>
        </w:tc>
        <w:tc>
          <w:tcPr>
            <w:tcW w:w="420" w:type="dxa"/>
            <w:vAlign w:val="bottom"/>
            <w:gridSpan w:val="9"/>
          </w:tcPr>
          <w:p>
            <w:pPr>
              <w:spacing w:after="0"/>
              <w:rPr>
                <w:sz w:val="20"/>
                <w:szCs w:val="20"/>
                <w:color w:val="auto"/>
              </w:rPr>
            </w:pPr>
          </w:p>
        </w:tc>
      </w:tr>
      <w:tr>
        <w:trPr>
          <w:trHeight w:val="196"/>
        </w:trPr>
        <w:tc>
          <w:tcPr>
            <w:tcW w:w="1480" w:type="dxa"/>
            <w:vAlign w:val="bottom"/>
          </w:tcPr>
          <w:p>
            <w:pPr>
              <w:spacing w:after="0"/>
              <w:rPr>
                <w:sz w:val="17"/>
                <w:szCs w:val="17"/>
                <w:color w:val="auto"/>
              </w:rPr>
            </w:pPr>
          </w:p>
        </w:tc>
        <w:tc>
          <w:tcPr>
            <w:tcW w:w="23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203">
              <w:r>
                <w:rPr>
                  <w:rFonts w:ascii="Arial" w:cs="Arial" w:eastAsia="Arial" w:hAnsi="Arial"/>
                  <w:sz w:val="18"/>
                  <w:szCs w:val="18"/>
                  <w:color w:val="0000EE"/>
                  <w:w w:val="88"/>
                </w:rPr>
                <w:t>entered into by and between the</w:t>
              </w:r>
            </w:hyperlink>
          </w:p>
        </w:tc>
        <w:tc>
          <w:tcPr>
            <w:tcW w:w="660" w:type="dxa"/>
            <w:vAlign w:val="bottom"/>
            <w:gridSpan w:val="1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2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203">
              <w:r>
                <w:rPr>
                  <w:rFonts w:ascii="Arial" w:cs="Arial" w:eastAsia="Arial" w:hAnsi="Arial"/>
                  <w:sz w:val="18"/>
                  <w:szCs w:val="18"/>
                  <w:color w:val="0000EE"/>
                  <w:w w:val="89"/>
                </w:rPr>
                <w:t>Registrant and Grant Pickering,</w:t>
              </w:r>
            </w:hyperlink>
          </w:p>
        </w:tc>
        <w:tc>
          <w:tcPr>
            <w:tcW w:w="680" w:type="dxa"/>
            <w:vAlign w:val="bottom"/>
            <w:gridSpan w:val="14"/>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72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r:id="rId203">
              <w:r>
                <w:rPr>
                  <w:rFonts w:ascii="Arial" w:cs="Arial" w:eastAsia="Arial" w:hAnsi="Arial"/>
                  <w:sz w:val="18"/>
                  <w:szCs w:val="18"/>
                  <w:color w:val="0000EE"/>
                  <w:w w:val="87"/>
                </w:rPr>
                <w:t>dated January 21, 2016.</w:t>
              </w:r>
            </w:hyperlink>
          </w:p>
        </w:tc>
        <w:tc>
          <w:tcPr>
            <w:tcW w:w="1240" w:type="dxa"/>
            <w:vAlign w:val="bottom"/>
            <w:gridSpan w:val="17"/>
          </w:tcPr>
          <w:p>
            <w:pPr>
              <w:spacing w:after="0"/>
              <w:rPr>
                <w:sz w:val="17"/>
                <w:szCs w:val="17"/>
                <w:color w:val="auto"/>
              </w:rPr>
            </w:pPr>
          </w:p>
        </w:tc>
      </w:tr>
      <w:tr>
        <w:trPr>
          <w:trHeight w:val="236"/>
        </w:trPr>
        <w:tc>
          <w:tcPr>
            <w:tcW w:w="1480" w:type="dxa"/>
            <w:vAlign w:val="bottom"/>
          </w:tcPr>
          <w:p>
            <w:pPr>
              <w:spacing w:after="0"/>
              <w:rPr>
                <w:sz w:val="20"/>
                <w:szCs w:val="20"/>
                <w:color w:val="auto"/>
              </w:rPr>
            </w:pPr>
            <w:r>
              <w:rPr>
                <w:rFonts w:ascii="Arial" w:cs="Arial" w:eastAsia="Arial" w:hAnsi="Arial"/>
                <w:sz w:val="18"/>
                <w:szCs w:val="18"/>
                <w:color w:val="auto"/>
              </w:rPr>
              <w:t>10.7#</w:t>
            </w:r>
          </w:p>
        </w:tc>
        <w:tc>
          <w:tcPr>
            <w:tcW w:w="2540" w:type="dxa"/>
            <w:vAlign w:val="bottom"/>
            <w:tcBorders>
              <w:bottom w:val="single" w:sz="8" w:color="0000EE"/>
            </w:tcBorders>
            <w:gridSpan w:val="17"/>
          </w:tcPr>
          <w:p>
            <w:pPr>
              <w:spacing w:after="0"/>
              <w:rPr>
                <w:rFonts w:ascii="Arial" w:cs="Arial" w:eastAsia="Arial" w:hAnsi="Arial"/>
                <w:sz w:val="18"/>
                <w:szCs w:val="18"/>
                <w:color w:val="0000EE"/>
                <w:w w:val="91"/>
              </w:rPr>
            </w:pPr>
            <w:hyperlink r:id="rId204">
              <w:r>
                <w:rPr>
                  <w:rFonts w:ascii="Arial" w:cs="Arial" w:eastAsia="Arial" w:hAnsi="Arial"/>
                  <w:sz w:val="18"/>
                  <w:szCs w:val="18"/>
                  <w:color w:val="0000EE"/>
                  <w:w w:val="91"/>
                </w:rPr>
                <w:t>Executive Employment Agreement</w:t>
              </w:r>
            </w:hyperlink>
          </w:p>
        </w:tc>
        <w:tc>
          <w:tcPr>
            <w:tcW w:w="420" w:type="dxa"/>
            <w:vAlign w:val="bottom"/>
            <w:gridSpan w:val="9"/>
          </w:tcPr>
          <w:p>
            <w:pPr>
              <w:spacing w:after="0"/>
              <w:rPr>
                <w:sz w:val="20"/>
                <w:szCs w:val="20"/>
                <w:color w:val="auto"/>
              </w:rPr>
            </w:pPr>
          </w:p>
        </w:tc>
      </w:tr>
      <w:tr>
        <w:trPr>
          <w:trHeight w:val="196"/>
        </w:trPr>
        <w:tc>
          <w:tcPr>
            <w:tcW w:w="1480" w:type="dxa"/>
            <w:vAlign w:val="bottom"/>
          </w:tcPr>
          <w:p>
            <w:pPr>
              <w:spacing w:after="0"/>
              <w:rPr>
                <w:sz w:val="17"/>
                <w:szCs w:val="17"/>
                <w:color w:val="auto"/>
              </w:rPr>
            </w:pPr>
          </w:p>
        </w:tc>
        <w:tc>
          <w:tcPr>
            <w:tcW w:w="23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204">
              <w:r>
                <w:rPr>
                  <w:rFonts w:ascii="Arial" w:cs="Arial" w:eastAsia="Arial" w:hAnsi="Arial"/>
                  <w:sz w:val="18"/>
                  <w:szCs w:val="18"/>
                  <w:color w:val="0000EE"/>
                  <w:w w:val="88"/>
                </w:rPr>
                <w:t>entered into by and between the</w:t>
              </w:r>
            </w:hyperlink>
          </w:p>
        </w:tc>
        <w:tc>
          <w:tcPr>
            <w:tcW w:w="660" w:type="dxa"/>
            <w:vAlign w:val="bottom"/>
            <w:gridSpan w:val="1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960" w:type="dxa"/>
            <w:vAlign w:val="bottom"/>
            <w:gridSpan w:val="26"/>
          </w:tcPr>
          <w:p>
            <w:pPr>
              <w:spacing w:after="0" w:line="196" w:lineRule="exact"/>
              <w:rPr>
                <w:rFonts w:ascii="Arial" w:cs="Arial" w:eastAsia="Arial" w:hAnsi="Arial"/>
                <w:sz w:val="18"/>
                <w:szCs w:val="18"/>
                <w:color w:val="0000EE"/>
              </w:rPr>
            </w:pPr>
            <w:hyperlink r:id="rId204">
              <w:r>
                <w:rPr>
                  <w:rFonts w:ascii="Arial" w:cs="Arial" w:eastAsia="Arial" w:hAnsi="Arial"/>
                  <w:sz w:val="18"/>
                  <w:szCs w:val="18"/>
                  <w:color w:val="0000EE"/>
                </w:rPr>
                <w:t>Registrant and Jeff Fairman,</w:t>
              </w:r>
            </w:hyperlink>
          </w:p>
        </w:tc>
      </w:tr>
      <w:tr>
        <w:trPr>
          <w:trHeight w:val="196"/>
        </w:trPr>
        <w:tc>
          <w:tcPr>
            <w:tcW w:w="148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r:id="rId204">
              <w:r>
                <w:rPr>
                  <w:rFonts w:ascii="Arial" w:cs="Arial" w:eastAsia="Arial" w:hAnsi="Arial"/>
                  <w:sz w:val="18"/>
                  <w:szCs w:val="18"/>
                  <w:color w:val="0000EE"/>
                  <w:w w:val="87"/>
                </w:rPr>
                <w:t>dated January 21, 2016.</w:t>
              </w:r>
            </w:hyperlink>
          </w:p>
        </w:tc>
        <w:tc>
          <w:tcPr>
            <w:tcW w:w="340" w:type="dxa"/>
            <w:vAlign w:val="bottom"/>
            <w:tcBorders>
              <w:top w:val="single" w:sz="8" w:color="0000EE"/>
            </w:tcBorders>
          </w:tcPr>
          <w:p>
            <w:pPr>
              <w:spacing w:after="0"/>
              <w:rPr>
                <w:sz w:val="17"/>
                <w:szCs w:val="17"/>
                <w:color w:val="auto"/>
              </w:rPr>
            </w:pPr>
          </w:p>
        </w:tc>
        <w:tc>
          <w:tcPr>
            <w:tcW w:w="900" w:type="dxa"/>
            <w:vAlign w:val="bottom"/>
            <w:gridSpan w:val="16"/>
          </w:tcPr>
          <w:p>
            <w:pPr>
              <w:spacing w:after="0"/>
              <w:rPr>
                <w:sz w:val="17"/>
                <w:szCs w:val="17"/>
                <w:color w:val="auto"/>
              </w:rPr>
            </w:pPr>
          </w:p>
        </w:tc>
      </w:t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10.8#</w:t>
            </w:r>
          </w:p>
        </w:tc>
        <w:tc>
          <w:tcPr>
            <w:tcW w:w="2940" w:type="dxa"/>
            <w:vAlign w:val="bottom"/>
            <w:tcBorders>
              <w:bottom w:val="single" w:sz="8" w:color="0000EE"/>
            </w:tcBorders>
            <w:gridSpan w:val="25"/>
          </w:tcPr>
          <w:p>
            <w:pPr>
              <w:spacing w:after="0"/>
              <w:rPr>
                <w:rFonts w:ascii="Arial" w:cs="Arial" w:eastAsia="Arial" w:hAnsi="Arial"/>
                <w:sz w:val="18"/>
                <w:szCs w:val="18"/>
                <w:color w:val="0000EE"/>
                <w:w w:val="90"/>
              </w:rPr>
            </w:pPr>
            <w:hyperlink r:id="rId205">
              <w:r>
                <w:rPr>
                  <w:rFonts w:ascii="Arial" w:cs="Arial" w:eastAsia="Arial" w:hAnsi="Arial"/>
                  <w:sz w:val="18"/>
                  <w:szCs w:val="18"/>
                  <w:color w:val="0000EE"/>
                  <w:w w:val="90"/>
                </w:rPr>
                <w:t>Offer Letter entered into by and between</w:t>
              </w:r>
            </w:hyperlink>
          </w:p>
        </w:tc>
        <w:tc>
          <w:tcPr>
            <w:tcW w:w="20" w:type="dxa"/>
            <w:vAlign w:val="bottom"/>
          </w:tcPr>
          <w:p>
            <w:pPr>
              <w:spacing w:after="0"/>
              <w:rPr>
                <w:sz w:val="20"/>
                <w:szCs w:val="20"/>
                <w:color w:val="auto"/>
              </w:rPr>
            </w:pPr>
          </w:p>
        </w:tc>
      </w:tr>
      <w:tr>
        <w:trPr>
          <w:trHeight w:val="196"/>
        </w:trPr>
        <w:tc>
          <w:tcPr>
            <w:tcW w:w="1480" w:type="dxa"/>
            <w:vAlign w:val="bottom"/>
          </w:tcPr>
          <w:p>
            <w:pPr>
              <w:spacing w:after="0"/>
              <w:rPr>
                <w:sz w:val="17"/>
                <w:szCs w:val="17"/>
                <w:color w:val="auto"/>
              </w:rPr>
            </w:pPr>
          </w:p>
        </w:tc>
        <w:tc>
          <w:tcPr>
            <w:tcW w:w="2960" w:type="dxa"/>
            <w:vAlign w:val="bottom"/>
            <w:gridSpan w:val="26"/>
          </w:tcPr>
          <w:p>
            <w:pPr>
              <w:spacing w:after="0" w:line="196" w:lineRule="exact"/>
              <w:rPr>
                <w:rFonts w:ascii="Arial" w:cs="Arial" w:eastAsia="Arial" w:hAnsi="Arial"/>
                <w:sz w:val="18"/>
                <w:szCs w:val="18"/>
                <w:color w:val="0000EE"/>
              </w:rPr>
            </w:pPr>
            <w:hyperlink r:id="rId205">
              <w:r>
                <w:rPr>
                  <w:rFonts w:ascii="Arial" w:cs="Arial" w:eastAsia="Arial" w:hAnsi="Arial"/>
                  <w:sz w:val="18"/>
                  <w:szCs w:val="18"/>
                  <w:color w:val="0000EE"/>
                </w:rPr>
                <w:t>the Registrant and Paul Sauer,</w:t>
              </w:r>
            </w:hyperlink>
          </w:p>
        </w:tc>
      </w:tr>
      <w:tr>
        <w:trPr>
          <w:trHeight w:val="196"/>
        </w:trPr>
        <w:tc>
          <w:tcPr>
            <w:tcW w:w="1480" w:type="dxa"/>
            <w:vAlign w:val="bottom"/>
          </w:tcPr>
          <w:p>
            <w:pPr>
              <w:spacing w:after="0"/>
              <w:rPr>
                <w:sz w:val="17"/>
                <w:szCs w:val="17"/>
                <w:color w:val="auto"/>
              </w:rPr>
            </w:pPr>
          </w:p>
        </w:tc>
        <w:tc>
          <w:tcPr>
            <w:tcW w:w="21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05">
              <w:r>
                <w:rPr>
                  <w:rFonts w:ascii="Arial" w:cs="Arial" w:eastAsia="Arial" w:hAnsi="Arial"/>
                  <w:sz w:val="18"/>
                  <w:szCs w:val="18"/>
                  <w:color w:val="0000EE"/>
                </w:rPr>
                <w:t>dated April 12, 2016.</w:t>
              </w:r>
            </w:hyperlink>
          </w:p>
        </w:tc>
        <w:tc>
          <w:tcPr>
            <w:tcW w:w="800" w:type="dxa"/>
            <w:vAlign w:val="bottom"/>
            <w:gridSpan w:val="15"/>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jc w:val="center"/>
              <w:ind w:right="530"/>
              <w:spacing w:after="0"/>
              <w:rPr>
                <w:sz w:val="20"/>
                <w:szCs w:val="20"/>
                <w:color w:val="auto"/>
              </w:rPr>
            </w:pPr>
            <w:r>
              <w:rPr>
                <w:rFonts w:ascii="Arial" w:cs="Arial" w:eastAsia="Arial" w:hAnsi="Arial"/>
                <w:sz w:val="18"/>
                <w:szCs w:val="18"/>
                <w:color w:val="auto"/>
                <w:w w:val="99"/>
              </w:rPr>
              <w:t>8-K</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0"/>
              </w:rPr>
              <w:t>001-39323</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7"/>
              </w:rPr>
              <w:t>3.1</w:t>
            </w:r>
          </w:p>
        </w:tc>
        <w:tc>
          <w:tcPr>
            <w:tcW w:w="1560" w:type="dxa"/>
            <w:vAlign w:val="bottom"/>
          </w:tcPr>
          <w:p>
            <w:pPr>
              <w:jc w:val="center"/>
              <w:ind w:left="470"/>
              <w:spacing w:after="0"/>
              <w:rPr>
                <w:sz w:val="20"/>
                <w:szCs w:val="20"/>
                <w:color w:val="auto"/>
              </w:rPr>
            </w:pPr>
            <w:r>
              <w:rPr>
                <w:rFonts w:ascii="Arial" w:cs="Arial" w:eastAsia="Arial" w:hAnsi="Arial"/>
                <w:sz w:val="18"/>
                <w:szCs w:val="18"/>
                <w:color w:val="auto"/>
                <w:w w:val="87"/>
              </w:rPr>
              <w:t>June 16, 2020</w:t>
            </w:r>
          </w:p>
        </w:tc>
      </w:tr>
      <w:tr>
        <w:trPr>
          <w:trHeight w:val="581"/>
        </w:trPr>
        <w:tc>
          <w:tcPr>
            <w:tcW w:w="1020" w:type="dxa"/>
            <w:vAlign w:val="bottom"/>
          </w:tcPr>
          <w:p>
            <w:pPr>
              <w:jc w:val="center"/>
              <w:ind w:right="530"/>
              <w:spacing w:after="0"/>
              <w:rPr>
                <w:sz w:val="20"/>
                <w:szCs w:val="20"/>
                <w:color w:val="auto"/>
              </w:rPr>
            </w:pPr>
            <w:r>
              <w:rPr>
                <w:rFonts w:ascii="Arial" w:cs="Arial" w:eastAsia="Arial" w:hAnsi="Arial"/>
                <w:sz w:val="18"/>
                <w:szCs w:val="18"/>
                <w:color w:val="auto"/>
                <w:w w:val="99"/>
              </w:rPr>
              <w:t>8-K</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0"/>
              </w:rPr>
              <w:t>001-39323</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7"/>
              </w:rPr>
              <w:t>3.2</w:t>
            </w:r>
          </w:p>
        </w:tc>
        <w:tc>
          <w:tcPr>
            <w:tcW w:w="1560" w:type="dxa"/>
            <w:vAlign w:val="bottom"/>
          </w:tcPr>
          <w:p>
            <w:pPr>
              <w:jc w:val="center"/>
              <w:ind w:left="470"/>
              <w:spacing w:after="0"/>
              <w:rPr>
                <w:sz w:val="20"/>
                <w:szCs w:val="20"/>
                <w:color w:val="auto"/>
              </w:rPr>
            </w:pPr>
            <w:r>
              <w:rPr>
                <w:rFonts w:ascii="Arial" w:cs="Arial" w:eastAsia="Arial" w:hAnsi="Arial"/>
                <w:sz w:val="18"/>
                <w:szCs w:val="18"/>
                <w:color w:val="auto"/>
                <w:w w:val="87"/>
              </w:rPr>
              <w:t>June 16, 2020</w:t>
            </w:r>
          </w:p>
        </w:tc>
      </w:tr>
      <w:tr>
        <w:trPr>
          <w:trHeight w:val="473"/>
        </w:trPr>
        <w:tc>
          <w:tcPr>
            <w:tcW w:w="1020" w:type="dxa"/>
            <w:vAlign w:val="bottom"/>
          </w:tcPr>
          <w:p>
            <w:pPr>
              <w:jc w:val="center"/>
              <w:ind w:right="510"/>
              <w:spacing w:after="0"/>
              <w:rPr>
                <w:sz w:val="20"/>
                <w:szCs w:val="20"/>
                <w:color w:val="auto"/>
              </w:rPr>
            </w:pPr>
            <w:r>
              <w:rPr>
                <w:rFonts w:ascii="Arial" w:cs="Arial" w:eastAsia="Arial" w:hAnsi="Arial"/>
                <w:sz w:val="18"/>
                <w:szCs w:val="18"/>
                <w:color w:val="auto"/>
                <w:w w:val="93"/>
              </w:rPr>
              <w:t>S-1/A</w:t>
            </w:r>
          </w:p>
        </w:tc>
        <w:tc>
          <w:tcPr>
            <w:tcW w:w="1680" w:type="dxa"/>
            <w:vAlign w:val="bottom"/>
          </w:tcPr>
          <w:p>
            <w:pPr>
              <w:jc w:val="center"/>
              <w:ind w:right="30"/>
              <w:spacing w:after="0"/>
              <w:rPr>
                <w:sz w:val="20"/>
                <w:szCs w:val="20"/>
                <w:color w:val="auto"/>
              </w:rPr>
            </w:pPr>
            <w:r>
              <w:rPr>
                <w:rFonts w:ascii="Arial" w:cs="Arial" w:eastAsia="Arial" w:hAnsi="Arial"/>
                <w:sz w:val="18"/>
                <w:szCs w:val="18"/>
                <w:color w:val="auto"/>
                <w:w w:val="91"/>
              </w:rPr>
              <w:t>333-238630</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7"/>
              </w:rPr>
              <w:t>4.1</w:t>
            </w:r>
          </w:p>
        </w:tc>
        <w:tc>
          <w:tcPr>
            <w:tcW w:w="1560" w:type="dxa"/>
            <w:vAlign w:val="bottom"/>
          </w:tcPr>
          <w:p>
            <w:pPr>
              <w:jc w:val="center"/>
              <w:ind w:left="470"/>
              <w:spacing w:after="0"/>
              <w:rPr>
                <w:sz w:val="20"/>
                <w:szCs w:val="20"/>
                <w:color w:val="auto"/>
              </w:rPr>
            </w:pPr>
            <w:r>
              <w:rPr>
                <w:rFonts w:ascii="Arial" w:cs="Arial" w:eastAsia="Arial" w:hAnsi="Arial"/>
                <w:sz w:val="18"/>
                <w:szCs w:val="18"/>
                <w:color w:val="auto"/>
                <w:w w:val="88"/>
              </w:rPr>
              <w:t>June 8, 2020</w:t>
            </w:r>
          </w:p>
        </w:tc>
      </w:tr>
      <w:tr>
        <w:trPr>
          <w:trHeight w:val="364"/>
        </w:trPr>
        <w:tc>
          <w:tcPr>
            <w:tcW w:w="1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jc w:val="center"/>
              <w:ind w:left="490"/>
              <w:spacing w:after="0"/>
              <w:rPr>
                <w:sz w:val="20"/>
                <w:szCs w:val="20"/>
                <w:color w:val="auto"/>
              </w:rPr>
            </w:pPr>
            <w:r>
              <w:rPr>
                <w:rFonts w:ascii="Arial" w:cs="Arial" w:eastAsia="Arial" w:hAnsi="Arial"/>
                <w:sz w:val="18"/>
                <w:szCs w:val="18"/>
                <w:color w:val="auto"/>
              </w:rPr>
              <w:t>X</w:t>
            </w:r>
          </w:p>
        </w:tc>
      </w:tr>
      <w:tr>
        <w:trPr>
          <w:trHeight w:val="581"/>
        </w:trPr>
        <w:tc>
          <w:tcPr>
            <w:tcW w:w="1020" w:type="dxa"/>
            <w:vAlign w:val="bottom"/>
          </w:tcPr>
          <w:p>
            <w:pPr>
              <w:jc w:val="center"/>
              <w:ind w:right="510"/>
              <w:spacing w:after="0"/>
              <w:rPr>
                <w:sz w:val="20"/>
                <w:szCs w:val="20"/>
                <w:color w:val="auto"/>
              </w:rPr>
            </w:pPr>
            <w:r>
              <w:rPr>
                <w:rFonts w:ascii="Arial" w:cs="Arial" w:eastAsia="Arial" w:hAnsi="Arial"/>
                <w:sz w:val="18"/>
                <w:szCs w:val="18"/>
                <w:color w:val="auto"/>
                <w:w w:val="92"/>
              </w:rPr>
              <w:t>S-1</w:t>
            </w:r>
          </w:p>
        </w:tc>
        <w:tc>
          <w:tcPr>
            <w:tcW w:w="1680" w:type="dxa"/>
            <w:vAlign w:val="bottom"/>
          </w:tcPr>
          <w:p>
            <w:pPr>
              <w:jc w:val="center"/>
              <w:ind w:right="30"/>
              <w:spacing w:after="0"/>
              <w:rPr>
                <w:sz w:val="20"/>
                <w:szCs w:val="20"/>
                <w:color w:val="auto"/>
              </w:rPr>
            </w:pPr>
            <w:r>
              <w:rPr>
                <w:rFonts w:ascii="Arial" w:cs="Arial" w:eastAsia="Arial" w:hAnsi="Arial"/>
                <w:sz w:val="18"/>
                <w:szCs w:val="18"/>
                <w:color w:val="auto"/>
                <w:w w:val="91"/>
              </w:rPr>
              <w:t>333-238630</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5"/>
              </w:rPr>
              <w:t>10.1</w:t>
            </w:r>
          </w:p>
        </w:tc>
        <w:tc>
          <w:tcPr>
            <w:tcW w:w="1560" w:type="dxa"/>
            <w:vAlign w:val="bottom"/>
          </w:tcPr>
          <w:p>
            <w:pPr>
              <w:jc w:val="center"/>
              <w:ind w:left="470"/>
              <w:spacing w:after="0"/>
              <w:rPr>
                <w:sz w:val="20"/>
                <w:szCs w:val="20"/>
                <w:color w:val="auto"/>
              </w:rPr>
            </w:pPr>
            <w:r>
              <w:rPr>
                <w:rFonts w:ascii="Arial" w:cs="Arial" w:eastAsia="Arial" w:hAnsi="Arial"/>
                <w:sz w:val="18"/>
                <w:szCs w:val="18"/>
                <w:color w:val="auto"/>
                <w:w w:val="91"/>
              </w:rPr>
              <w:t>May 22, 2020</w:t>
            </w:r>
          </w:p>
        </w:tc>
      </w:tr>
      <w:tr>
        <w:trPr>
          <w:trHeight w:val="796"/>
        </w:trPr>
        <w:tc>
          <w:tcPr>
            <w:tcW w:w="1020" w:type="dxa"/>
            <w:vAlign w:val="bottom"/>
          </w:tcPr>
          <w:p>
            <w:pPr>
              <w:jc w:val="center"/>
              <w:ind w:right="510"/>
              <w:spacing w:after="0"/>
              <w:rPr>
                <w:sz w:val="20"/>
                <w:szCs w:val="20"/>
                <w:color w:val="auto"/>
              </w:rPr>
            </w:pPr>
            <w:r>
              <w:rPr>
                <w:rFonts w:ascii="Arial" w:cs="Arial" w:eastAsia="Arial" w:hAnsi="Arial"/>
                <w:sz w:val="18"/>
                <w:szCs w:val="18"/>
                <w:color w:val="auto"/>
                <w:w w:val="92"/>
              </w:rPr>
              <w:t>S-1</w:t>
            </w:r>
          </w:p>
        </w:tc>
        <w:tc>
          <w:tcPr>
            <w:tcW w:w="1680" w:type="dxa"/>
            <w:vAlign w:val="bottom"/>
          </w:tcPr>
          <w:p>
            <w:pPr>
              <w:jc w:val="center"/>
              <w:ind w:right="30"/>
              <w:spacing w:after="0"/>
              <w:rPr>
                <w:sz w:val="20"/>
                <w:szCs w:val="20"/>
                <w:color w:val="auto"/>
              </w:rPr>
            </w:pPr>
            <w:r>
              <w:rPr>
                <w:rFonts w:ascii="Arial" w:cs="Arial" w:eastAsia="Arial" w:hAnsi="Arial"/>
                <w:sz w:val="18"/>
                <w:szCs w:val="18"/>
                <w:color w:val="auto"/>
                <w:w w:val="91"/>
              </w:rPr>
              <w:t>333-238630</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5"/>
              </w:rPr>
              <w:t>10.2</w:t>
            </w:r>
          </w:p>
        </w:tc>
        <w:tc>
          <w:tcPr>
            <w:tcW w:w="1560" w:type="dxa"/>
            <w:vAlign w:val="bottom"/>
          </w:tcPr>
          <w:p>
            <w:pPr>
              <w:jc w:val="center"/>
              <w:ind w:left="470"/>
              <w:spacing w:after="0"/>
              <w:rPr>
                <w:sz w:val="20"/>
                <w:szCs w:val="20"/>
                <w:color w:val="auto"/>
              </w:rPr>
            </w:pPr>
            <w:r>
              <w:rPr>
                <w:rFonts w:ascii="Arial" w:cs="Arial" w:eastAsia="Arial" w:hAnsi="Arial"/>
                <w:sz w:val="18"/>
                <w:szCs w:val="18"/>
                <w:color w:val="auto"/>
                <w:w w:val="91"/>
              </w:rPr>
              <w:t>May 22, 2020</w:t>
            </w:r>
          </w:p>
        </w:tc>
      </w:tr>
      <w:tr>
        <w:trPr>
          <w:trHeight w:val="581"/>
        </w:trPr>
        <w:tc>
          <w:tcPr>
            <w:tcW w:w="1020" w:type="dxa"/>
            <w:vAlign w:val="bottom"/>
          </w:tcPr>
          <w:p>
            <w:pPr>
              <w:jc w:val="center"/>
              <w:ind w:right="510"/>
              <w:spacing w:after="0"/>
              <w:rPr>
                <w:sz w:val="20"/>
                <w:szCs w:val="20"/>
                <w:color w:val="auto"/>
              </w:rPr>
            </w:pPr>
            <w:r>
              <w:rPr>
                <w:rFonts w:ascii="Arial" w:cs="Arial" w:eastAsia="Arial" w:hAnsi="Arial"/>
                <w:sz w:val="18"/>
                <w:szCs w:val="18"/>
                <w:color w:val="auto"/>
                <w:w w:val="93"/>
              </w:rPr>
              <w:t>S-1/A</w:t>
            </w:r>
          </w:p>
        </w:tc>
        <w:tc>
          <w:tcPr>
            <w:tcW w:w="1680" w:type="dxa"/>
            <w:vAlign w:val="bottom"/>
          </w:tcPr>
          <w:p>
            <w:pPr>
              <w:jc w:val="center"/>
              <w:ind w:right="30"/>
              <w:spacing w:after="0"/>
              <w:rPr>
                <w:sz w:val="20"/>
                <w:szCs w:val="20"/>
                <w:color w:val="auto"/>
              </w:rPr>
            </w:pPr>
            <w:r>
              <w:rPr>
                <w:rFonts w:ascii="Arial" w:cs="Arial" w:eastAsia="Arial" w:hAnsi="Arial"/>
                <w:sz w:val="18"/>
                <w:szCs w:val="18"/>
                <w:color w:val="auto"/>
                <w:w w:val="91"/>
              </w:rPr>
              <w:t>333-238630</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5"/>
              </w:rPr>
              <w:t>10.3</w:t>
            </w:r>
          </w:p>
        </w:tc>
        <w:tc>
          <w:tcPr>
            <w:tcW w:w="1560" w:type="dxa"/>
            <w:vAlign w:val="bottom"/>
          </w:tcPr>
          <w:p>
            <w:pPr>
              <w:jc w:val="center"/>
              <w:ind w:left="470"/>
              <w:spacing w:after="0"/>
              <w:rPr>
                <w:sz w:val="20"/>
                <w:szCs w:val="20"/>
                <w:color w:val="auto"/>
              </w:rPr>
            </w:pPr>
            <w:r>
              <w:rPr>
                <w:rFonts w:ascii="Arial" w:cs="Arial" w:eastAsia="Arial" w:hAnsi="Arial"/>
                <w:sz w:val="18"/>
                <w:szCs w:val="18"/>
                <w:color w:val="auto"/>
                <w:w w:val="88"/>
              </w:rPr>
              <w:t>June 8, 2020</w:t>
            </w:r>
          </w:p>
        </w:tc>
      </w:tr>
      <w:tr>
        <w:trPr>
          <w:trHeight w:val="473"/>
        </w:trPr>
        <w:tc>
          <w:tcPr>
            <w:tcW w:w="1020" w:type="dxa"/>
            <w:vAlign w:val="bottom"/>
          </w:tcPr>
          <w:p>
            <w:pPr>
              <w:jc w:val="center"/>
              <w:ind w:right="510"/>
              <w:spacing w:after="0"/>
              <w:rPr>
                <w:sz w:val="20"/>
                <w:szCs w:val="20"/>
                <w:color w:val="auto"/>
              </w:rPr>
            </w:pPr>
            <w:r>
              <w:rPr>
                <w:rFonts w:ascii="Arial" w:cs="Arial" w:eastAsia="Arial" w:hAnsi="Arial"/>
                <w:sz w:val="18"/>
                <w:szCs w:val="18"/>
                <w:color w:val="auto"/>
                <w:w w:val="93"/>
              </w:rPr>
              <w:t>S-1/A</w:t>
            </w:r>
          </w:p>
        </w:tc>
        <w:tc>
          <w:tcPr>
            <w:tcW w:w="1680" w:type="dxa"/>
            <w:vAlign w:val="bottom"/>
          </w:tcPr>
          <w:p>
            <w:pPr>
              <w:jc w:val="center"/>
              <w:ind w:right="30"/>
              <w:spacing w:after="0"/>
              <w:rPr>
                <w:sz w:val="20"/>
                <w:szCs w:val="20"/>
                <w:color w:val="auto"/>
              </w:rPr>
            </w:pPr>
            <w:r>
              <w:rPr>
                <w:rFonts w:ascii="Arial" w:cs="Arial" w:eastAsia="Arial" w:hAnsi="Arial"/>
                <w:sz w:val="18"/>
                <w:szCs w:val="18"/>
                <w:color w:val="auto"/>
                <w:w w:val="91"/>
              </w:rPr>
              <w:t>333-238630</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5"/>
              </w:rPr>
              <w:t>10.4</w:t>
            </w:r>
          </w:p>
        </w:tc>
        <w:tc>
          <w:tcPr>
            <w:tcW w:w="1560" w:type="dxa"/>
            <w:vAlign w:val="bottom"/>
          </w:tcPr>
          <w:p>
            <w:pPr>
              <w:jc w:val="center"/>
              <w:ind w:left="470"/>
              <w:spacing w:after="0"/>
              <w:rPr>
                <w:sz w:val="20"/>
                <w:szCs w:val="20"/>
                <w:color w:val="auto"/>
              </w:rPr>
            </w:pPr>
            <w:r>
              <w:rPr>
                <w:rFonts w:ascii="Arial" w:cs="Arial" w:eastAsia="Arial" w:hAnsi="Arial"/>
                <w:sz w:val="18"/>
                <w:szCs w:val="18"/>
                <w:color w:val="auto"/>
                <w:w w:val="88"/>
              </w:rPr>
              <w:t>June 8, 2020</w:t>
            </w:r>
          </w:p>
        </w:tc>
      </w:tr>
      <w:tr>
        <w:trPr>
          <w:trHeight w:val="688"/>
        </w:trPr>
        <w:tc>
          <w:tcPr>
            <w:tcW w:w="1020" w:type="dxa"/>
            <w:vAlign w:val="bottom"/>
          </w:tcPr>
          <w:p>
            <w:pPr>
              <w:jc w:val="center"/>
              <w:ind w:right="510"/>
              <w:spacing w:after="0"/>
              <w:rPr>
                <w:sz w:val="20"/>
                <w:szCs w:val="20"/>
                <w:color w:val="auto"/>
              </w:rPr>
            </w:pPr>
            <w:r>
              <w:rPr>
                <w:rFonts w:ascii="Arial" w:cs="Arial" w:eastAsia="Arial" w:hAnsi="Arial"/>
                <w:sz w:val="18"/>
                <w:szCs w:val="18"/>
                <w:color w:val="auto"/>
                <w:w w:val="92"/>
              </w:rPr>
              <w:t>S-1</w:t>
            </w:r>
          </w:p>
        </w:tc>
        <w:tc>
          <w:tcPr>
            <w:tcW w:w="1680" w:type="dxa"/>
            <w:vAlign w:val="bottom"/>
          </w:tcPr>
          <w:p>
            <w:pPr>
              <w:jc w:val="center"/>
              <w:ind w:right="30"/>
              <w:spacing w:after="0"/>
              <w:rPr>
                <w:sz w:val="20"/>
                <w:szCs w:val="20"/>
                <w:color w:val="auto"/>
              </w:rPr>
            </w:pPr>
            <w:r>
              <w:rPr>
                <w:rFonts w:ascii="Arial" w:cs="Arial" w:eastAsia="Arial" w:hAnsi="Arial"/>
                <w:sz w:val="18"/>
                <w:szCs w:val="18"/>
                <w:color w:val="auto"/>
                <w:w w:val="91"/>
              </w:rPr>
              <w:t>333-238630</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5"/>
              </w:rPr>
              <w:t>10.5</w:t>
            </w:r>
          </w:p>
        </w:tc>
        <w:tc>
          <w:tcPr>
            <w:tcW w:w="1560" w:type="dxa"/>
            <w:vAlign w:val="bottom"/>
          </w:tcPr>
          <w:p>
            <w:pPr>
              <w:jc w:val="center"/>
              <w:ind w:left="470"/>
              <w:spacing w:after="0"/>
              <w:rPr>
                <w:sz w:val="20"/>
                <w:szCs w:val="20"/>
                <w:color w:val="auto"/>
              </w:rPr>
            </w:pPr>
            <w:r>
              <w:rPr>
                <w:rFonts w:ascii="Arial" w:cs="Arial" w:eastAsia="Arial" w:hAnsi="Arial"/>
                <w:sz w:val="18"/>
                <w:szCs w:val="18"/>
                <w:color w:val="auto"/>
                <w:w w:val="91"/>
              </w:rPr>
              <w:t>May 22, 2020</w:t>
            </w:r>
          </w:p>
        </w:tc>
      </w:tr>
      <w:tr>
        <w:trPr>
          <w:trHeight w:val="905"/>
        </w:trPr>
        <w:tc>
          <w:tcPr>
            <w:tcW w:w="1020" w:type="dxa"/>
            <w:vAlign w:val="bottom"/>
          </w:tcPr>
          <w:p>
            <w:pPr>
              <w:jc w:val="center"/>
              <w:ind w:right="510"/>
              <w:spacing w:after="0"/>
              <w:rPr>
                <w:sz w:val="20"/>
                <w:szCs w:val="20"/>
                <w:color w:val="auto"/>
              </w:rPr>
            </w:pPr>
            <w:r>
              <w:rPr>
                <w:rFonts w:ascii="Arial" w:cs="Arial" w:eastAsia="Arial" w:hAnsi="Arial"/>
                <w:sz w:val="18"/>
                <w:szCs w:val="18"/>
                <w:color w:val="auto"/>
                <w:w w:val="92"/>
              </w:rPr>
              <w:t>S-1</w:t>
            </w:r>
          </w:p>
        </w:tc>
        <w:tc>
          <w:tcPr>
            <w:tcW w:w="1680" w:type="dxa"/>
            <w:vAlign w:val="bottom"/>
          </w:tcPr>
          <w:p>
            <w:pPr>
              <w:jc w:val="center"/>
              <w:ind w:right="30"/>
              <w:spacing w:after="0"/>
              <w:rPr>
                <w:sz w:val="20"/>
                <w:szCs w:val="20"/>
                <w:color w:val="auto"/>
              </w:rPr>
            </w:pPr>
            <w:r>
              <w:rPr>
                <w:rFonts w:ascii="Arial" w:cs="Arial" w:eastAsia="Arial" w:hAnsi="Arial"/>
                <w:sz w:val="18"/>
                <w:szCs w:val="18"/>
                <w:color w:val="auto"/>
                <w:w w:val="91"/>
              </w:rPr>
              <w:t>333-238630</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5"/>
              </w:rPr>
              <w:t>10.6</w:t>
            </w:r>
          </w:p>
        </w:tc>
        <w:tc>
          <w:tcPr>
            <w:tcW w:w="1560" w:type="dxa"/>
            <w:vAlign w:val="bottom"/>
          </w:tcPr>
          <w:p>
            <w:pPr>
              <w:jc w:val="center"/>
              <w:ind w:left="470"/>
              <w:spacing w:after="0"/>
              <w:rPr>
                <w:sz w:val="20"/>
                <w:szCs w:val="20"/>
                <w:color w:val="auto"/>
              </w:rPr>
            </w:pPr>
            <w:r>
              <w:rPr>
                <w:rFonts w:ascii="Arial" w:cs="Arial" w:eastAsia="Arial" w:hAnsi="Arial"/>
                <w:sz w:val="18"/>
                <w:szCs w:val="18"/>
                <w:color w:val="auto"/>
                <w:w w:val="91"/>
              </w:rPr>
              <w:t>May 22, 2020</w:t>
            </w:r>
          </w:p>
        </w:tc>
      </w:tr>
      <w:tr>
        <w:trPr>
          <w:trHeight w:val="904"/>
        </w:trPr>
        <w:tc>
          <w:tcPr>
            <w:tcW w:w="1020" w:type="dxa"/>
            <w:vAlign w:val="bottom"/>
          </w:tcPr>
          <w:p>
            <w:pPr>
              <w:jc w:val="center"/>
              <w:ind w:right="510"/>
              <w:spacing w:after="0"/>
              <w:rPr>
                <w:sz w:val="20"/>
                <w:szCs w:val="20"/>
                <w:color w:val="auto"/>
              </w:rPr>
            </w:pPr>
            <w:r>
              <w:rPr>
                <w:rFonts w:ascii="Arial" w:cs="Arial" w:eastAsia="Arial" w:hAnsi="Arial"/>
                <w:sz w:val="18"/>
                <w:szCs w:val="18"/>
                <w:color w:val="auto"/>
                <w:w w:val="92"/>
              </w:rPr>
              <w:t>S-1</w:t>
            </w:r>
          </w:p>
        </w:tc>
        <w:tc>
          <w:tcPr>
            <w:tcW w:w="1680" w:type="dxa"/>
            <w:vAlign w:val="bottom"/>
          </w:tcPr>
          <w:p>
            <w:pPr>
              <w:jc w:val="center"/>
              <w:ind w:right="30"/>
              <w:spacing w:after="0"/>
              <w:rPr>
                <w:sz w:val="20"/>
                <w:szCs w:val="20"/>
                <w:color w:val="auto"/>
              </w:rPr>
            </w:pPr>
            <w:r>
              <w:rPr>
                <w:rFonts w:ascii="Arial" w:cs="Arial" w:eastAsia="Arial" w:hAnsi="Arial"/>
                <w:sz w:val="18"/>
                <w:szCs w:val="18"/>
                <w:color w:val="auto"/>
                <w:w w:val="91"/>
              </w:rPr>
              <w:t>333-238630</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5"/>
              </w:rPr>
              <w:t>10.7</w:t>
            </w:r>
          </w:p>
        </w:tc>
        <w:tc>
          <w:tcPr>
            <w:tcW w:w="1560" w:type="dxa"/>
            <w:vAlign w:val="bottom"/>
          </w:tcPr>
          <w:p>
            <w:pPr>
              <w:jc w:val="center"/>
              <w:ind w:left="470"/>
              <w:spacing w:after="0"/>
              <w:rPr>
                <w:sz w:val="20"/>
                <w:szCs w:val="20"/>
                <w:color w:val="auto"/>
              </w:rPr>
            </w:pPr>
            <w:r>
              <w:rPr>
                <w:rFonts w:ascii="Arial" w:cs="Arial" w:eastAsia="Arial" w:hAnsi="Arial"/>
                <w:sz w:val="18"/>
                <w:szCs w:val="18"/>
                <w:color w:val="auto"/>
                <w:w w:val="91"/>
              </w:rPr>
              <w:t>May 22, 2020</w:t>
            </w:r>
          </w:p>
        </w:tc>
      </w:tr>
      <w:tr>
        <w:trPr>
          <w:trHeight w:val="797"/>
        </w:trPr>
        <w:tc>
          <w:tcPr>
            <w:tcW w:w="1020" w:type="dxa"/>
            <w:vAlign w:val="bottom"/>
          </w:tcPr>
          <w:p>
            <w:pPr>
              <w:jc w:val="center"/>
              <w:ind w:right="510"/>
              <w:spacing w:after="0"/>
              <w:rPr>
                <w:sz w:val="20"/>
                <w:szCs w:val="20"/>
                <w:color w:val="auto"/>
              </w:rPr>
            </w:pPr>
            <w:r>
              <w:rPr>
                <w:rFonts w:ascii="Arial" w:cs="Arial" w:eastAsia="Arial" w:hAnsi="Arial"/>
                <w:sz w:val="18"/>
                <w:szCs w:val="18"/>
                <w:color w:val="auto"/>
                <w:w w:val="92"/>
              </w:rPr>
              <w:t>S-1</w:t>
            </w:r>
          </w:p>
        </w:tc>
        <w:tc>
          <w:tcPr>
            <w:tcW w:w="1680" w:type="dxa"/>
            <w:vAlign w:val="bottom"/>
          </w:tcPr>
          <w:p>
            <w:pPr>
              <w:jc w:val="center"/>
              <w:ind w:right="30"/>
              <w:spacing w:after="0"/>
              <w:rPr>
                <w:sz w:val="20"/>
                <w:szCs w:val="20"/>
                <w:color w:val="auto"/>
              </w:rPr>
            </w:pPr>
            <w:r>
              <w:rPr>
                <w:rFonts w:ascii="Arial" w:cs="Arial" w:eastAsia="Arial" w:hAnsi="Arial"/>
                <w:sz w:val="18"/>
                <w:szCs w:val="18"/>
                <w:color w:val="auto"/>
                <w:w w:val="91"/>
              </w:rPr>
              <w:t>333-238630</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5"/>
              </w:rPr>
              <w:t>10.8</w:t>
            </w:r>
          </w:p>
        </w:tc>
        <w:tc>
          <w:tcPr>
            <w:tcW w:w="1560" w:type="dxa"/>
            <w:vAlign w:val="bottom"/>
          </w:tcPr>
          <w:p>
            <w:pPr>
              <w:jc w:val="center"/>
              <w:ind w:left="470"/>
              <w:spacing w:after="0"/>
              <w:rPr>
                <w:sz w:val="20"/>
                <w:szCs w:val="20"/>
                <w:color w:val="auto"/>
              </w:rPr>
            </w:pPr>
            <w:r>
              <w:rPr>
                <w:rFonts w:ascii="Arial" w:cs="Arial" w:eastAsia="Arial" w:hAnsi="Arial"/>
                <w:sz w:val="18"/>
                <w:szCs w:val="18"/>
                <w:color w:val="auto"/>
                <w:w w:val="91"/>
              </w:rPr>
              <w:t>May 22, 2020</w:t>
            </w:r>
          </w:p>
        </w:tc>
      </w:tr>
      <w:tr>
        <w:trPr>
          <w:trHeight w:val="688"/>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146</w:t>
            </w: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55880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440" w:space="640"/>
            <w:col w:w="6160"/>
          </w:cols>
          <w:pgMar w:left="320" w:top="337" w:right="339" w:bottom="1440" w:gutter="0" w:footer="0" w:header="0"/>
          <w:type w:val="continuous"/>
        </w:sectPr>
      </w:pPr>
    </w:p>
    <w:bookmarkStart w:id="151" w:name="page152"/>
    <w:bookmarkEnd w:id="151"/>
    <w:tbl>
      <w:tblPr>
        <w:tblLayout w:type="fixed"/>
        <w:tblInd w:w="520" w:type="dxa"/>
        <w:tblCellMar>
          <w:top w:w="0" w:type="dxa"/>
          <w:left w:w="0" w:type="dxa"/>
          <w:bottom w:w="0" w:type="dxa"/>
          <w:right w:w="0" w:type="dxa"/>
        </w:tblCellMar>
      </w:tblPr>
      <w:tr>
        <w:trPr>
          <w:trHeight w:val="185"/>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26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Description</w:t>
            </w:r>
          </w:p>
        </w:tc>
        <w:tc>
          <w:tcPr>
            <w:tcW w:w="16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Incorporated by Reference</w:t>
            </w:r>
          </w:p>
        </w:tc>
        <w:tc>
          <w:tcPr>
            <w:tcW w:w="1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280" w:type="dxa"/>
            <w:vAlign w:val="bottom"/>
            <w:vMerge w:val="continue"/>
          </w:tcPr>
          <w:p>
            <w:pPr>
              <w:spacing w:after="0"/>
              <w:rPr>
                <w:sz w:val="14"/>
                <w:szCs w:val="14"/>
                <w:color w:val="auto"/>
              </w:rPr>
            </w:pPr>
          </w:p>
        </w:tc>
        <w:tc>
          <w:tcPr>
            <w:tcW w:w="2660" w:type="dxa"/>
            <w:vAlign w:val="bottom"/>
            <w:vMerge w:val="continue"/>
          </w:tcPr>
          <w:p>
            <w:pPr>
              <w:spacing w:after="0"/>
              <w:rPr>
                <w:sz w:val="14"/>
                <w:szCs w:val="14"/>
                <w:color w:val="auto"/>
              </w:rPr>
            </w:pPr>
          </w:p>
        </w:tc>
        <w:tc>
          <w:tcPr>
            <w:tcW w:w="1660" w:type="dxa"/>
            <w:vAlign w:val="bottom"/>
          </w:tcPr>
          <w:p>
            <w:pPr>
              <w:ind w:left="360"/>
              <w:spacing w:after="0"/>
              <w:rPr>
                <w:sz w:val="20"/>
                <w:szCs w:val="20"/>
                <w:color w:val="auto"/>
              </w:rPr>
            </w:pPr>
            <w:r>
              <w:rPr>
                <w:rFonts w:ascii="Arial" w:cs="Arial" w:eastAsia="Arial" w:hAnsi="Arial"/>
                <w:sz w:val="14"/>
                <w:szCs w:val="14"/>
                <w:b w:val="1"/>
                <w:bCs w:val="1"/>
                <w:color w:val="auto"/>
              </w:rPr>
              <w:t>Schedule/Form</w:t>
            </w:r>
          </w:p>
        </w:tc>
        <w:tc>
          <w:tcPr>
            <w:tcW w:w="1580" w:type="dxa"/>
            <w:vAlign w:val="bottom"/>
          </w:tcPr>
          <w:p>
            <w:pPr>
              <w:ind w:left="360"/>
              <w:spacing w:after="0"/>
              <w:rPr>
                <w:sz w:val="20"/>
                <w:szCs w:val="20"/>
                <w:color w:val="auto"/>
              </w:rPr>
            </w:pPr>
            <w:r>
              <w:rPr>
                <w:rFonts w:ascii="Arial" w:cs="Arial" w:eastAsia="Arial" w:hAnsi="Arial"/>
                <w:sz w:val="14"/>
                <w:szCs w:val="14"/>
                <w:b w:val="1"/>
                <w:bCs w:val="1"/>
                <w:color w:val="auto"/>
              </w:rPr>
              <w:t>File Number</w:t>
            </w:r>
          </w:p>
        </w:tc>
        <w:tc>
          <w:tcPr>
            <w:tcW w:w="1560" w:type="dxa"/>
            <w:vAlign w:val="bottom"/>
          </w:tcPr>
          <w:p>
            <w:pPr>
              <w:ind w:left="440"/>
              <w:spacing w:after="0"/>
              <w:rPr>
                <w:sz w:val="20"/>
                <w:szCs w:val="20"/>
                <w:color w:val="auto"/>
              </w:rPr>
            </w:pPr>
            <w:r>
              <w:rPr>
                <w:rFonts w:ascii="Arial" w:cs="Arial" w:eastAsia="Arial" w:hAnsi="Arial"/>
                <w:sz w:val="14"/>
                <w:szCs w:val="14"/>
                <w:b w:val="1"/>
                <w:bCs w:val="1"/>
                <w:color w:val="auto"/>
              </w:rPr>
              <w:t>Exhibits</w:t>
            </w:r>
          </w:p>
        </w:tc>
        <w:tc>
          <w:tcPr>
            <w:tcW w:w="1980" w:type="dxa"/>
            <w:vAlign w:val="bottom"/>
          </w:tcPr>
          <w:p>
            <w:pPr>
              <w:ind w:left="5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tbl>
      <w:tblPr>
        <w:tblLayout w:type="fixed"/>
        <w:tblInd w:w="0" w:type="dxa"/>
        <w:tblCellMar>
          <w:top w:w="0" w:type="dxa"/>
          <w:left w:w="0" w:type="dxa"/>
          <w:bottom w:w="0" w:type="dxa"/>
          <w:right w:w="0" w:type="dxa"/>
        </w:tblCellMar>
      </w:tblPr>
      <w:tr>
        <w:trPr>
          <w:trHeight w:val="174"/>
        </w:trPr>
        <w:tc>
          <w:tcPr>
            <w:tcW w:w="1480" w:type="dxa"/>
            <w:vAlign w:val="bottom"/>
          </w:tcPr>
          <w:p>
            <w:pPr>
              <w:spacing w:after="0" w:line="174" w:lineRule="exact"/>
              <w:rPr>
                <w:sz w:val="20"/>
                <w:szCs w:val="20"/>
                <w:color w:val="auto"/>
              </w:rPr>
            </w:pPr>
            <w:r>
              <w:rPr>
                <w:rFonts w:ascii="Arial" w:cs="Arial" w:eastAsia="Arial" w:hAnsi="Arial"/>
                <w:sz w:val="18"/>
                <w:szCs w:val="18"/>
                <w:color w:val="auto"/>
              </w:rPr>
              <w:t>10.9#</w:t>
            </w:r>
          </w:p>
        </w:tc>
        <w:tc>
          <w:tcPr>
            <w:tcW w:w="2540" w:type="dxa"/>
            <w:vAlign w:val="bottom"/>
            <w:tcBorders>
              <w:bottom w:val="single" w:sz="8" w:color="0000EE"/>
            </w:tcBorders>
            <w:gridSpan w:val="16"/>
          </w:tcPr>
          <w:p>
            <w:pPr>
              <w:spacing w:after="0" w:line="174" w:lineRule="exact"/>
              <w:rPr>
                <w:rFonts w:ascii="Arial" w:cs="Arial" w:eastAsia="Arial" w:hAnsi="Arial"/>
                <w:sz w:val="18"/>
                <w:szCs w:val="18"/>
                <w:color w:val="0000EE"/>
                <w:w w:val="91"/>
              </w:rPr>
            </w:pPr>
            <w:hyperlink r:id="rId208">
              <w:r>
                <w:rPr>
                  <w:rFonts w:ascii="Arial" w:cs="Arial" w:eastAsia="Arial" w:hAnsi="Arial"/>
                  <w:sz w:val="18"/>
                  <w:szCs w:val="18"/>
                  <w:color w:val="0000EE"/>
                  <w:w w:val="91"/>
                </w:rPr>
                <w:t>Executive Employment Agreement</w:t>
              </w:r>
            </w:hyperlink>
          </w:p>
        </w:tc>
        <w:tc>
          <w:tcPr>
            <w:tcW w:w="420" w:type="dxa"/>
            <w:vAlign w:val="bottom"/>
            <w:gridSpan w:val="7"/>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23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208">
              <w:r>
                <w:rPr>
                  <w:rFonts w:ascii="Arial" w:cs="Arial" w:eastAsia="Arial" w:hAnsi="Arial"/>
                  <w:sz w:val="18"/>
                  <w:szCs w:val="18"/>
                  <w:color w:val="0000EE"/>
                  <w:w w:val="88"/>
                </w:rPr>
                <w:t>entered into by and between the</w:t>
              </w:r>
            </w:hyperlink>
          </w:p>
        </w:tc>
        <w:tc>
          <w:tcPr>
            <w:tcW w:w="660" w:type="dxa"/>
            <w:vAlign w:val="bottom"/>
            <w:gridSpan w:val="14"/>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96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r:id="rId208">
              <w:r>
                <w:rPr>
                  <w:rFonts w:ascii="Arial" w:cs="Arial" w:eastAsia="Arial" w:hAnsi="Arial"/>
                  <w:sz w:val="18"/>
                  <w:szCs w:val="18"/>
                  <w:color w:val="0000EE"/>
                  <w:w w:val="88"/>
                </w:rPr>
                <w:t>Registrant and Elaine Sun, dated January</w:t>
              </w:r>
            </w:hyperlink>
          </w:p>
        </w:tc>
      </w:tr>
      <w:tr>
        <w:trPr>
          <w:trHeight w:val="196"/>
        </w:trPr>
        <w:tc>
          <w:tcPr>
            <w:tcW w:w="148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208">
              <w:r>
                <w:rPr>
                  <w:rFonts w:ascii="Arial" w:cs="Arial" w:eastAsia="Arial" w:hAnsi="Arial"/>
                  <w:sz w:val="18"/>
                  <w:szCs w:val="18"/>
                  <w:color w:val="0000EE"/>
                  <w:w w:val="86"/>
                </w:rPr>
                <w:t>1, 2017.</w:t>
              </w:r>
            </w:hyperlink>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1480" w:type="dxa"/>
            <w:vAlign w:val="bottom"/>
          </w:tcPr>
          <w:p>
            <w:pPr>
              <w:spacing w:after="0"/>
              <w:rPr>
                <w:sz w:val="20"/>
                <w:szCs w:val="20"/>
                <w:color w:val="auto"/>
              </w:rPr>
            </w:pPr>
            <w:r>
              <w:rPr>
                <w:rFonts w:ascii="Arial" w:cs="Arial" w:eastAsia="Arial" w:hAnsi="Arial"/>
                <w:sz w:val="18"/>
                <w:szCs w:val="18"/>
                <w:color w:val="auto"/>
              </w:rPr>
              <w:t>10.10#</w:t>
            </w:r>
          </w:p>
        </w:tc>
        <w:tc>
          <w:tcPr>
            <w:tcW w:w="2960" w:type="dxa"/>
            <w:vAlign w:val="bottom"/>
            <w:gridSpan w:val="23"/>
          </w:tcPr>
          <w:p>
            <w:pPr>
              <w:spacing w:after="0"/>
              <w:rPr>
                <w:rFonts w:ascii="Arial" w:cs="Arial" w:eastAsia="Arial" w:hAnsi="Arial"/>
                <w:sz w:val="18"/>
                <w:szCs w:val="18"/>
                <w:color w:val="0000EE"/>
              </w:rPr>
            </w:pPr>
            <w:hyperlink r:id="rId209">
              <w:r>
                <w:rPr>
                  <w:rFonts w:ascii="Arial" w:cs="Arial" w:eastAsia="Arial" w:hAnsi="Arial"/>
                  <w:sz w:val="18"/>
                  <w:szCs w:val="18"/>
                  <w:color w:val="0000EE"/>
                </w:rPr>
                <w:t>Separation Agreement and Release</w:t>
              </w:r>
            </w:hyperlink>
          </w:p>
        </w:tc>
      </w:tr>
      <w:tr>
        <w:trPr>
          <w:trHeight w:val="196"/>
        </w:trPr>
        <w:tc>
          <w:tcPr>
            <w:tcW w:w="148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r:id="rId209">
              <w:r>
                <w:rPr>
                  <w:rFonts w:ascii="Arial" w:cs="Arial" w:eastAsia="Arial" w:hAnsi="Arial"/>
                  <w:sz w:val="18"/>
                  <w:szCs w:val="18"/>
                  <w:color w:val="0000EE"/>
                  <w:w w:val="88"/>
                </w:rPr>
                <w:t>entered into by and between the</w:t>
              </w:r>
            </w:hyperlink>
          </w:p>
        </w:tc>
        <w:tc>
          <w:tcPr>
            <w:tcW w:w="220" w:type="dxa"/>
            <w:vAlign w:val="bottom"/>
            <w:tcBorders>
              <w:top w:val="single" w:sz="8" w:color="0000EE"/>
            </w:tcBorders>
            <w:gridSpan w:val="6"/>
          </w:tcPr>
          <w:p>
            <w:pPr>
              <w:spacing w:after="0"/>
              <w:rPr>
                <w:sz w:val="17"/>
                <w:szCs w:val="17"/>
                <w:color w:val="auto"/>
              </w:rPr>
            </w:pPr>
          </w:p>
        </w:tc>
        <w:tc>
          <w:tcPr>
            <w:tcW w:w="440" w:type="dxa"/>
            <w:vAlign w:val="bottom"/>
            <w:gridSpan w:val="8"/>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3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r:id="rId209">
              <w:r>
                <w:rPr>
                  <w:rFonts w:ascii="Arial" w:cs="Arial" w:eastAsia="Arial" w:hAnsi="Arial"/>
                  <w:sz w:val="18"/>
                  <w:szCs w:val="18"/>
                  <w:color w:val="0000EE"/>
                  <w:w w:val="88"/>
                </w:rPr>
                <w:t>Registrant and Elaine Sun, dated</w:t>
              </w:r>
            </w:hyperlink>
          </w:p>
        </w:tc>
        <w:tc>
          <w:tcPr>
            <w:tcW w:w="600" w:type="dxa"/>
            <w:vAlign w:val="bottom"/>
            <w:gridSpan w:val="11"/>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209">
              <w:r>
                <w:rPr>
                  <w:rFonts w:ascii="Arial" w:cs="Arial" w:eastAsia="Arial" w:hAnsi="Arial"/>
                  <w:sz w:val="18"/>
                  <w:szCs w:val="18"/>
                  <w:color w:val="0000EE"/>
                  <w:w w:val="88"/>
                </w:rPr>
                <w:t>December 17, 2019.</w:t>
              </w:r>
            </w:hyperlink>
          </w:p>
        </w:tc>
        <w:tc>
          <w:tcPr>
            <w:tcW w:w="1500" w:type="dxa"/>
            <w:vAlign w:val="bottom"/>
            <w:gridSpan w:val="19"/>
          </w:tcPr>
          <w:p>
            <w:pPr>
              <w:spacing w:after="0"/>
              <w:rPr>
                <w:sz w:val="17"/>
                <w:szCs w:val="17"/>
                <w:color w:val="auto"/>
              </w:rPr>
            </w:pPr>
          </w:p>
        </w:tc>
      </w:t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10.11#</w:t>
            </w:r>
          </w:p>
        </w:tc>
        <w:tc>
          <w:tcPr>
            <w:tcW w:w="2540" w:type="dxa"/>
            <w:vAlign w:val="bottom"/>
            <w:tcBorders>
              <w:bottom w:val="single" w:sz="8" w:color="0000EE"/>
            </w:tcBorders>
            <w:gridSpan w:val="16"/>
          </w:tcPr>
          <w:p>
            <w:pPr>
              <w:spacing w:after="0"/>
              <w:rPr>
                <w:rFonts w:ascii="Arial" w:cs="Arial" w:eastAsia="Arial" w:hAnsi="Arial"/>
                <w:sz w:val="18"/>
                <w:szCs w:val="18"/>
                <w:color w:val="0000EE"/>
                <w:w w:val="91"/>
              </w:rPr>
            </w:pPr>
            <w:hyperlink r:id="rId210">
              <w:r>
                <w:rPr>
                  <w:rFonts w:ascii="Arial" w:cs="Arial" w:eastAsia="Arial" w:hAnsi="Arial"/>
                  <w:sz w:val="18"/>
                  <w:szCs w:val="18"/>
                  <w:color w:val="0000EE"/>
                  <w:w w:val="91"/>
                </w:rPr>
                <w:t>Executive Employment Agreement</w:t>
              </w:r>
            </w:hyperlink>
          </w:p>
        </w:tc>
        <w:tc>
          <w:tcPr>
            <w:tcW w:w="420" w:type="dxa"/>
            <w:vAlign w:val="bottom"/>
            <w:gridSpan w:val="7"/>
          </w:tcPr>
          <w:p>
            <w:pPr>
              <w:spacing w:after="0"/>
              <w:rPr>
                <w:sz w:val="20"/>
                <w:szCs w:val="20"/>
                <w:color w:val="auto"/>
              </w:rPr>
            </w:pPr>
          </w:p>
        </w:tc>
      </w:tr>
      <w:tr>
        <w:trPr>
          <w:trHeight w:val="196"/>
        </w:trPr>
        <w:tc>
          <w:tcPr>
            <w:tcW w:w="1480" w:type="dxa"/>
            <w:vAlign w:val="bottom"/>
          </w:tcPr>
          <w:p>
            <w:pPr>
              <w:spacing w:after="0"/>
              <w:rPr>
                <w:sz w:val="17"/>
                <w:szCs w:val="17"/>
                <w:color w:val="auto"/>
              </w:rPr>
            </w:pPr>
          </w:p>
        </w:tc>
        <w:tc>
          <w:tcPr>
            <w:tcW w:w="23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210">
              <w:r>
                <w:rPr>
                  <w:rFonts w:ascii="Arial" w:cs="Arial" w:eastAsia="Arial" w:hAnsi="Arial"/>
                  <w:sz w:val="18"/>
                  <w:szCs w:val="18"/>
                  <w:color w:val="0000EE"/>
                  <w:w w:val="88"/>
                </w:rPr>
                <w:t>entered into by and between the</w:t>
              </w:r>
            </w:hyperlink>
          </w:p>
        </w:tc>
        <w:tc>
          <w:tcPr>
            <w:tcW w:w="660" w:type="dxa"/>
            <w:vAlign w:val="bottom"/>
            <w:gridSpan w:val="14"/>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960" w:type="dxa"/>
            <w:vAlign w:val="bottom"/>
            <w:gridSpan w:val="23"/>
          </w:tcPr>
          <w:p>
            <w:pPr>
              <w:spacing w:after="0" w:line="196" w:lineRule="exact"/>
              <w:rPr>
                <w:rFonts w:ascii="Arial" w:cs="Arial" w:eastAsia="Arial" w:hAnsi="Arial"/>
                <w:sz w:val="18"/>
                <w:szCs w:val="18"/>
                <w:color w:val="0000EE"/>
              </w:rPr>
            </w:pPr>
            <w:hyperlink r:id="rId210">
              <w:r>
                <w:rPr>
                  <w:rFonts w:ascii="Arial" w:cs="Arial" w:eastAsia="Arial" w:hAnsi="Arial"/>
                  <w:sz w:val="18"/>
                  <w:szCs w:val="18"/>
                  <w:color w:val="0000EE"/>
                </w:rPr>
                <w:t>Registrant and Jim Wassil, dated</w:t>
              </w:r>
            </w:hyperlink>
          </w:p>
        </w:tc>
      </w:tr>
      <w:tr>
        <w:trPr>
          <w:trHeight w:val="196"/>
        </w:trPr>
        <w:tc>
          <w:tcPr>
            <w:tcW w:w="148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210">
              <w:r>
                <w:rPr>
                  <w:rFonts w:ascii="Arial" w:cs="Arial" w:eastAsia="Arial" w:hAnsi="Arial"/>
                  <w:sz w:val="18"/>
                  <w:szCs w:val="18"/>
                  <w:color w:val="0000EE"/>
                  <w:w w:val="89"/>
                </w:rPr>
                <w:t>November 15, 2019.</w:t>
              </w:r>
            </w:hyperlink>
          </w:p>
        </w:tc>
        <w:tc>
          <w:tcPr>
            <w:tcW w:w="860" w:type="dxa"/>
            <w:vAlign w:val="bottom"/>
            <w:tcBorders>
              <w:top w:val="single" w:sz="8" w:color="0000EE"/>
            </w:tcBorders>
            <w:gridSpan w:val="6"/>
          </w:tcPr>
          <w:p>
            <w:pPr>
              <w:spacing w:after="0"/>
              <w:rPr>
                <w:sz w:val="17"/>
                <w:szCs w:val="17"/>
                <w:color w:val="auto"/>
              </w:rPr>
            </w:pPr>
          </w:p>
        </w:tc>
        <w:tc>
          <w:tcPr>
            <w:tcW w:w="620" w:type="dxa"/>
            <w:vAlign w:val="bottom"/>
            <w:gridSpan w:val="12"/>
          </w:tcPr>
          <w:p>
            <w:pPr>
              <w:spacing w:after="0"/>
              <w:rPr>
                <w:sz w:val="17"/>
                <w:szCs w:val="17"/>
                <w:color w:val="auto"/>
              </w:rPr>
            </w:pPr>
          </w:p>
        </w:tc>
      </w:t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10.12#</w:t>
            </w:r>
          </w:p>
        </w:tc>
        <w:tc>
          <w:tcPr>
            <w:tcW w:w="2940" w:type="dxa"/>
            <w:vAlign w:val="bottom"/>
            <w:tcBorders>
              <w:bottom w:val="single" w:sz="8" w:color="0000EE"/>
            </w:tcBorders>
            <w:gridSpan w:val="22"/>
          </w:tcPr>
          <w:p>
            <w:pPr>
              <w:spacing w:after="0"/>
              <w:rPr>
                <w:rFonts w:ascii="Arial" w:cs="Arial" w:eastAsia="Arial" w:hAnsi="Arial"/>
                <w:sz w:val="18"/>
                <w:szCs w:val="18"/>
                <w:color w:val="0000EE"/>
                <w:w w:val="90"/>
              </w:rPr>
            </w:pPr>
            <w:hyperlink r:id="rId211">
              <w:r>
                <w:rPr>
                  <w:rFonts w:ascii="Arial" w:cs="Arial" w:eastAsia="Arial" w:hAnsi="Arial"/>
                  <w:sz w:val="18"/>
                  <w:szCs w:val="18"/>
                  <w:color w:val="0000EE"/>
                  <w:w w:val="90"/>
                </w:rPr>
                <w:t>Offer Letter entered into by and between</w:t>
              </w:r>
            </w:hyperlink>
          </w:p>
        </w:tc>
        <w:tc>
          <w:tcPr>
            <w:tcW w:w="20" w:type="dxa"/>
            <w:vAlign w:val="bottom"/>
          </w:tcPr>
          <w:p>
            <w:pPr>
              <w:spacing w:after="0"/>
              <w:rPr>
                <w:sz w:val="20"/>
                <w:szCs w:val="20"/>
                <w:color w:val="auto"/>
              </w:rPr>
            </w:pPr>
          </w:p>
        </w:tc>
      </w:tr>
      <w:tr>
        <w:trPr>
          <w:trHeight w:val="196"/>
        </w:trPr>
        <w:tc>
          <w:tcPr>
            <w:tcW w:w="1480" w:type="dxa"/>
            <w:vAlign w:val="bottom"/>
          </w:tcPr>
          <w:p>
            <w:pPr>
              <w:spacing w:after="0"/>
              <w:rPr>
                <w:sz w:val="17"/>
                <w:szCs w:val="17"/>
                <w:color w:val="auto"/>
              </w:rPr>
            </w:pPr>
          </w:p>
        </w:tc>
        <w:tc>
          <w:tcPr>
            <w:tcW w:w="29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the Registrant and Jane Wright-Mitchell,</w:t>
              </w:r>
            </w:hyperlink>
          </w:p>
        </w:tc>
      </w:tr>
      <w:tr>
        <w:trPr>
          <w:trHeight w:val="196"/>
        </w:trPr>
        <w:tc>
          <w:tcPr>
            <w:tcW w:w="1480" w:type="dxa"/>
            <w:vAlign w:val="bottom"/>
          </w:tcPr>
          <w:p>
            <w:pPr>
              <w:spacing w:after="0"/>
              <w:rPr>
                <w:sz w:val="17"/>
                <w:szCs w:val="17"/>
                <w:color w:val="auto"/>
              </w:rPr>
            </w:pPr>
          </w:p>
        </w:tc>
        <w:tc>
          <w:tcPr>
            <w:tcW w:w="2960" w:type="dxa"/>
            <w:vAlign w:val="bottom"/>
            <w:gridSpan w:val="23"/>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dated December 6, 2018.</w:t>
              </w:r>
            </w:hyperlink>
          </w:p>
        </w:tc>
      </w:tr>
      <w:tr>
        <w:trPr>
          <w:trHeight w:val="20"/>
        </w:trPr>
        <w:tc>
          <w:tcPr>
            <w:tcW w:w="1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6"/>
        </w:trPr>
        <w:tc>
          <w:tcPr>
            <w:tcW w:w="1480" w:type="dxa"/>
            <w:vAlign w:val="bottom"/>
          </w:tcPr>
          <w:p>
            <w:pPr>
              <w:spacing w:after="0"/>
              <w:rPr>
                <w:sz w:val="20"/>
                <w:szCs w:val="20"/>
                <w:color w:val="auto"/>
              </w:rPr>
            </w:pPr>
            <w:r>
              <w:rPr>
                <w:rFonts w:ascii="Arial" w:cs="Arial" w:eastAsia="Arial" w:hAnsi="Arial"/>
                <w:sz w:val="18"/>
                <w:szCs w:val="18"/>
                <w:color w:val="auto"/>
              </w:rPr>
              <w:t>10.13#</w:t>
            </w:r>
          </w:p>
        </w:tc>
        <w:tc>
          <w:tcPr>
            <w:tcW w:w="2940" w:type="dxa"/>
            <w:vAlign w:val="bottom"/>
            <w:tcBorders>
              <w:bottom w:val="single" w:sz="8" w:color="0000EE"/>
            </w:tcBorders>
            <w:gridSpan w:val="22"/>
          </w:tcPr>
          <w:p>
            <w:pPr>
              <w:spacing w:after="0"/>
              <w:rPr>
                <w:rFonts w:ascii="Arial" w:cs="Arial" w:eastAsia="Arial" w:hAnsi="Arial"/>
                <w:sz w:val="18"/>
                <w:szCs w:val="18"/>
                <w:color w:val="0000EE"/>
                <w:w w:val="90"/>
              </w:rPr>
            </w:pPr>
            <w:hyperlink r:id="rId212">
              <w:r>
                <w:rPr>
                  <w:rFonts w:ascii="Arial" w:cs="Arial" w:eastAsia="Arial" w:hAnsi="Arial"/>
                  <w:sz w:val="18"/>
                  <w:szCs w:val="18"/>
                  <w:color w:val="0000EE"/>
                  <w:w w:val="90"/>
                </w:rPr>
                <w:t>Offer Letter entered into by and between</w:t>
              </w:r>
            </w:hyperlink>
          </w:p>
        </w:tc>
        <w:tc>
          <w:tcPr>
            <w:tcW w:w="20" w:type="dxa"/>
            <w:vAlign w:val="bottom"/>
          </w:tcPr>
          <w:p>
            <w:pPr>
              <w:spacing w:after="0"/>
              <w:rPr>
                <w:sz w:val="20"/>
                <w:szCs w:val="20"/>
                <w:color w:val="auto"/>
              </w:rPr>
            </w:pPr>
          </w:p>
        </w:tc>
      </w:tr>
      <w:tr>
        <w:trPr>
          <w:trHeight w:val="196"/>
        </w:trPr>
        <w:tc>
          <w:tcPr>
            <w:tcW w:w="1480" w:type="dxa"/>
            <w:vAlign w:val="bottom"/>
          </w:tcPr>
          <w:p>
            <w:pPr>
              <w:spacing w:after="0"/>
              <w:rPr>
                <w:sz w:val="17"/>
                <w:szCs w:val="17"/>
                <w:color w:val="auto"/>
              </w:rPr>
            </w:pPr>
          </w:p>
        </w:tc>
        <w:tc>
          <w:tcPr>
            <w:tcW w:w="29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212">
              <w:r>
                <w:rPr>
                  <w:rFonts w:ascii="Arial" w:cs="Arial" w:eastAsia="Arial" w:hAnsi="Arial"/>
                  <w:sz w:val="18"/>
                  <w:szCs w:val="18"/>
                  <w:color w:val="0000EE"/>
                  <w:w w:val="90"/>
                </w:rPr>
                <w:t>the Registrant and Andrew Guggenhime,</w:t>
              </w:r>
            </w:hyperlink>
          </w:p>
        </w:tc>
      </w:tr>
      <w:tr>
        <w:trPr>
          <w:trHeight w:val="196"/>
        </w:trPr>
        <w:tc>
          <w:tcPr>
            <w:tcW w:w="1480" w:type="dxa"/>
            <w:vAlign w:val="bottom"/>
          </w:tcPr>
          <w:p>
            <w:pPr>
              <w:spacing w:after="0"/>
              <w:rPr>
                <w:sz w:val="17"/>
                <w:szCs w:val="17"/>
                <w:color w:val="auto"/>
              </w:rPr>
            </w:pPr>
          </w:p>
        </w:tc>
        <w:tc>
          <w:tcPr>
            <w:tcW w:w="15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dated April 16, 2020.</w:t>
              </w:r>
            </w:hyperlink>
          </w:p>
        </w:tc>
        <w:tc>
          <w:tcPr>
            <w:tcW w:w="1420" w:type="dxa"/>
            <w:vAlign w:val="bottom"/>
            <w:gridSpan w:val="17"/>
          </w:tcPr>
          <w:p>
            <w:pPr>
              <w:spacing w:after="0"/>
              <w:rPr>
                <w:sz w:val="17"/>
                <w:szCs w:val="17"/>
                <w:color w:val="auto"/>
              </w:rPr>
            </w:pPr>
          </w:p>
        </w:tc>
      </w:t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10.14#</w:t>
            </w:r>
          </w:p>
        </w:tc>
        <w:tc>
          <w:tcPr>
            <w:tcW w:w="2740" w:type="dxa"/>
            <w:vAlign w:val="bottom"/>
            <w:tcBorders>
              <w:bottom w:val="single" w:sz="8" w:color="0000EE"/>
            </w:tcBorders>
            <w:gridSpan w:val="18"/>
          </w:tcPr>
          <w:p>
            <w:pPr>
              <w:spacing w:after="0"/>
              <w:rPr>
                <w:rFonts w:ascii="Arial" w:cs="Arial" w:eastAsia="Arial" w:hAnsi="Arial"/>
                <w:sz w:val="18"/>
                <w:szCs w:val="18"/>
                <w:color w:val="0000EE"/>
                <w:w w:val="92"/>
              </w:rPr>
            </w:pPr>
            <w:hyperlink r:id="rId213">
              <w:r>
                <w:rPr>
                  <w:rFonts w:ascii="Arial" w:cs="Arial" w:eastAsia="Arial" w:hAnsi="Arial"/>
                  <w:sz w:val="18"/>
                  <w:szCs w:val="18"/>
                  <w:color w:val="0000EE"/>
                  <w:w w:val="92"/>
                </w:rPr>
                <w:t>Form of Executive Change in Control</w:t>
              </w:r>
            </w:hyperlink>
          </w:p>
        </w:tc>
        <w:tc>
          <w:tcPr>
            <w:tcW w:w="220" w:type="dxa"/>
            <w:vAlign w:val="bottom"/>
            <w:gridSpan w:val="5"/>
          </w:tcPr>
          <w:p>
            <w:pPr>
              <w:spacing w:after="0"/>
              <w:rPr>
                <w:sz w:val="20"/>
                <w:szCs w:val="20"/>
                <w:color w:val="auto"/>
              </w:rPr>
            </w:pPr>
          </w:p>
        </w:tc>
      </w:tr>
      <w:tr>
        <w:trPr>
          <w:trHeight w:val="196"/>
        </w:trPr>
        <w:tc>
          <w:tcPr>
            <w:tcW w:w="1480" w:type="dxa"/>
            <w:vAlign w:val="bottom"/>
          </w:tcPr>
          <w:p>
            <w:pPr>
              <w:spacing w:after="0"/>
              <w:rPr>
                <w:sz w:val="17"/>
                <w:szCs w:val="17"/>
                <w:color w:val="auto"/>
              </w:rPr>
            </w:pPr>
          </w:p>
        </w:tc>
        <w:tc>
          <w:tcPr>
            <w:tcW w:w="2960" w:type="dxa"/>
            <w:vAlign w:val="bottom"/>
            <w:gridSpan w:val="23"/>
          </w:tcPr>
          <w:p>
            <w:pPr>
              <w:spacing w:after="0" w:line="196" w:lineRule="exact"/>
              <w:rPr>
                <w:rFonts w:ascii="Arial" w:cs="Arial" w:eastAsia="Arial" w:hAnsi="Arial"/>
                <w:sz w:val="18"/>
                <w:szCs w:val="18"/>
                <w:color w:val="0000EE"/>
                <w:w w:val="93"/>
              </w:rPr>
            </w:pPr>
            <w:hyperlink r:id="rId213">
              <w:r>
                <w:rPr>
                  <w:rFonts w:ascii="Arial" w:cs="Arial" w:eastAsia="Arial" w:hAnsi="Arial"/>
                  <w:sz w:val="18"/>
                  <w:szCs w:val="18"/>
                  <w:color w:val="0000EE"/>
                  <w:w w:val="93"/>
                </w:rPr>
                <w:t>and Severance Agreement entered into</w:t>
              </w:r>
            </w:hyperlink>
          </w:p>
        </w:tc>
      </w:tr>
      <w:tr>
        <w:trPr>
          <w:trHeight w:val="20"/>
        </w:trPr>
        <w:tc>
          <w:tcPr>
            <w:tcW w:w="1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86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r:id="rId213">
              <w:r>
                <w:rPr>
                  <w:rFonts w:ascii="Arial" w:cs="Arial" w:eastAsia="Arial" w:hAnsi="Arial"/>
                  <w:sz w:val="18"/>
                  <w:szCs w:val="18"/>
                  <w:color w:val="0000EE"/>
                  <w:w w:val="87"/>
                </w:rPr>
                <w:t>by and between the Registrant and each</w:t>
              </w:r>
            </w:hyperlink>
          </w:p>
        </w:tc>
        <w:tc>
          <w:tcPr>
            <w:tcW w:w="100" w:type="dxa"/>
            <w:vAlign w:val="bottom"/>
            <w:gridSpan w:val="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960" w:type="dxa"/>
            <w:vAlign w:val="bottom"/>
            <w:gridSpan w:val="23"/>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eligible employee.</w:t>
              </w:r>
            </w:hyperlink>
          </w:p>
        </w:tc>
      </w:tr>
      <w:tr>
        <w:trPr>
          <w:trHeight w:val="20"/>
        </w:trPr>
        <w:tc>
          <w:tcPr>
            <w:tcW w:w="1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6"/>
        </w:trPr>
        <w:tc>
          <w:tcPr>
            <w:tcW w:w="1480" w:type="dxa"/>
            <w:vAlign w:val="bottom"/>
          </w:tcPr>
          <w:p>
            <w:pPr>
              <w:spacing w:after="0"/>
              <w:rPr>
                <w:sz w:val="20"/>
                <w:szCs w:val="20"/>
                <w:color w:val="auto"/>
              </w:rPr>
            </w:pPr>
            <w:r>
              <w:rPr>
                <w:rFonts w:ascii="Arial" w:cs="Arial" w:eastAsia="Arial" w:hAnsi="Arial"/>
                <w:sz w:val="18"/>
                <w:szCs w:val="18"/>
                <w:color w:val="auto"/>
              </w:rPr>
              <w:t>10.15+</w:t>
            </w:r>
          </w:p>
        </w:tc>
        <w:tc>
          <w:tcPr>
            <w:tcW w:w="2400" w:type="dxa"/>
            <w:vAlign w:val="bottom"/>
            <w:tcBorders>
              <w:bottom w:val="single" w:sz="8" w:color="0000EE"/>
            </w:tcBorders>
            <w:gridSpan w:val="14"/>
          </w:tcPr>
          <w:p>
            <w:pPr>
              <w:spacing w:after="0"/>
              <w:rPr>
                <w:rFonts w:ascii="Arial" w:cs="Arial" w:eastAsia="Arial" w:hAnsi="Arial"/>
                <w:sz w:val="18"/>
                <w:szCs w:val="18"/>
                <w:color w:val="0000EE"/>
                <w:w w:val="91"/>
              </w:rPr>
            </w:pPr>
            <w:hyperlink r:id="rId214">
              <w:r>
                <w:rPr>
                  <w:rFonts w:ascii="Arial" w:cs="Arial" w:eastAsia="Arial" w:hAnsi="Arial"/>
                  <w:sz w:val="18"/>
                  <w:szCs w:val="18"/>
                  <w:color w:val="0000EE"/>
                  <w:w w:val="91"/>
                </w:rPr>
                <w:t>Development and Manufacturing</w:t>
              </w:r>
            </w:hyperlink>
          </w:p>
        </w:tc>
        <w:tc>
          <w:tcPr>
            <w:tcW w:w="560" w:type="dxa"/>
            <w:vAlign w:val="bottom"/>
            <w:gridSpan w:val="9"/>
          </w:tcPr>
          <w:p>
            <w:pPr>
              <w:spacing w:after="0"/>
              <w:rPr>
                <w:sz w:val="20"/>
                <w:szCs w:val="20"/>
                <w:color w:val="auto"/>
              </w:rPr>
            </w:pPr>
          </w:p>
        </w:tc>
      </w:tr>
      <w:tr>
        <w:trPr>
          <w:trHeight w:val="196"/>
        </w:trPr>
        <w:tc>
          <w:tcPr>
            <w:tcW w:w="1480" w:type="dxa"/>
            <w:vAlign w:val="bottom"/>
          </w:tcPr>
          <w:p>
            <w:pPr>
              <w:spacing w:after="0"/>
              <w:rPr>
                <w:sz w:val="17"/>
                <w:szCs w:val="17"/>
                <w:color w:val="auto"/>
              </w:rPr>
            </w:pPr>
          </w:p>
        </w:tc>
        <w:tc>
          <w:tcPr>
            <w:tcW w:w="29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r:id="rId214">
              <w:r>
                <w:rPr>
                  <w:rFonts w:ascii="Arial" w:cs="Arial" w:eastAsia="Arial" w:hAnsi="Arial"/>
                  <w:sz w:val="18"/>
                  <w:szCs w:val="18"/>
                  <w:color w:val="0000EE"/>
                  <w:w w:val="88"/>
                </w:rPr>
                <w:t>Services Agreement by and between the</w:t>
              </w:r>
            </w:hyperlink>
          </w:p>
        </w:tc>
        <w:tc>
          <w:tcPr>
            <w:tcW w:w="60" w:type="dxa"/>
            <w:vAlign w:val="bottom"/>
            <w:gridSpan w:val="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3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214">
              <w:r>
                <w:rPr>
                  <w:rFonts w:ascii="Arial" w:cs="Arial" w:eastAsia="Arial" w:hAnsi="Arial"/>
                  <w:sz w:val="18"/>
                  <w:szCs w:val="18"/>
                  <w:color w:val="0000EE"/>
                  <w:w w:val="89"/>
                </w:rPr>
                <w:t>Registrant and Lonza Ltd, dated</w:t>
              </w:r>
            </w:hyperlink>
          </w:p>
        </w:tc>
        <w:tc>
          <w:tcPr>
            <w:tcW w:w="640" w:type="dxa"/>
            <w:vAlign w:val="bottom"/>
            <w:gridSpan w:val="1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214">
              <w:r>
                <w:rPr>
                  <w:rFonts w:ascii="Arial" w:cs="Arial" w:eastAsia="Arial" w:hAnsi="Arial"/>
                  <w:sz w:val="18"/>
                  <w:szCs w:val="18"/>
                  <w:color w:val="0000EE"/>
                  <w:w w:val="88"/>
                </w:rPr>
                <w:t>October 29, 2018.</w:t>
              </w:r>
            </w:hyperlink>
          </w:p>
        </w:tc>
        <w:tc>
          <w:tcPr>
            <w:tcW w:w="1640" w:type="dxa"/>
            <w:vAlign w:val="bottom"/>
            <w:gridSpan w:val="20"/>
          </w:tcPr>
          <w:p>
            <w:pPr>
              <w:spacing w:after="0"/>
              <w:rPr>
                <w:sz w:val="17"/>
                <w:szCs w:val="17"/>
                <w:color w:val="auto"/>
              </w:rPr>
            </w:pPr>
          </w:p>
        </w:tc>
      </w:t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10.16+</w:t>
            </w:r>
          </w:p>
        </w:tc>
        <w:tc>
          <w:tcPr>
            <w:tcW w:w="2400" w:type="dxa"/>
            <w:vAlign w:val="bottom"/>
            <w:tcBorders>
              <w:bottom w:val="single" w:sz="8" w:color="0000EE"/>
            </w:tcBorders>
            <w:gridSpan w:val="14"/>
          </w:tcPr>
          <w:p>
            <w:pPr>
              <w:spacing w:after="0"/>
              <w:rPr>
                <w:rFonts w:ascii="Arial" w:cs="Arial" w:eastAsia="Arial" w:hAnsi="Arial"/>
                <w:sz w:val="18"/>
                <w:szCs w:val="18"/>
                <w:color w:val="0000EE"/>
                <w:w w:val="91"/>
              </w:rPr>
            </w:pPr>
            <w:hyperlink r:id="rId215">
              <w:r>
                <w:rPr>
                  <w:rFonts w:ascii="Arial" w:cs="Arial" w:eastAsia="Arial" w:hAnsi="Arial"/>
                  <w:sz w:val="18"/>
                  <w:szCs w:val="18"/>
                  <w:color w:val="0000EE"/>
                  <w:w w:val="91"/>
                </w:rPr>
                <w:t>Development and Manufacturing</w:t>
              </w:r>
            </w:hyperlink>
          </w:p>
        </w:tc>
        <w:tc>
          <w:tcPr>
            <w:tcW w:w="560" w:type="dxa"/>
            <w:vAlign w:val="bottom"/>
            <w:gridSpan w:val="9"/>
          </w:tcPr>
          <w:p>
            <w:pPr>
              <w:spacing w:after="0"/>
              <w:rPr>
                <w:sz w:val="20"/>
                <w:szCs w:val="20"/>
                <w:color w:val="auto"/>
              </w:rPr>
            </w:pPr>
          </w:p>
        </w:tc>
      </w:tr>
      <w:tr>
        <w:trPr>
          <w:trHeight w:val="196"/>
        </w:trPr>
        <w:tc>
          <w:tcPr>
            <w:tcW w:w="1480" w:type="dxa"/>
            <w:vAlign w:val="bottom"/>
          </w:tcPr>
          <w:p>
            <w:pPr>
              <w:spacing w:after="0"/>
              <w:rPr>
                <w:sz w:val="17"/>
                <w:szCs w:val="17"/>
                <w:color w:val="auto"/>
              </w:rPr>
            </w:pPr>
          </w:p>
        </w:tc>
        <w:tc>
          <w:tcPr>
            <w:tcW w:w="29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r:id="rId215">
              <w:r>
                <w:rPr>
                  <w:rFonts w:ascii="Arial" w:cs="Arial" w:eastAsia="Arial" w:hAnsi="Arial"/>
                  <w:sz w:val="18"/>
                  <w:szCs w:val="18"/>
                  <w:color w:val="0000EE"/>
                  <w:w w:val="88"/>
                </w:rPr>
                <w:t>Services Agreement by and between the</w:t>
              </w:r>
            </w:hyperlink>
          </w:p>
        </w:tc>
        <w:tc>
          <w:tcPr>
            <w:tcW w:w="60" w:type="dxa"/>
            <w:vAlign w:val="bottom"/>
            <w:gridSpan w:val="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3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215">
              <w:r>
                <w:rPr>
                  <w:rFonts w:ascii="Arial" w:cs="Arial" w:eastAsia="Arial" w:hAnsi="Arial"/>
                  <w:sz w:val="18"/>
                  <w:szCs w:val="18"/>
                  <w:color w:val="0000EE"/>
                  <w:w w:val="89"/>
                </w:rPr>
                <w:t>Registrant and Lonza Ltd, dated</w:t>
              </w:r>
            </w:hyperlink>
          </w:p>
        </w:tc>
        <w:tc>
          <w:tcPr>
            <w:tcW w:w="640" w:type="dxa"/>
            <w:vAlign w:val="bottom"/>
            <w:gridSpan w:val="1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2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r:id="rId215">
              <w:r>
                <w:rPr>
                  <w:rFonts w:ascii="Arial" w:cs="Arial" w:eastAsia="Arial" w:hAnsi="Arial"/>
                  <w:sz w:val="18"/>
                  <w:szCs w:val="18"/>
                  <w:color w:val="0000EE"/>
                  <w:w w:val="87"/>
                </w:rPr>
                <w:t>October 21, 2016, as amended.</w:t>
              </w:r>
            </w:hyperlink>
          </w:p>
        </w:tc>
        <w:tc>
          <w:tcPr>
            <w:tcW w:w="720" w:type="dxa"/>
            <w:vAlign w:val="bottom"/>
            <w:gridSpan w:val="15"/>
          </w:tcPr>
          <w:p>
            <w:pPr>
              <w:spacing w:after="0"/>
              <w:rPr>
                <w:sz w:val="17"/>
                <w:szCs w:val="17"/>
                <w:color w:val="auto"/>
              </w:rPr>
            </w:pPr>
          </w:p>
        </w:tc>
      </w:tr>
      <w:tr>
        <w:trPr>
          <w:trHeight w:val="236"/>
        </w:trPr>
        <w:tc>
          <w:tcPr>
            <w:tcW w:w="1480" w:type="dxa"/>
            <w:vAlign w:val="bottom"/>
          </w:tcPr>
          <w:p>
            <w:pPr>
              <w:spacing w:after="0"/>
              <w:rPr>
                <w:sz w:val="20"/>
                <w:szCs w:val="20"/>
                <w:color w:val="auto"/>
              </w:rPr>
            </w:pPr>
            <w:r>
              <w:rPr>
                <w:rFonts w:ascii="Arial" w:cs="Arial" w:eastAsia="Arial" w:hAnsi="Arial"/>
                <w:sz w:val="18"/>
                <w:szCs w:val="18"/>
                <w:color w:val="auto"/>
              </w:rPr>
              <w:t>10.17+</w:t>
            </w:r>
          </w:p>
        </w:tc>
        <w:tc>
          <w:tcPr>
            <w:tcW w:w="2720" w:type="dxa"/>
            <w:vAlign w:val="bottom"/>
            <w:tcBorders>
              <w:bottom w:val="single" w:sz="8" w:color="0000EE"/>
            </w:tcBorders>
            <w:gridSpan w:val="17"/>
          </w:tcPr>
          <w:p>
            <w:pPr>
              <w:spacing w:after="0"/>
              <w:rPr>
                <w:rFonts w:ascii="Arial" w:cs="Arial" w:eastAsia="Arial" w:hAnsi="Arial"/>
                <w:sz w:val="18"/>
                <w:szCs w:val="18"/>
                <w:color w:val="0000EE"/>
                <w:w w:val="89"/>
              </w:rPr>
            </w:pPr>
            <w:hyperlink r:id="rId216">
              <w:r>
                <w:rPr>
                  <w:rFonts w:ascii="Arial" w:cs="Arial" w:eastAsia="Arial" w:hAnsi="Arial"/>
                  <w:sz w:val="18"/>
                  <w:szCs w:val="18"/>
                  <w:color w:val="0000EE"/>
                  <w:w w:val="89"/>
                </w:rPr>
                <w:t>Letter Agreement by and between the</w:t>
              </w:r>
            </w:hyperlink>
          </w:p>
        </w:tc>
        <w:tc>
          <w:tcPr>
            <w:tcW w:w="240" w:type="dxa"/>
            <w:vAlign w:val="bottom"/>
            <w:gridSpan w:val="6"/>
          </w:tcPr>
          <w:p>
            <w:pPr>
              <w:spacing w:after="0"/>
              <w:rPr>
                <w:sz w:val="20"/>
                <w:szCs w:val="20"/>
                <w:color w:val="auto"/>
              </w:rPr>
            </w:pPr>
          </w:p>
        </w:tc>
      </w:tr>
      <w:tr>
        <w:trPr>
          <w:trHeight w:val="196"/>
        </w:trPr>
        <w:tc>
          <w:tcPr>
            <w:tcW w:w="1480" w:type="dxa"/>
            <w:vAlign w:val="bottom"/>
          </w:tcPr>
          <w:p>
            <w:pPr>
              <w:spacing w:after="0"/>
              <w:rPr>
                <w:sz w:val="17"/>
                <w:szCs w:val="17"/>
                <w:color w:val="auto"/>
              </w:rPr>
            </w:pPr>
          </w:p>
        </w:tc>
        <w:tc>
          <w:tcPr>
            <w:tcW w:w="29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216">
              <w:r>
                <w:rPr>
                  <w:rFonts w:ascii="Arial" w:cs="Arial" w:eastAsia="Arial" w:hAnsi="Arial"/>
                  <w:sz w:val="18"/>
                  <w:szCs w:val="18"/>
                  <w:color w:val="0000EE"/>
                  <w:w w:val="89"/>
                </w:rPr>
                <w:t>Registrant and Lonza Ltd, dated June 19,</w:t>
              </w:r>
            </w:hyperlink>
          </w:p>
        </w:tc>
      </w:tr>
      <w:tr>
        <w:trPr>
          <w:trHeight w:val="196"/>
        </w:trPr>
        <w:tc>
          <w:tcPr>
            <w:tcW w:w="148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216">
              <w:r>
                <w:rPr>
                  <w:rFonts w:ascii="Arial" w:cs="Arial" w:eastAsia="Arial" w:hAnsi="Arial"/>
                  <w:sz w:val="18"/>
                  <w:szCs w:val="18"/>
                  <w:color w:val="0000EE"/>
                  <w:w w:val="84"/>
                </w:rPr>
                <w:t>2018.</w:t>
              </w:r>
            </w:hyperlink>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1480" w:type="dxa"/>
            <w:vAlign w:val="bottom"/>
          </w:tcPr>
          <w:p>
            <w:pPr>
              <w:spacing w:after="0"/>
              <w:rPr>
                <w:sz w:val="20"/>
                <w:szCs w:val="20"/>
                <w:color w:val="auto"/>
              </w:rPr>
            </w:pPr>
            <w:r>
              <w:rPr>
                <w:rFonts w:ascii="Arial" w:cs="Arial" w:eastAsia="Arial" w:hAnsi="Arial"/>
                <w:sz w:val="18"/>
                <w:szCs w:val="18"/>
                <w:color w:val="auto"/>
              </w:rPr>
              <w:t>10.18+</w:t>
            </w:r>
          </w:p>
        </w:tc>
        <w:tc>
          <w:tcPr>
            <w:tcW w:w="2960" w:type="dxa"/>
            <w:vAlign w:val="bottom"/>
            <w:gridSpan w:val="23"/>
          </w:tcPr>
          <w:p>
            <w:pPr>
              <w:spacing w:after="0"/>
              <w:rPr>
                <w:rFonts w:ascii="Arial" w:cs="Arial" w:eastAsia="Arial" w:hAnsi="Arial"/>
                <w:sz w:val="18"/>
                <w:szCs w:val="18"/>
                <w:color w:val="0000EE"/>
              </w:rPr>
            </w:pPr>
            <w:hyperlink r:id="rId217">
              <w:r>
                <w:rPr>
                  <w:rFonts w:ascii="Arial" w:cs="Arial" w:eastAsia="Arial" w:hAnsi="Arial"/>
                  <w:sz w:val="18"/>
                  <w:szCs w:val="18"/>
                  <w:color w:val="0000EE"/>
                </w:rPr>
                <w:t>Amended and Restated SutroVax</w:t>
              </w:r>
            </w:hyperlink>
          </w:p>
        </w:tc>
      </w:tr>
      <w:tr>
        <w:trPr>
          <w:trHeight w:val="196"/>
        </w:trPr>
        <w:tc>
          <w:tcPr>
            <w:tcW w:w="148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r:id="rId217">
              <w:r>
                <w:rPr>
                  <w:rFonts w:ascii="Arial" w:cs="Arial" w:eastAsia="Arial" w:hAnsi="Arial"/>
                  <w:sz w:val="18"/>
                  <w:szCs w:val="18"/>
                  <w:color w:val="0000EE"/>
                  <w:w w:val="88"/>
                </w:rPr>
                <w:t>Agreement by and between the</w:t>
              </w:r>
            </w:hyperlink>
          </w:p>
        </w:tc>
        <w:tc>
          <w:tcPr>
            <w:tcW w:w="140" w:type="dxa"/>
            <w:vAlign w:val="bottom"/>
            <w:tcBorders>
              <w:top w:val="single" w:sz="8" w:color="0000EE"/>
            </w:tcBorders>
            <w:gridSpan w:val="5"/>
          </w:tcPr>
          <w:p>
            <w:pPr>
              <w:spacing w:after="0"/>
              <w:rPr>
                <w:sz w:val="17"/>
                <w:szCs w:val="17"/>
                <w:color w:val="auto"/>
              </w:rPr>
            </w:pPr>
          </w:p>
        </w:tc>
        <w:tc>
          <w:tcPr>
            <w:tcW w:w="580" w:type="dxa"/>
            <w:vAlign w:val="bottom"/>
            <w:gridSpan w:val="10"/>
          </w:tcPr>
          <w:p>
            <w:pPr>
              <w:spacing w:after="0"/>
              <w:rPr>
                <w:sz w:val="17"/>
                <w:szCs w:val="17"/>
                <w:color w:val="auto"/>
              </w:rPr>
            </w:pPr>
          </w:p>
        </w:tc>
      </w:tr>
    </w:tbl>
    <w:p>
      <w:pPr>
        <w:spacing w:after="0" w:line="13" w:lineRule="exact"/>
        <w:rPr>
          <w:sz w:val="20"/>
          <w:szCs w:val="20"/>
          <w:color w:val="auto"/>
        </w:rPr>
      </w:pPr>
    </w:p>
    <w:p>
      <w:pPr>
        <w:ind w:left="1480" w:right="220"/>
        <w:spacing w:after="0" w:line="342" w:lineRule="auto"/>
        <w:rPr>
          <w:rFonts w:ascii="Arial" w:cs="Arial" w:eastAsia="Arial" w:hAnsi="Arial"/>
          <w:sz w:val="16"/>
          <w:szCs w:val="16"/>
          <w:u w:val="single" w:color="auto"/>
          <w:color w:val="0000EE"/>
        </w:rPr>
      </w:pPr>
      <w:hyperlink r:id="rId217">
        <w:r>
          <w:rPr>
            <w:rFonts w:ascii="Arial" w:cs="Arial" w:eastAsia="Arial" w:hAnsi="Arial"/>
            <w:sz w:val="16"/>
            <w:szCs w:val="16"/>
            <w:u w:val="single" w:color="auto"/>
            <w:color w:val="0000EE"/>
          </w:rPr>
          <w:t>Registrant and Sutro Biopharma, Inc.,</w:t>
        </w:r>
      </w:hyperlink>
      <w:r>
        <w:rPr>
          <w:rFonts w:ascii="Arial" w:cs="Arial" w:eastAsia="Arial" w:hAnsi="Arial"/>
          <w:sz w:val="16"/>
          <w:szCs w:val="16"/>
          <w:u w:val="single" w:color="auto"/>
          <w:color w:val="0000EE"/>
        </w:rPr>
        <w:t xml:space="preserve"> </w:t>
      </w:r>
      <w:hyperlink r:id="rId217">
        <w:r>
          <w:rPr>
            <w:rFonts w:ascii="Arial" w:cs="Arial" w:eastAsia="Arial" w:hAnsi="Arial"/>
            <w:sz w:val="16"/>
            <w:szCs w:val="16"/>
            <w:u w:val="single" w:color="auto"/>
            <w:color w:val="0000EE"/>
          </w:rPr>
          <w:t>dated October 12, 2015, as amended.</w:t>
        </w:r>
      </w:hyperlink>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w w:val="99"/>
              </w:rPr>
              <w:t>S-1</w:t>
            </w:r>
          </w:p>
        </w:tc>
        <w:tc>
          <w:tcPr>
            <w:tcW w:w="2300" w:type="dxa"/>
            <w:vAlign w:val="bottom"/>
          </w:tcPr>
          <w:p>
            <w:pPr>
              <w:jc w:val="right"/>
              <w:ind w:right="350"/>
              <w:spacing w:after="0"/>
              <w:rPr>
                <w:sz w:val="20"/>
                <w:szCs w:val="20"/>
                <w:color w:val="auto"/>
              </w:rPr>
            </w:pPr>
            <w:r>
              <w:rPr>
                <w:rFonts w:ascii="Arial" w:cs="Arial" w:eastAsia="Arial" w:hAnsi="Arial"/>
                <w:sz w:val="18"/>
                <w:szCs w:val="18"/>
                <w:color w:val="auto"/>
              </w:rPr>
              <w:t>333-238630</w:t>
            </w: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85"/>
              </w:rPr>
              <w:t>10.9</w:t>
            </w:r>
          </w:p>
        </w:tc>
        <w:tc>
          <w:tcPr>
            <w:tcW w:w="1540" w:type="dxa"/>
            <w:vAlign w:val="bottom"/>
          </w:tcPr>
          <w:p>
            <w:pPr>
              <w:ind w:left="540"/>
              <w:spacing w:after="0"/>
              <w:rPr>
                <w:sz w:val="20"/>
                <w:szCs w:val="20"/>
                <w:color w:val="auto"/>
              </w:rPr>
            </w:pPr>
            <w:r>
              <w:rPr>
                <w:rFonts w:ascii="Arial" w:cs="Arial" w:eastAsia="Arial" w:hAnsi="Arial"/>
                <w:sz w:val="18"/>
                <w:szCs w:val="18"/>
                <w:color w:val="auto"/>
                <w:w w:val="89"/>
              </w:rPr>
              <w:t>May 22, 2020</w:t>
            </w:r>
          </w:p>
        </w:tc>
      </w:tr>
      <w:tr>
        <w:trPr>
          <w:trHeight w:val="905"/>
        </w:trPr>
        <w:tc>
          <w:tcPr>
            <w:tcW w:w="300" w:type="dxa"/>
            <w:vAlign w:val="bottom"/>
          </w:tcPr>
          <w:p>
            <w:pPr>
              <w:spacing w:after="0"/>
              <w:rPr>
                <w:sz w:val="20"/>
                <w:szCs w:val="20"/>
                <w:color w:val="auto"/>
              </w:rPr>
            </w:pPr>
            <w:r>
              <w:rPr>
                <w:rFonts w:ascii="Arial" w:cs="Arial" w:eastAsia="Arial" w:hAnsi="Arial"/>
                <w:sz w:val="18"/>
                <w:szCs w:val="18"/>
                <w:color w:val="auto"/>
                <w:w w:val="99"/>
              </w:rPr>
              <w:t>S-1</w:t>
            </w:r>
          </w:p>
        </w:tc>
        <w:tc>
          <w:tcPr>
            <w:tcW w:w="2300" w:type="dxa"/>
            <w:vAlign w:val="bottom"/>
          </w:tcPr>
          <w:p>
            <w:pPr>
              <w:jc w:val="right"/>
              <w:ind w:right="350"/>
              <w:spacing w:after="0"/>
              <w:rPr>
                <w:sz w:val="20"/>
                <w:szCs w:val="20"/>
                <w:color w:val="auto"/>
              </w:rPr>
            </w:pPr>
            <w:r>
              <w:rPr>
                <w:rFonts w:ascii="Arial" w:cs="Arial" w:eastAsia="Arial" w:hAnsi="Arial"/>
                <w:sz w:val="18"/>
                <w:szCs w:val="18"/>
                <w:color w:val="auto"/>
              </w:rPr>
              <w:t>333-238630</w:t>
            </w: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3"/>
              </w:rPr>
              <w:t>10.10</w:t>
            </w:r>
          </w:p>
        </w:tc>
        <w:tc>
          <w:tcPr>
            <w:tcW w:w="1540" w:type="dxa"/>
            <w:vAlign w:val="bottom"/>
          </w:tcPr>
          <w:p>
            <w:pPr>
              <w:ind w:left="540"/>
              <w:spacing w:after="0"/>
              <w:rPr>
                <w:sz w:val="20"/>
                <w:szCs w:val="20"/>
                <w:color w:val="auto"/>
              </w:rPr>
            </w:pPr>
            <w:r>
              <w:rPr>
                <w:rFonts w:ascii="Arial" w:cs="Arial" w:eastAsia="Arial" w:hAnsi="Arial"/>
                <w:sz w:val="18"/>
                <w:szCs w:val="18"/>
                <w:color w:val="auto"/>
                <w:w w:val="89"/>
              </w:rPr>
              <w:t>May 22, 2020</w:t>
            </w:r>
          </w:p>
        </w:tc>
      </w:tr>
      <w:tr>
        <w:trPr>
          <w:trHeight w:val="904"/>
        </w:trPr>
        <w:tc>
          <w:tcPr>
            <w:tcW w:w="300" w:type="dxa"/>
            <w:vAlign w:val="bottom"/>
          </w:tcPr>
          <w:p>
            <w:pPr>
              <w:spacing w:after="0"/>
              <w:rPr>
                <w:sz w:val="20"/>
                <w:szCs w:val="20"/>
                <w:color w:val="auto"/>
              </w:rPr>
            </w:pPr>
            <w:r>
              <w:rPr>
                <w:rFonts w:ascii="Arial" w:cs="Arial" w:eastAsia="Arial" w:hAnsi="Arial"/>
                <w:sz w:val="18"/>
                <w:szCs w:val="18"/>
                <w:color w:val="auto"/>
                <w:w w:val="99"/>
              </w:rPr>
              <w:t>S-1</w:t>
            </w:r>
          </w:p>
        </w:tc>
        <w:tc>
          <w:tcPr>
            <w:tcW w:w="2300" w:type="dxa"/>
            <w:vAlign w:val="bottom"/>
          </w:tcPr>
          <w:p>
            <w:pPr>
              <w:jc w:val="right"/>
              <w:ind w:right="350"/>
              <w:spacing w:after="0"/>
              <w:rPr>
                <w:sz w:val="20"/>
                <w:szCs w:val="20"/>
                <w:color w:val="auto"/>
              </w:rPr>
            </w:pPr>
            <w:r>
              <w:rPr>
                <w:rFonts w:ascii="Arial" w:cs="Arial" w:eastAsia="Arial" w:hAnsi="Arial"/>
                <w:sz w:val="18"/>
                <w:szCs w:val="18"/>
                <w:color w:val="auto"/>
              </w:rPr>
              <w:t>333-238630</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88"/>
              </w:rPr>
              <w:t>10.11</w:t>
            </w:r>
          </w:p>
        </w:tc>
        <w:tc>
          <w:tcPr>
            <w:tcW w:w="1540" w:type="dxa"/>
            <w:vAlign w:val="bottom"/>
          </w:tcPr>
          <w:p>
            <w:pPr>
              <w:ind w:left="540"/>
              <w:spacing w:after="0"/>
              <w:rPr>
                <w:sz w:val="20"/>
                <w:szCs w:val="20"/>
                <w:color w:val="auto"/>
              </w:rPr>
            </w:pPr>
            <w:r>
              <w:rPr>
                <w:rFonts w:ascii="Arial" w:cs="Arial" w:eastAsia="Arial" w:hAnsi="Arial"/>
                <w:sz w:val="18"/>
                <w:szCs w:val="18"/>
                <w:color w:val="auto"/>
                <w:w w:val="89"/>
              </w:rPr>
              <w:t>May 22, 2020</w:t>
            </w:r>
          </w:p>
        </w:tc>
      </w:tr>
      <w:tr>
        <w:trPr>
          <w:trHeight w:val="797"/>
        </w:trPr>
        <w:tc>
          <w:tcPr>
            <w:tcW w:w="300" w:type="dxa"/>
            <w:vAlign w:val="bottom"/>
          </w:tcPr>
          <w:p>
            <w:pPr>
              <w:spacing w:after="0"/>
              <w:rPr>
                <w:sz w:val="20"/>
                <w:szCs w:val="20"/>
                <w:color w:val="auto"/>
              </w:rPr>
            </w:pPr>
            <w:r>
              <w:rPr>
                <w:rFonts w:ascii="Arial" w:cs="Arial" w:eastAsia="Arial" w:hAnsi="Arial"/>
                <w:sz w:val="18"/>
                <w:szCs w:val="18"/>
                <w:color w:val="auto"/>
                <w:w w:val="99"/>
              </w:rPr>
              <w:t>S-1</w:t>
            </w:r>
          </w:p>
        </w:tc>
        <w:tc>
          <w:tcPr>
            <w:tcW w:w="2300" w:type="dxa"/>
            <w:vAlign w:val="bottom"/>
          </w:tcPr>
          <w:p>
            <w:pPr>
              <w:jc w:val="right"/>
              <w:ind w:right="350"/>
              <w:spacing w:after="0"/>
              <w:rPr>
                <w:sz w:val="20"/>
                <w:szCs w:val="20"/>
                <w:color w:val="auto"/>
              </w:rPr>
            </w:pPr>
            <w:r>
              <w:rPr>
                <w:rFonts w:ascii="Arial" w:cs="Arial" w:eastAsia="Arial" w:hAnsi="Arial"/>
                <w:sz w:val="18"/>
                <w:szCs w:val="18"/>
                <w:color w:val="auto"/>
              </w:rPr>
              <w:t>333-238630</w:t>
            </w: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3"/>
              </w:rPr>
              <w:t>10.12</w:t>
            </w:r>
          </w:p>
        </w:tc>
        <w:tc>
          <w:tcPr>
            <w:tcW w:w="1540" w:type="dxa"/>
            <w:vAlign w:val="bottom"/>
          </w:tcPr>
          <w:p>
            <w:pPr>
              <w:ind w:left="540"/>
              <w:spacing w:after="0"/>
              <w:rPr>
                <w:sz w:val="20"/>
                <w:szCs w:val="20"/>
                <w:color w:val="auto"/>
              </w:rPr>
            </w:pPr>
            <w:r>
              <w:rPr>
                <w:rFonts w:ascii="Arial" w:cs="Arial" w:eastAsia="Arial" w:hAnsi="Arial"/>
                <w:sz w:val="18"/>
                <w:szCs w:val="18"/>
                <w:color w:val="auto"/>
                <w:w w:val="89"/>
              </w:rPr>
              <w:t>May 22, 2020</w:t>
            </w:r>
          </w:p>
        </w:tc>
      </w:tr>
      <w:tr>
        <w:trPr>
          <w:trHeight w:val="688"/>
        </w:trPr>
        <w:tc>
          <w:tcPr>
            <w:tcW w:w="300" w:type="dxa"/>
            <w:vAlign w:val="bottom"/>
          </w:tcPr>
          <w:p>
            <w:pPr>
              <w:spacing w:after="0"/>
              <w:rPr>
                <w:sz w:val="20"/>
                <w:szCs w:val="20"/>
                <w:color w:val="auto"/>
              </w:rPr>
            </w:pPr>
            <w:r>
              <w:rPr>
                <w:rFonts w:ascii="Arial" w:cs="Arial" w:eastAsia="Arial" w:hAnsi="Arial"/>
                <w:sz w:val="18"/>
                <w:szCs w:val="18"/>
                <w:color w:val="auto"/>
                <w:w w:val="99"/>
              </w:rPr>
              <w:t>S-1</w:t>
            </w:r>
          </w:p>
        </w:tc>
        <w:tc>
          <w:tcPr>
            <w:tcW w:w="2300" w:type="dxa"/>
            <w:vAlign w:val="bottom"/>
          </w:tcPr>
          <w:p>
            <w:pPr>
              <w:jc w:val="right"/>
              <w:ind w:right="350"/>
              <w:spacing w:after="0"/>
              <w:rPr>
                <w:sz w:val="20"/>
                <w:szCs w:val="20"/>
                <w:color w:val="auto"/>
              </w:rPr>
            </w:pPr>
            <w:r>
              <w:rPr>
                <w:rFonts w:ascii="Arial" w:cs="Arial" w:eastAsia="Arial" w:hAnsi="Arial"/>
                <w:sz w:val="18"/>
                <w:szCs w:val="18"/>
                <w:color w:val="auto"/>
              </w:rPr>
              <w:t>333-238630</w:t>
            </w: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3"/>
              </w:rPr>
              <w:t>10.13</w:t>
            </w:r>
          </w:p>
        </w:tc>
        <w:tc>
          <w:tcPr>
            <w:tcW w:w="1540" w:type="dxa"/>
            <w:vAlign w:val="bottom"/>
          </w:tcPr>
          <w:p>
            <w:pPr>
              <w:ind w:left="540"/>
              <w:spacing w:after="0"/>
              <w:rPr>
                <w:sz w:val="20"/>
                <w:szCs w:val="20"/>
                <w:color w:val="auto"/>
              </w:rPr>
            </w:pPr>
            <w:r>
              <w:rPr>
                <w:rFonts w:ascii="Arial" w:cs="Arial" w:eastAsia="Arial" w:hAnsi="Arial"/>
                <w:sz w:val="18"/>
                <w:szCs w:val="18"/>
                <w:color w:val="auto"/>
                <w:w w:val="89"/>
              </w:rPr>
              <w:t>May 22, 2020</w:t>
            </w:r>
          </w:p>
        </w:tc>
      </w:tr>
      <w:tr>
        <w:trPr>
          <w:trHeight w:val="797"/>
        </w:trPr>
        <w:tc>
          <w:tcPr>
            <w:tcW w:w="300" w:type="dxa"/>
            <w:vAlign w:val="bottom"/>
          </w:tcPr>
          <w:p>
            <w:pPr>
              <w:spacing w:after="0"/>
              <w:rPr>
                <w:sz w:val="20"/>
                <w:szCs w:val="20"/>
                <w:color w:val="auto"/>
              </w:rPr>
            </w:pPr>
            <w:r>
              <w:rPr>
                <w:rFonts w:ascii="Arial" w:cs="Arial" w:eastAsia="Arial" w:hAnsi="Arial"/>
                <w:sz w:val="18"/>
                <w:szCs w:val="18"/>
                <w:color w:val="auto"/>
                <w:w w:val="99"/>
              </w:rPr>
              <w:t>S-1</w:t>
            </w:r>
          </w:p>
        </w:tc>
        <w:tc>
          <w:tcPr>
            <w:tcW w:w="2300" w:type="dxa"/>
            <w:vAlign w:val="bottom"/>
          </w:tcPr>
          <w:p>
            <w:pPr>
              <w:jc w:val="right"/>
              <w:ind w:right="350"/>
              <w:spacing w:after="0"/>
              <w:rPr>
                <w:sz w:val="20"/>
                <w:szCs w:val="20"/>
                <w:color w:val="auto"/>
              </w:rPr>
            </w:pPr>
            <w:r>
              <w:rPr>
                <w:rFonts w:ascii="Arial" w:cs="Arial" w:eastAsia="Arial" w:hAnsi="Arial"/>
                <w:sz w:val="18"/>
                <w:szCs w:val="18"/>
                <w:color w:val="auto"/>
              </w:rPr>
              <w:t>333-238630</w:t>
            </w: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3"/>
              </w:rPr>
              <w:t>10.14</w:t>
            </w:r>
          </w:p>
        </w:tc>
        <w:tc>
          <w:tcPr>
            <w:tcW w:w="1540" w:type="dxa"/>
            <w:vAlign w:val="bottom"/>
          </w:tcPr>
          <w:p>
            <w:pPr>
              <w:ind w:left="540"/>
              <w:spacing w:after="0"/>
              <w:rPr>
                <w:sz w:val="20"/>
                <w:szCs w:val="20"/>
                <w:color w:val="auto"/>
              </w:rPr>
            </w:pPr>
            <w:r>
              <w:rPr>
                <w:rFonts w:ascii="Arial" w:cs="Arial" w:eastAsia="Arial" w:hAnsi="Arial"/>
                <w:sz w:val="18"/>
                <w:szCs w:val="18"/>
                <w:color w:val="auto"/>
                <w:w w:val="89"/>
              </w:rPr>
              <w:t>May 22, 2020</w:t>
            </w:r>
          </w:p>
        </w:tc>
      </w:tr>
      <w:tr>
        <w:trPr>
          <w:trHeight w:val="904"/>
        </w:trPr>
        <w:tc>
          <w:tcPr>
            <w:tcW w:w="300" w:type="dxa"/>
            <w:vAlign w:val="bottom"/>
          </w:tcPr>
          <w:p>
            <w:pPr>
              <w:spacing w:after="0"/>
              <w:rPr>
                <w:sz w:val="20"/>
                <w:szCs w:val="20"/>
                <w:color w:val="auto"/>
              </w:rPr>
            </w:pPr>
            <w:r>
              <w:rPr>
                <w:rFonts w:ascii="Arial" w:cs="Arial" w:eastAsia="Arial" w:hAnsi="Arial"/>
                <w:sz w:val="18"/>
                <w:szCs w:val="18"/>
                <w:color w:val="auto"/>
                <w:w w:val="99"/>
              </w:rPr>
              <w:t>S-1</w:t>
            </w:r>
          </w:p>
        </w:tc>
        <w:tc>
          <w:tcPr>
            <w:tcW w:w="2300" w:type="dxa"/>
            <w:vAlign w:val="bottom"/>
          </w:tcPr>
          <w:p>
            <w:pPr>
              <w:jc w:val="right"/>
              <w:ind w:right="350"/>
              <w:spacing w:after="0"/>
              <w:rPr>
                <w:sz w:val="20"/>
                <w:szCs w:val="20"/>
                <w:color w:val="auto"/>
              </w:rPr>
            </w:pPr>
            <w:r>
              <w:rPr>
                <w:rFonts w:ascii="Arial" w:cs="Arial" w:eastAsia="Arial" w:hAnsi="Arial"/>
                <w:sz w:val="18"/>
                <w:szCs w:val="18"/>
                <w:color w:val="auto"/>
              </w:rPr>
              <w:t>333-238630</w:t>
            </w: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3"/>
              </w:rPr>
              <w:t>10.15</w:t>
            </w:r>
          </w:p>
        </w:tc>
        <w:tc>
          <w:tcPr>
            <w:tcW w:w="1540" w:type="dxa"/>
            <w:vAlign w:val="bottom"/>
          </w:tcPr>
          <w:p>
            <w:pPr>
              <w:ind w:left="540"/>
              <w:spacing w:after="0"/>
              <w:rPr>
                <w:sz w:val="20"/>
                <w:szCs w:val="20"/>
                <w:color w:val="auto"/>
              </w:rPr>
            </w:pPr>
            <w:r>
              <w:rPr>
                <w:rFonts w:ascii="Arial" w:cs="Arial" w:eastAsia="Arial" w:hAnsi="Arial"/>
                <w:sz w:val="18"/>
                <w:szCs w:val="18"/>
                <w:color w:val="auto"/>
                <w:w w:val="89"/>
              </w:rPr>
              <w:t>May 22, 2020</w:t>
            </w:r>
          </w:p>
        </w:tc>
      </w:tr>
      <w:tr>
        <w:trPr>
          <w:trHeight w:val="905"/>
        </w:trPr>
        <w:tc>
          <w:tcPr>
            <w:tcW w:w="300" w:type="dxa"/>
            <w:vAlign w:val="bottom"/>
          </w:tcPr>
          <w:p>
            <w:pPr>
              <w:spacing w:after="0"/>
              <w:rPr>
                <w:sz w:val="20"/>
                <w:szCs w:val="20"/>
                <w:color w:val="auto"/>
              </w:rPr>
            </w:pPr>
            <w:r>
              <w:rPr>
                <w:rFonts w:ascii="Arial" w:cs="Arial" w:eastAsia="Arial" w:hAnsi="Arial"/>
                <w:sz w:val="18"/>
                <w:szCs w:val="18"/>
                <w:color w:val="auto"/>
                <w:w w:val="99"/>
              </w:rPr>
              <w:t>S-1</w:t>
            </w:r>
          </w:p>
        </w:tc>
        <w:tc>
          <w:tcPr>
            <w:tcW w:w="2300" w:type="dxa"/>
            <w:vAlign w:val="bottom"/>
          </w:tcPr>
          <w:p>
            <w:pPr>
              <w:jc w:val="right"/>
              <w:ind w:right="350"/>
              <w:spacing w:after="0"/>
              <w:rPr>
                <w:sz w:val="20"/>
                <w:szCs w:val="20"/>
                <w:color w:val="auto"/>
              </w:rPr>
            </w:pPr>
            <w:r>
              <w:rPr>
                <w:rFonts w:ascii="Arial" w:cs="Arial" w:eastAsia="Arial" w:hAnsi="Arial"/>
                <w:sz w:val="18"/>
                <w:szCs w:val="18"/>
                <w:color w:val="auto"/>
              </w:rPr>
              <w:t>333-238630</w:t>
            </w: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3"/>
              </w:rPr>
              <w:t>10.16</w:t>
            </w:r>
          </w:p>
        </w:tc>
        <w:tc>
          <w:tcPr>
            <w:tcW w:w="1540" w:type="dxa"/>
            <w:vAlign w:val="bottom"/>
          </w:tcPr>
          <w:p>
            <w:pPr>
              <w:ind w:left="540"/>
              <w:spacing w:after="0"/>
              <w:rPr>
                <w:sz w:val="20"/>
                <w:szCs w:val="20"/>
                <w:color w:val="auto"/>
              </w:rPr>
            </w:pPr>
            <w:r>
              <w:rPr>
                <w:rFonts w:ascii="Arial" w:cs="Arial" w:eastAsia="Arial" w:hAnsi="Arial"/>
                <w:sz w:val="18"/>
                <w:szCs w:val="18"/>
                <w:color w:val="auto"/>
                <w:w w:val="89"/>
              </w:rPr>
              <w:t>May 22, 2020</w:t>
            </w:r>
          </w:p>
        </w:tc>
      </w:tr>
      <w:tr>
        <w:trPr>
          <w:trHeight w:val="796"/>
        </w:trPr>
        <w:tc>
          <w:tcPr>
            <w:tcW w:w="300" w:type="dxa"/>
            <w:vAlign w:val="bottom"/>
          </w:tcPr>
          <w:p>
            <w:pPr>
              <w:spacing w:after="0"/>
              <w:rPr>
                <w:sz w:val="20"/>
                <w:szCs w:val="20"/>
                <w:color w:val="auto"/>
              </w:rPr>
            </w:pPr>
            <w:r>
              <w:rPr>
                <w:rFonts w:ascii="Arial" w:cs="Arial" w:eastAsia="Arial" w:hAnsi="Arial"/>
                <w:sz w:val="18"/>
                <w:szCs w:val="18"/>
                <w:color w:val="auto"/>
                <w:w w:val="99"/>
              </w:rPr>
              <w:t>S-1</w:t>
            </w:r>
          </w:p>
        </w:tc>
        <w:tc>
          <w:tcPr>
            <w:tcW w:w="2300" w:type="dxa"/>
            <w:vAlign w:val="bottom"/>
          </w:tcPr>
          <w:p>
            <w:pPr>
              <w:jc w:val="right"/>
              <w:ind w:right="350"/>
              <w:spacing w:after="0"/>
              <w:rPr>
                <w:sz w:val="20"/>
                <w:szCs w:val="20"/>
                <w:color w:val="auto"/>
              </w:rPr>
            </w:pPr>
            <w:r>
              <w:rPr>
                <w:rFonts w:ascii="Arial" w:cs="Arial" w:eastAsia="Arial" w:hAnsi="Arial"/>
                <w:sz w:val="18"/>
                <w:szCs w:val="18"/>
                <w:color w:val="auto"/>
              </w:rPr>
              <w:t>333-238630</w:t>
            </w: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3"/>
              </w:rPr>
              <w:t>10.17</w:t>
            </w:r>
          </w:p>
        </w:tc>
        <w:tc>
          <w:tcPr>
            <w:tcW w:w="1540" w:type="dxa"/>
            <w:vAlign w:val="bottom"/>
          </w:tcPr>
          <w:p>
            <w:pPr>
              <w:ind w:left="540"/>
              <w:spacing w:after="0"/>
              <w:rPr>
                <w:sz w:val="20"/>
                <w:szCs w:val="20"/>
                <w:color w:val="auto"/>
              </w:rPr>
            </w:pPr>
            <w:r>
              <w:rPr>
                <w:rFonts w:ascii="Arial" w:cs="Arial" w:eastAsia="Arial" w:hAnsi="Arial"/>
                <w:sz w:val="18"/>
                <w:szCs w:val="18"/>
                <w:color w:val="auto"/>
                <w:w w:val="89"/>
              </w:rPr>
              <w:t>May 22, 2020</w:t>
            </w:r>
          </w:p>
        </w:tc>
      </w:tr>
      <w:tr>
        <w:trPr>
          <w:trHeight w:val="797"/>
        </w:trPr>
        <w:tc>
          <w:tcPr>
            <w:tcW w:w="300" w:type="dxa"/>
            <w:vAlign w:val="bottom"/>
          </w:tcPr>
          <w:p>
            <w:pPr>
              <w:spacing w:after="0"/>
              <w:rPr>
                <w:sz w:val="20"/>
                <w:szCs w:val="20"/>
                <w:color w:val="auto"/>
              </w:rPr>
            </w:pPr>
            <w:r>
              <w:rPr>
                <w:rFonts w:ascii="Arial" w:cs="Arial" w:eastAsia="Arial" w:hAnsi="Arial"/>
                <w:sz w:val="18"/>
                <w:szCs w:val="18"/>
                <w:color w:val="auto"/>
                <w:w w:val="99"/>
              </w:rPr>
              <w:t>S-1</w:t>
            </w:r>
          </w:p>
        </w:tc>
        <w:tc>
          <w:tcPr>
            <w:tcW w:w="2300" w:type="dxa"/>
            <w:vAlign w:val="bottom"/>
          </w:tcPr>
          <w:p>
            <w:pPr>
              <w:jc w:val="right"/>
              <w:ind w:right="350"/>
              <w:spacing w:after="0"/>
              <w:rPr>
                <w:sz w:val="20"/>
                <w:szCs w:val="20"/>
                <w:color w:val="auto"/>
              </w:rPr>
            </w:pPr>
            <w:r>
              <w:rPr>
                <w:rFonts w:ascii="Arial" w:cs="Arial" w:eastAsia="Arial" w:hAnsi="Arial"/>
                <w:sz w:val="18"/>
                <w:szCs w:val="18"/>
                <w:color w:val="auto"/>
              </w:rPr>
              <w:t>333-238630</w:t>
            </w: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3"/>
              </w:rPr>
              <w:t>10.18</w:t>
            </w:r>
          </w:p>
        </w:tc>
        <w:tc>
          <w:tcPr>
            <w:tcW w:w="1540" w:type="dxa"/>
            <w:vAlign w:val="bottom"/>
          </w:tcPr>
          <w:p>
            <w:pPr>
              <w:ind w:left="540"/>
              <w:spacing w:after="0"/>
              <w:rPr>
                <w:sz w:val="20"/>
                <w:szCs w:val="20"/>
                <w:color w:val="auto"/>
              </w:rPr>
            </w:pPr>
            <w:r>
              <w:rPr>
                <w:rFonts w:ascii="Arial" w:cs="Arial" w:eastAsia="Arial" w:hAnsi="Arial"/>
                <w:sz w:val="18"/>
                <w:szCs w:val="18"/>
                <w:color w:val="auto"/>
                <w:w w:val="89"/>
              </w:rPr>
              <w:t>May 22, 2020</w:t>
            </w:r>
          </w:p>
        </w:tc>
      </w:tr>
      <w:tr>
        <w:trPr>
          <w:trHeight w:val="796"/>
        </w:trPr>
        <w:tc>
          <w:tcPr>
            <w:tcW w:w="300" w:type="dxa"/>
            <w:vAlign w:val="bottom"/>
          </w:tcPr>
          <w:p>
            <w:pPr>
              <w:spacing w:after="0"/>
              <w:rPr>
                <w:sz w:val="24"/>
                <w:szCs w:val="24"/>
                <w:color w:val="auto"/>
              </w:rPr>
            </w:pPr>
          </w:p>
        </w:tc>
        <w:tc>
          <w:tcPr>
            <w:tcW w:w="2300" w:type="dxa"/>
            <w:vAlign w:val="bottom"/>
          </w:tcPr>
          <w:p>
            <w:pPr>
              <w:jc w:val="right"/>
              <w:ind w:right="1910"/>
              <w:spacing w:after="0"/>
              <w:rPr>
                <w:sz w:val="20"/>
                <w:szCs w:val="20"/>
                <w:color w:val="auto"/>
              </w:rPr>
            </w:pPr>
            <w:r>
              <w:rPr>
                <w:rFonts w:ascii="Arial" w:cs="Arial" w:eastAsia="Arial" w:hAnsi="Arial"/>
                <w:sz w:val="18"/>
                <w:szCs w:val="18"/>
                <w:color w:val="auto"/>
                <w:w w:val="93"/>
              </w:rPr>
              <w:t>147</w:t>
            </w: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55880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440" w:space="720"/>
            <w:col w:w="6080"/>
          </w:cols>
          <w:pgMar w:left="320" w:top="333" w:right="339" w:bottom="1440" w:gutter="0" w:footer="0" w:header="0"/>
          <w:type w:val="continuous"/>
        </w:sectPr>
      </w:pPr>
    </w:p>
    <w:bookmarkStart w:id="152" w:name="page153"/>
    <w:bookmarkEnd w:id="152"/>
    <w:tbl>
      <w:tblPr>
        <w:tblLayout w:type="fixed"/>
        <w:tblInd w:w="520" w:type="dxa"/>
        <w:tblCellMar>
          <w:top w:w="0" w:type="dxa"/>
          <w:left w:w="0" w:type="dxa"/>
          <w:bottom w:w="0" w:type="dxa"/>
          <w:right w:w="0" w:type="dxa"/>
        </w:tblCellMar>
      </w:tblPr>
      <w:tr>
        <w:trPr>
          <w:trHeight w:val="185"/>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26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Description</w:t>
            </w:r>
          </w:p>
        </w:tc>
        <w:tc>
          <w:tcPr>
            <w:tcW w:w="16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Incorporated by Reference</w:t>
            </w:r>
          </w:p>
        </w:tc>
        <w:tc>
          <w:tcPr>
            <w:tcW w:w="1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280" w:type="dxa"/>
            <w:vAlign w:val="bottom"/>
            <w:vMerge w:val="continue"/>
          </w:tcPr>
          <w:p>
            <w:pPr>
              <w:spacing w:after="0"/>
              <w:rPr>
                <w:sz w:val="14"/>
                <w:szCs w:val="14"/>
                <w:color w:val="auto"/>
              </w:rPr>
            </w:pPr>
          </w:p>
        </w:tc>
        <w:tc>
          <w:tcPr>
            <w:tcW w:w="2660" w:type="dxa"/>
            <w:vAlign w:val="bottom"/>
            <w:vMerge w:val="continue"/>
          </w:tcPr>
          <w:p>
            <w:pPr>
              <w:spacing w:after="0"/>
              <w:rPr>
                <w:sz w:val="14"/>
                <w:szCs w:val="14"/>
                <w:color w:val="auto"/>
              </w:rPr>
            </w:pPr>
          </w:p>
        </w:tc>
        <w:tc>
          <w:tcPr>
            <w:tcW w:w="1660" w:type="dxa"/>
            <w:vAlign w:val="bottom"/>
          </w:tcPr>
          <w:p>
            <w:pPr>
              <w:ind w:left="360"/>
              <w:spacing w:after="0"/>
              <w:rPr>
                <w:sz w:val="20"/>
                <w:szCs w:val="20"/>
                <w:color w:val="auto"/>
              </w:rPr>
            </w:pPr>
            <w:r>
              <w:rPr>
                <w:rFonts w:ascii="Arial" w:cs="Arial" w:eastAsia="Arial" w:hAnsi="Arial"/>
                <w:sz w:val="14"/>
                <w:szCs w:val="14"/>
                <w:b w:val="1"/>
                <w:bCs w:val="1"/>
                <w:color w:val="auto"/>
              </w:rPr>
              <w:t>Schedule/Form</w:t>
            </w:r>
          </w:p>
        </w:tc>
        <w:tc>
          <w:tcPr>
            <w:tcW w:w="1580" w:type="dxa"/>
            <w:vAlign w:val="bottom"/>
          </w:tcPr>
          <w:p>
            <w:pPr>
              <w:ind w:left="360"/>
              <w:spacing w:after="0"/>
              <w:rPr>
                <w:sz w:val="20"/>
                <w:szCs w:val="20"/>
                <w:color w:val="auto"/>
              </w:rPr>
            </w:pPr>
            <w:r>
              <w:rPr>
                <w:rFonts w:ascii="Arial" w:cs="Arial" w:eastAsia="Arial" w:hAnsi="Arial"/>
                <w:sz w:val="14"/>
                <w:szCs w:val="14"/>
                <w:b w:val="1"/>
                <w:bCs w:val="1"/>
                <w:color w:val="auto"/>
              </w:rPr>
              <w:t>File Number</w:t>
            </w:r>
          </w:p>
        </w:tc>
        <w:tc>
          <w:tcPr>
            <w:tcW w:w="1560" w:type="dxa"/>
            <w:vAlign w:val="bottom"/>
          </w:tcPr>
          <w:p>
            <w:pPr>
              <w:ind w:left="440"/>
              <w:spacing w:after="0"/>
              <w:rPr>
                <w:sz w:val="20"/>
                <w:szCs w:val="20"/>
                <w:color w:val="auto"/>
              </w:rPr>
            </w:pPr>
            <w:r>
              <w:rPr>
                <w:rFonts w:ascii="Arial" w:cs="Arial" w:eastAsia="Arial" w:hAnsi="Arial"/>
                <w:sz w:val="14"/>
                <w:szCs w:val="14"/>
                <w:b w:val="1"/>
                <w:bCs w:val="1"/>
                <w:color w:val="auto"/>
              </w:rPr>
              <w:t>Exhibits</w:t>
            </w:r>
          </w:p>
        </w:tc>
        <w:tc>
          <w:tcPr>
            <w:tcW w:w="1980" w:type="dxa"/>
            <w:vAlign w:val="bottom"/>
          </w:tcPr>
          <w:p>
            <w:pPr>
              <w:ind w:left="5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tbl>
      <w:tblPr>
        <w:tblLayout w:type="fixed"/>
        <w:tblInd w:w="0" w:type="dxa"/>
        <w:tblCellMar>
          <w:top w:w="0" w:type="dxa"/>
          <w:left w:w="0" w:type="dxa"/>
          <w:bottom w:w="0" w:type="dxa"/>
          <w:right w:w="0" w:type="dxa"/>
        </w:tblCellMar>
      </w:tblPr>
      <w:tr>
        <w:trPr>
          <w:trHeight w:val="174"/>
        </w:trPr>
        <w:tc>
          <w:tcPr>
            <w:tcW w:w="1480" w:type="dxa"/>
            <w:vAlign w:val="bottom"/>
          </w:tcPr>
          <w:p>
            <w:pPr>
              <w:spacing w:after="0" w:line="174" w:lineRule="exact"/>
              <w:rPr>
                <w:sz w:val="20"/>
                <w:szCs w:val="20"/>
                <w:color w:val="auto"/>
              </w:rPr>
            </w:pPr>
            <w:r>
              <w:rPr>
                <w:rFonts w:ascii="Arial" w:cs="Arial" w:eastAsia="Arial" w:hAnsi="Arial"/>
                <w:sz w:val="18"/>
                <w:szCs w:val="18"/>
                <w:color w:val="auto"/>
              </w:rPr>
              <w:t>10.19+</w:t>
            </w:r>
          </w:p>
        </w:tc>
        <w:tc>
          <w:tcPr>
            <w:tcW w:w="2800" w:type="dxa"/>
            <w:vAlign w:val="bottom"/>
            <w:tcBorders>
              <w:bottom w:val="single" w:sz="8" w:color="0000EE"/>
            </w:tcBorders>
            <w:gridSpan w:val="16"/>
          </w:tcPr>
          <w:p>
            <w:pPr>
              <w:spacing w:after="0" w:line="174" w:lineRule="exact"/>
              <w:rPr>
                <w:rFonts w:ascii="Arial" w:cs="Arial" w:eastAsia="Arial" w:hAnsi="Arial"/>
                <w:sz w:val="18"/>
                <w:szCs w:val="18"/>
                <w:color w:val="0000EE"/>
                <w:w w:val="89"/>
              </w:rPr>
            </w:pPr>
            <w:hyperlink r:id="rId220">
              <w:r>
                <w:rPr>
                  <w:rFonts w:ascii="Arial" w:cs="Arial" w:eastAsia="Arial" w:hAnsi="Arial"/>
                  <w:sz w:val="18"/>
                  <w:szCs w:val="18"/>
                  <w:color w:val="0000EE"/>
                  <w:w w:val="89"/>
                </w:rPr>
                <w:t>Supply Agreement by and between the</w:t>
              </w:r>
            </w:hyperlink>
          </w:p>
        </w:tc>
        <w:tc>
          <w:tcPr>
            <w:tcW w:w="160" w:type="dxa"/>
            <w:vAlign w:val="bottom"/>
            <w:gridSpan w:val="7"/>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27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220">
              <w:r>
                <w:rPr>
                  <w:rFonts w:ascii="Arial" w:cs="Arial" w:eastAsia="Arial" w:hAnsi="Arial"/>
                  <w:sz w:val="18"/>
                  <w:szCs w:val="18"/>
                  <w:color w:val="0000EE"/>
                  <w:w w:val="90"/>
                </w:rPr>
                <w:t>Registrant and Sutro Biopharma, Inc.,</w:t>
              </w:r>
            </w:hyperlink>
          </w:p>
        </w:tc>
        <w:tc>
          <w:tcPr>
            <w:tcW w:w="220" w:type="dxa"/>
            <w:vAlign w:val="bottom"/>
            <w:gridSpan w:val="9"/>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4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r:id="rId220">
              <w:r>
                <w:rPr>
                  <w:rFonts w:ascii="Arial" w:cs="Arial" w:eastAsia="Arial" w:hAnsi="Arial"/>
                  <w:sz w:val="18"/>
                  <w:szCs w:val="18"/>
                  <w:color w:val="0000EE"/>
                  <w:w w:val="87"/>
                </w:rPr>
                <w:t>dated May 29, 2018, as amended.</w:t>
              </w:r>
            </w:hyperlink>
          </w:p>
        </w:tc>
        <w:tc>
          <w:tcPr>
            <w:tcW w:w="540" w:type="dxa"/>
            <w:vAlign w:val="bottom"/>
            <w:gridSpan w:val="17"/>
          </w:tcPr>
          <w:p>
            <w:pPr>
              <w:spacing w:after="0"/>
              <w:rPr>
                <w:sz w:val="17"/>
                <w:szCs w:val="17"/>
                <w:color w:val="auto"/>
              </w:rPr>
            </w:pPr>
          </w:p>
        </w:tc>
      </w:tr>
      <w:tr>
        <w:trPr>
          <w:trHeight w:val="614"/>
        </w:trPr>
        <w:tc>
          <w:tcPr>
            <w:tcW w:w="1480" w:type="dxa"/>
            <w:vAlign w:val="bottom"/>
          </w:tcPr>
          <w:p>
            <w:pPr>
              <w:spacing w:after="0"/>
              <w:rPr>
                <w:sz w:val="20"/>
                <w:szCs w:val="20"/>
                <w:color w:val="auto"/>
              </w:rPr>
            </w:pPr>
            <w:r>
              <w:rPr>
                <w:rFonts w:ascii="Arial" w:cs="Arial" w:eastAsia="Arial" w:hAnsi="Arial"/>
                <w:sz w:val="18"/>
                <w:szCs w:val="18"/>
                <w:color w:val="auto"/>
              </w:rPr>
              <w:t>10.20+</w:t>
            </w:r>
          </w:p>
        </w:tc>
        <w:tc>
          <w:tcPr>
            <w:tcW w:w="2960" w:type="dxa"/>
            <w:vAlign w:val="bottom"/>
            <w:gridSpan w:val="23"/>
          </w:tcPr>
          <w:p>
            <w:pPr>
              <w:spacing w:after="0"/>
              <w:rPr>
                <w:rFonts w:ascii="Arial" w:cs="Arial" w:eastAsia="Arial" w:hAnsi="Arial"/>
                <w:sz w:val="18"/>
                <w:szCs w:val="18"/>
                <w:color w:val="0000EE"/>
                <w:w w:val="92"/>
              </w:rPr>
            </w:pPr>
            <w:hyperlink r:id="rId221">
              <w:r>
                <w:rPr>
                  <w:rFonts w:ascii="Arial" w:cs="Arial" w:eastAsia="Arial" w:hAnsi="Arial"/>
                  <w:sz w:val="18"/>
                  <w:szCs w:val="18"/>
                  <w:color w:val="0000EE"/>
                  <w:w w:val="92"/>
                </w:rPr>
                <w:t>License Agreement by and between the</w:t>
              </w:r>
            </w:hyperlink>
          </w:p>
        </w:tc>
      </w:tr>
      <w:tr>
        <w:trPr>
          <w:trHeight w:val="196"/>
        </w:trPr>
        <w:tc>
          <w:tcPr>
            <w:tcW w:w="148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r:id="rId221">
              <w:r>
                <w:rPr>
                  <w:rFonts w:ascii="Arial" w:cs="Arial" w:eastAsia="Arial" w:hAnsi="Arial"/>
                  <w:sz w:val="18"/>
                  <w:szCs w:val="18"/>
                  <w:color w:val="0000EE"/>
                  <w:w w:val="88"/>
                </w:rPr>
                <w:t>Registrant and The Regents of the</w:t>
              </w:r>
            </w:hyperlink>
          </w:p>
        </w:tc>
        <w:tc>
          <w:tcPr>
            <w:tcW w:w="380" w:type="dxa"/>
            <w:vAlign w:val="bottom"/>
            <w:tcBorders>
              <w:top w:val="single" w:sz="8" w:color="0000EE"/>
            </w:tcBorders>
            <w:gridSpan w:val="10"/>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8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221">
              <w:r>
                <w:rPr>
                  <w:rFonts w:ascii="Arial" w:cs="Arial" w:eastAsia="Arial" w:hAnsi="Arial"/>
                  <w:sz w:val="18"/>
                  <w:szCs w:val="18"/>
                  <w:color w:val="0000EE"/>
                  <w:w w:val="92"/>
                </w:rPr>
                <w:t>University of California, represented by</w:t>
              </w:r>
            </w:hyperlink>
          </w:p>
        </w:tc>
        <w:tc>
          <w:tcPr>
            <w:tcW w:w="80" w:type="dxa"/>
            <w:vAlign w:val="bottom"/>
            <w:gridSpan w:val="4"/>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960" w:type="dxa"/>
            <w:vAlign w:val="bottom"/>
            <w:gridSpan w:val="23"/>
          </w:tcPr>
          <w:p>
            <w:pPr>
              <w:spacing w:after="0" w:line="196" w:lineRule="exact"/>
              <w:rPr>
                <w:rFonts w:ascii="Arial" w:cs="Arial" w:eastAsia="Arial" w:hAnsi="Arial"/>
                <w:sz w:val="18"/>
                <w:szCs w:val="18"/>
                <w:color w:val="0000EE"/>
                <w:w w:val="89"/>
              </w:rPr>
            </w:pPr>
            <w:hyperlink r:id="rId221">
              <w:r>
                <w:rPr>
                  <w:rFonts w:ascii="Arial" w:cs="Arial" w:eastAsia="Arial" w:hAnsi="Arial"/>
                  <w:sz w:val="18"/>
                  <w:szCs w:val="18"/>
                  <w:color w:val="0000EE"/>
                  <w:w w:val="89"/>
                </w:rPr>
                <w:t>its San Diego campus, dated February 4,</w:t>
              </w:r>
            </w:hyperlink>
          </w:p>
        </w:tc>
      </w:tr>
      <w:tr>
        <w:trPr>
          <w:trHeight w:val="196"/>
        </w:trPr>
        <w:tc>
          <w:tcPr>
            <w:tcW w:w="14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221">
              <w:r>
                <w:rPr>
                  <w:rFonts w:ascii="Arial" w:cs="Arial" w:eastAsia="Arial" w:hAnsi="Arial"/>
                  <w:sz w:val="18"/>
                  <w:szCs w:val="18"/>
                  <w:color w:val="0000EE"/>
                  <w:w w:val="84"/>
                </w:rPr>
                <w:t>2019.</w:t>
              </w:r>
            </w:hyperlink>
          </w:p>
        </w:tc>
        <w:tc>
          <w:tcPr>
            <w:tcW w:w="5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10.21</w:t>
            </w:r>
          </w:p>
        </w:tc>
        <w:tc>
          <w:tcPr>
            <w:tcW w:w="2600" w:type="dxa"/>
            <w:vAlign w:val="bottom"/>
            <w:tcBorders>
              <w:bottom w:val="single" w:sz="8" w:color="0000EE"/>
            </w:tcBorders>
            <w:gridSpan w:val="10"/>
          </w:tcPr>
          <w:p>
            <w:pPr>
              <w:spacing w:after="0"/>
              <w:rPr>
                <w:rFonts w:ascii="Arial" w:cs="Arial" w:eastAsia="Arial" w:hAnsi="Arial"/>
                <w:sz w:val="18"/>
                <w:szCs w:val="18"/>
                <w:color w:val="0000EE"/>
                <w:w w:val="88"/>
              </w:rPr>
            </w:pPr>
            <w:hyperlink r:id="rId222">
              <w:r>
                <w:rPr>
                  <w:rFonts w:ascii="Arial" w:cs="Arial" w:eastAsia="Arial" w:hAnsi="Arial"/>
                  <w:sz w:val="18"/>
                  <w:szCs w:val="18"/>
                  <w:color w:val="0000EE"/>
                  <w:w w:val="88"/>
                </w:rPr>
                <w:t>Lease Agreement by and among the</w:t>
              </w:r>
            </w:hyperlink>
          </w:p>
        </w:tc>
        <w:tc>
          <w:tcPr>
            <w:tcW w:w="360" w:type="dxa"/>
            <w:vAlign w:val="bottom"/>
            <w:gridSpan w:val="13"/>
          </w:tcPr>
          <w:p>
            <w:pPr>
              <w:spacing w:after="0"/>
              <w:rPr>
                <w:sz w:val="20"/>
                <w:szCs w:val="20"/>
                <w:color w:val="auto"/>
              </w:rPr>
            </w:pPr>
          </w:p>
        </w:tc>
      </w:tr>
      <w:tr>
        <w:trPr>
          <w:trHeight w:val="196"/>
        </w:trPr>
        <w:tc>
          <w:tcPr>
            <w:tcW w:w="1480" w:type="dxa"/>
            <w:vAlign w:val="bottom"/>
          </w:tcPr>
          <w:p>
            <w:pPr>
              <w:spacing w:after="0"/>
              <w:rPr>
                <w:sz w:val="17"/>
                <w:szCs w:val="17"/>
                <w:color w:val="auto"/>
              </w:rPr>
            </w:pPr>
          </w:p>
        </w:tc>
        <w:tc>
          <w:tcPr>
            <w:tcW w:w="27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22">
              <w:r>
                <w:rPr>
                  <w:rFonts w:ascii="Arial" w:cs="Arial" w:eastAsia="Arial" w:hAnsi="Arial"/>
                  <w:sz w:val="18"/>
                  <w:szCs w:val="18"/>
                  <w:color w:val="0000EE"/>
                  <w:w w:val="91"/>
                </w:rPr>
                <w:t>Registrant, Grey Peak Fork, LLC and</w:t>
              </w:r>
            </w:hyperlink>
          </w:p>
        </w:tc>
        <w:tc>
          <w:tcPr>
            <w:tcW w:w="240" w:type="dxa"/>
            <w:vAlign w:val="bottom"/>
            <w:gridSpan w:val="10"/>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7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22">
              <w:r>
                <w:rPr>
                  <w:rFonts w:ascii="Arial" w:cs="Arial" w:eastAsia="Arial" w:hAnsi="Arial"/>
                  <w:sz w:val="18"/>
                  <w:szCs w:val="18"/>
                  <w:color w:val="0000EE"/>
                  <w:w w:val="90"/>
                </w:rPr>
                <w:t>Grey Peak Fork, Series A, LLC, dated</w:t>
              </w:r>
            </w:hyperlink>
          </w:p>
        </w:tc>
        <w:tc>
          <w:tcPr>
            <w:tcW w:w="200" w:type="dxa"/>
            <w:vAlign w:val="bottom"/>
            <w:gridSpan w:val="8"/>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222">
              <w:r>
                <w:rPr>
                  <w:rFonts w:ascii="Arial" w:cs="Arial" w:eastAsia="Arial" w:hAnsi="Arial"/>
                  <w:sz w:val="18"/>
                  <w:szCs w:val="18"/>
                  <w:color w:val="0000EE"/>
                  <w:w w:val="89"/>
                </w:rPr>
                <w:t>July 22, 2016.</w:t>
              </w:r>
            </w:hyperlink>
          </w:p>
        </w:tc>
        <w:tc>
          <w:tcPr>
            <w:tcW w:w="1940" w:type="dxa"/>
            <w:vAlign w:val="bottom"/>
            <w:gridSpan w:val="20"/>
          </w:tcPr>
          <w:p>
            <w:pPr>
              <w:spacing w:after="0"/>
              <w:rPr>
                <w:sz w:val="17"/>
                <w:szCs w:val="17"/>
                <w:color w:val="auto"/>
              </w:rPr>
            </w:pPr>
          </w:p>
        </w:tc>
      </w:tr>
      <w:tr>
        <w:trPr>
          <w:trHeight w:val="236"/>
        </w:trPr>
        <w:tc>
          <w:tcPr>
            <w:tcW w:w="1480" w:type="dxa"/>
            <w:vAlign w:val="bottom"/>
          </w:tcPr>
          <w:p>
            <w:pPr>
              <w:spacing w:after="0"/>
              <w:rPr>
                <w:sz w:val="20"/>
                <w:szCs w:val="20"/>
                <w:color w:val="auto"/>
              </w:rPr>
            </w:pPr>
            <w:r>
              <w:rPr>
                <w:rFonts w:ascii="Arial" w:cs="Arial" w:eastAsia="Arial" w:hAnsi="Arial"/>
                <w:sz w:val="18"/>
                <w:szCs w:val="18"/>
                <w:color w:val="auto"/>
              </w:rPr>
              <w:t>10.22</w:t>
            </w:r>
          </w:p>
        </w:tc>
        <w:tc>
          <w:tcPr>
            <w:tcW w:w="2740" w:type="dxa"/>
            <w:vAlign w:val="bottom"/>
            <w:tcBorders>
              <w:bottom w:val="single" w:sz="8" w:color="0000EE"/>
            </w:tcBorders>
            <w:gridSpan w:val="14"/>
          </w:tcPr>
          <w:p>
            <w:pPr>
              <w:spacing w:after="0"/>
              <w:rPr>
                <w:rFonts w:ascii="Arial" w:cs="Arial" w:eastAsia="Arial" w:hAnsi="Arial"/>
                <w:sz w:val="18"/>
                <w:szCs w:val="18"/>
                <w:color w:val="0000EE"/>
                <w:w w:val="90"/>
              </w:rPr>
            </w:pPr>
            <w:hyperlink r:id="rId223">
              <w:r>
                <w:rPr>
                  <w:rFonts w:ascii="Arial" w:cs="Arial" w:eastAsia="Arial" w:hAnsi="Arial"/>
                  <w:sz w:val="18"/>
                  <w:szCs w:val="18"/>
                  <w:color w:val="0000EE"/>
                  <w:w w:val="90"/>
                </w:rPr>
                <w:t>Assignment and Assumption of Lease</w:t>
              </w:r>
            </w:hyperlink>
          </w:p>
        </w:tc>
        <w:tc>
          <w:tcPr>
            <w:tcW w:w="220" w:type="dxa"/>
            <w:vAlign w:val="bottom"/>
            <w:gridSpan w:val="9"/>
          </w:tcPr>
          <w:p>
            <w:pPr>
              <w:spacing w:after="0"/>
              <w:rPr>
                <w:sz w:val="20"/>
                <w:szCs w:val="20"/>
                <w:color w:val="auto"/>
              </w:rPr>
            </w:pPr>
          </w:p>
        </w:tc>
      </w:tr>
      <w:tr>
        <w:trPr>
          <w:trHeight w:val="196"/>
        </w:trPr>
        <w:tc>
          <w:tcPr>
            <w:tcW w:w="1480" w:type="dxa"/>
            <w:vAlign w:val="bottom"/>
          </w:tcPr>
          <w:p>
            <w:pPr>
              <w:spacing w:after="0"/>
              <w:rPr>
                <w:sz w:val="17"/>
                <w:szCs w:val="17"/>
                <w:color w:val="auto"/>
              </w:rPr>
            </w:pPr>
          </w:p>
        </w:tc>
        <w:tc>
          <w:tcPr>
            <w:tcW w:w="29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223">
              <w:r>
                <w:rPr>
                  <w:rFonts w:ascii="Arial" w:cs="Arial" w:eastAsia="Arial" w:hAnsi="Arial"/>
                  <w:sz w:val="18"/>
                  <w:szCs w:val="18"/>
                  <w:color w:val="0000EE"/>
                  <w:w w:val="89"/>
                </w:rPr>
                <w:t>and Consent of Lessor by and among the</w:t>
              </w:r>
            </w:hyperlink>
          </w:p>
        </w:tc>
      </w:tr>
      <w:tr>
        <w:trPr>
          <w:trHeight w:val="196"/>
        </w:trPr>
        <w:tc>
          <w:tcPr>
            <w:tcW w:w="1480" w:type="dxa"/>
            <w:vAlign w:val="bottom"/>
          </w:tcPr>
          <w:p>
            <w:pPr>
              <w:spacing w:after="0"/>
              <w:rPr>
                <w:sz w:val="17"/>
                <w:szCs w:val="17"/>
                <w:color w:val="auto"/>
              </w:rPr>
            </w:pPr>
          </w:p>
        </w:tc>
        <w:tc>
          <w:tcPr>
            <w:tcW w:w="28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223">
              <w:r>
                <w:rPr>
                  <w:rFonts w:ascii="Arial" w:cs="Arial" w:eastAsia="Arial" w:hAnsi="Arial"/>
                  <w:sz w:val="18"/>
                  <w:szCs w:val="18"/>
                  <w:color w:val="0000EE"/>
                  <w:w w:val="90"/>
                </w:rPr>
                <w:t>Registrant, Orchard Therapeutics North</w:t>
              </w:r>
            </w:hyperlink>
          </w:p>
        </w:tc>
        <w:tc>
          <w:tcPr>
            <w:tcW w:w="100" w:type="dxa"/>
            <w:vAlign w:val="bottom"/>
            <w:gridSpan w:val="5"/>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9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223">
              <w:r>
                <w:rPr>
                  <w:rFonts w:ascii="Arial" w:cs="Arial" w:eastAsia="Arial" w:hAnsi="Arial"/>
                  <w:sz w:val="18"/>
                  <w:szCs w:val="18"/>
                  <w:color w:val="0000EE"/>
                  <w:w w:val="90"/>
                </w:rPr>
                <w:t>America and Rakesh Kumar and Premila</w:t>
              </w:r>
            </w:hyperlink>
          </w:p>
        </w:tc>
      </w:tr>
      <w:tr>
        <w:trPr>
          <w:trHeight w:val="196"/>
        </w:trPr>
        <w:tc>
          <w:tcPr>
            <w:tcW w:w="1480" w:type="dxa"/>
            <w:vAlign w:val="bottom"/>
          </w:tcPr>
          <w:p>
            <w:pPr>
              <w:spacing w:after="0"/>
              <w:rPr>
                <w:sz w:val="17"/>
                <w:szCs w:val="17"/>
                <w:color w:val="auto"/>
              </w:rPr>
            </w:pPr>
          </w:p>
        </w:tc>
        <w:tc>
          <w:tcPr>
            <w:tcW w:w="27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23">
              <w:r>
                <w:rPr>
                  <w:rFonts w:ascii="Arial" w:cs="Arial" w:eastAsia="Arial" w:hAnsi="Arial"/>
                  <w:sz w:val="18"/>
                  <w:szCs w:val="18"/>
                  <w:color w:val="0000EE"/>
                  <w:w w:val="90"/>
                </w:rPr>
                <w:t>Kumar Revocable Family Trust, dated</w:t>
              </w:r>
            </w:hyperlink>
          </w:p>
        </w:tc>
        <w:tc>
          <w:tcPr>
            <w:tcW w:w="200" w:type="dxa"/>
            <w:vAlign w:val="bottom"/>
            <w:gridSpan w:val="8"/>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960" w:type="dxa"/>
            <w:vAlign w:val="bottom"/>
            <w:gridSpan w:val="23"/>
          </w:tcPr>
          <w:p>
            <w:pPr>
              <w:spacing w:after="0" w:line="196" w:lineRule="exact"/>
              <w:rPr>
                <w:rFonts w:ascii="Arial" w:cs="Arial" w:eastAsia="Arial" w:hAnsi="Arial"/>
                <w:sz w:val="18"/>
                <w:szCs w:val="18"/>
                <w:color w:val="0000EE"/>
              </w:rPr>
            </w:pPr>
            <w:hyperlink r:id="rId223">
              <w:r>
                <w:rPr>
                  <w:rFonts w:ascii="Arial" w:cs="Arial" w:eastAsia="Arial" w:hAnsi="Arial"/>
                  <w:sz w:val="18"/>
                  <w:szCs w:val="18"/>
                  <w:color w:val="0000EE"/>
                </w:rPr>
                <w:t>July 1, 2019.</w:t>
              </w:r>
            </w:hyperlink>
          </w:p>
        </w:tc>
      </w:tr>
      <w:tr>
        <w:trPr>
          <w:trHeight w:val="20"/>
        </w:trPr>
        <w:tc>
          <w:tcPr>
            <w:tcW w:w="14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10.23</w:t>
            </w:r>
          </w:p>
        </w:tc>
        <w:tc>
          <w:tcPr>
            <w:tcW w:w="2620" w:type="dxa"/>
            <w:vAlign w:val="bottom"/>
            <w:tcBorders>
              <w:bottom w:val="single" w:sz="8" w:color="0000EE"/>
            </w:tcBorders>
            <w:gridSpan w:val="11"/>
          </w:tcPr>
          <w:p>
            <w:pPr>
              <w:spacing w:after="0"/>
              <w:rPr>
                <w:rFonts w:ascii="Arial" w:cs="Arial" w:eastAsia="Arial" w:hAnsi="Arial"/>
                <w:sz w:val="18"/>
                <w:szCs w:val="18"/>
                <w:color w:val="0000EE"/>
                <w:w w:val="92"/>
              </w:rPr>
            </w:pPr>
            <w:hyperlink r:id="rId224">
              <w:r>
                <w:rPr>
                  <w:rFonts w:ascii="Arial" w:cs="Arial" w:eastAsia="Arial" w:hAnsi="Arial"/>
                  <w:sz w:val="18"/>
                  <w:szCs w:val="18"/>
                  <w:color w:val="0000EE"/>
                  <w:w w:val="92"/>
                </w:rPr>
                <w:t>Third Addendum to Standard Multi-</w:t>
              </w:r>
            </w:hyperlink>
          </w:p>
        </w:tc>
        <w:tc>
          <w:tcPr>
            <w:tcW w:w="340" w:type="dxa"/>
            <w:vAlign w:val="bottom"/>
            <w:gridSpan w:val="12"/>
          </w:tcPr>
          <w:p>
            <w:pPr>
              <w:spacing w:after="0"/>
              <w:rPr>
                <w:sz w:val="20"/>
                <w:szCs w:val="20"/>
                <w:color w:val="auto"/>
              </w:rPr>
            </w:pPr>
          </w:p>
        </w:tc>
      </w:tr>
      <w:tr>
        <w:trPr>
          <w:trHeight w:val="196"/>
        </w:trPr>
        <w:tc>
          <w:tcPr>
            <w:tcW w:w="1480" w:type="dxa"/>
            <w:vAlign w:val="bottom"/>
          </w:tcPr>
          <w:p>
            <w:pPr>
              <w:spacing w:after="0"/>
              <w:rPr>
                <w:sz w:val="17"/>
                <w:szCs w:val="17"/>
                <w:color w:val="auto"/>
              </w:rPr>
            </w:pPr>
          </w:p>
        </w:tc>
        <w:tc>
          <w:tcPr>
            <w:tcW w:w="290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r:id="rId224">
              <w:r>
                <w:rPr>
                  <w:rFonts w:ascii="Arial" w:cs="Arial" w:eastAsia="Arial" w:hAnsi="Arial"/>
                  <w:sz w:val="18"/>
                  <w:szCs w:val="18"/>
                  <w:color w:val="0000EE"/>
                  <w:w w:val="88"/>
                </w:rPr>
                <w:t>Tenant Office Lease by and between the</w:t>
              </w:r>
            </w:hyperlink>
          </w:p>
        </w:tc>
        <w:tc>
          <w:tcPr>
            <w:tcW w:w="60" w:type="dxa"/>
            <w:vAlign w:val="bottom"/>
            <w:gridSpan w:val="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960" w:type="dxa"/>
            <w:vAlign w:val="bottom"/>
            <w:gridSpan w:val="23"/>
          </w:tcPr>
          <w:p>
            <w:pPr>
              <w:spacing w:after="0" w:line="196" w:lineRule="exact"/>
              <w:rPr>
                <w:rFonts w:ascii="Arial" w:cs="Arial" w:eastAsia="Arial" w:hAnsi="Arial"/>
                <w:sz w:val="18"/>
                <w:szCs w:val="18"/>
                <w:color w:val="0000EE"/>
              </w:rPr>
            </w:pPr>
            <w:hyperlink r:id="rId224">
              <w:r>
                <w:rPr>
                  <w:rFonts w:ascii="Arial" w:cs="Arial" w:eastAsia="Arial" w:hAnsi="Arial"/>
                  <w:sz w:val="18"/>
                  <w:szCs w:val="18"/>
                  <w:color w:val="0000EE"/>
                </w:rPr>
                <w:t>Registrant and Rakesh Kumar and</w:t>
              </w:r>
            </w:hyperlink>
          </w:p>
        </w:tc>
      </w:tr>
      <w:tr>
        <w:trPr>
          <w:trHeight w:val="20"/>
        </w:trPr>
        <w:tc>
          <w:tcPr>
            <w:tcW w:w="148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960" w:type="dxa"/>
            <w:vAlign w:val="bottom"/>
            <w:gridSpan w:val="23"/>
          </w:tcPr>
          <w:p>
            <w:pPr>
              <w:spacing w:after="0" w:line="196" w:lineRule="exact"/>
              <w:rPr>
                <w:rFonts w:ascii="Arial" w:cs="Arial" w:eastAsia="Arial" w:hAnsi="Arial"/>
                <w:sz w:val="18"/>
                <w:szCs w:val="18"/>
                <w:color w:val="0000EE"/>
                <w:w w:val="92"/>
              </w:rPr>
            </w:pPr>
            <w:hyperlink r:id="rId224">
              <w:r>
                <w:rPr>
                  <w:rFonts w:ascii="Arial" w:cs="Arial" w:eastAsia="Arial" w:hAnsi="Arial"/>
                  <w:sz w:val="18"/>
                  <w:szCs w:val="18"/>
                  <w:color w:val="0000EE"/>
                  <w:w w:val="92"/>
                </w:rPr>
                <w:t>Premila Kumar Revocable Family Trust,</w:t>
              </w:r>
            </w:hyperlink>
          </w:p>
        </w:tc>
      </w:tr>
      <w:tr>
        <w:trPr>
          <w:trHeight w:val="196"/>
        </w:trPr>
        <w:tc>
          <w:tcPr>
            <w:tcW w:w="1480" w:type="dxa"/>
            <w:vAlign w:val="bottom"/>
          </w:tcPr>
          <w:p>
            <w:pPr>
              <w:spacing w:after="0"/>
              <w:rPr>
                <w:sz w:val="17"/>
                <w:szCs w:val="17"/>
                <w:color w:val="auto"/>
              </w:rPr>
            </w:pPr>
          </w:p>
        </w:tc>
        <w:tc>
          <w:tcPr>
            <w:tcW w:w="29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24">
              <w:r>
                <w:rPr>
                  <w:rFonts w:ascii="Arial" w:cs="Arial" w:eastAsia="Arial" w:hAnsi="Arial"/>
                  <w:sz w:val="18"/>
                  <w:szCs w:val="18"/>
                  <w:color w:val="0000EE"/>
                </w:rPr>
                <w:t>dated July 1, 2019.</w:t>
              </w:r>
            </w:hyperlink>
          </w:p>
        </w:tc>
        <w:tc>
          <w:tcPr>
            <w:tcW w:w="40" w:type="dxa"/>
            <w:vAlign w:val="bottom"/>
            <w:gridSpan w:val="2"/>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480" w:type="dxa"/>
            <w:vAlign w:val="bottom"/>
          </w:tcPr>
          <w:p>
            <w:pPr>
              <w:spacing w:after="0"/>
              <w:rPr>
                <w:sz w:val="20"/>
                <w:szCs w:val="20"/>
                <w:color w:val="auto"/>
              </w:rPr>
            </w:pPr>
            <w:r>
              <w:rPr>
                <w:rFonts w:ascii="Arial" w:cs="Arial" w:eastAsia="Arial" w:hAnsi="Arial"/>
                <w:sz w:val="18"/>
                <w:szCs w:val="18"/>
                <w:color w:val="auto"/>
              </w:rPr>
              <w:t>10.24</w:t>
            </w:r>
          </w:p>
        </w:tc>
        <w:tc>
          <w:tcPr>
            <w:tcW w:w="2960" w:type="dxa"/>
            <w:vAlign w:val="bottom"/>
            <w:gridSpan w:val="23"/>
          </w:tcPr>
          <w:p>
            <w:pPr>
              <w:spacing w:after="0"/>
              <w:rPr>
                <w:rFonts w:ascii="Arial" w:cs="Arial" w:eastAsia="Arial" w:hAnsi="Arial"/>
                <w:sz w:val="18"/>
                <w:szCs w:val="18"/>
                <w:color w:val="0000EE"/>
                <w:w w:val="96"/>
              </w:rPr>
            </w:pPr>
            <w:hyperlink r:id="rId225">
              <w:r>
                <w:rPr>
                  <w:rFonts w:ascii="Arial" w:cs="Arial" w:eastAsia="Arial" w:hAnsi="Arial"/>
                  <w:sz w:val="18"/>
                  <w:szCs w:val="18"/>
                  <w:color w:val="0000EE"/>
                  <w:w w:val="96"/>
                </w:rPr>
                <w:t>Lease Agreement by and between the</w:t>
              </w:r>
            </w:hyperlink>
          </w:p>
        </w:tc>
      </w:tr>
      <w:tr>
        <w:trPr>
          <w:trHeight w:val="20"/>
        </w:trPr>
        <w:tc>
          <w:tcPr>
            <w:tcW w:w="148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8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225">
              <w:r>
                <w:rPr>
                  <w:rFonts w:ascii="Arial" w:cs="Arial" w:eastAsia="Arial" w:hAnsi="Arial"/>
                  <w:sz w:val="18"/>
                  <w:szCs w:val="18"/>
                  <w:color w:val="0000EE"/>
                  <w:w w:val="90"/>
                </w:rPr>
                <w:t>Company and ARE-San Francisco No.</w:t>
              </w:r>
            </w:hyperlink>
          </w:p>
        </w:tc>
        <w:tc>
          <w:tcPr>
            <w:tcW w:w="160" w:type="dxa"/>
            <w:vAlign w:val="bottom"/>
            <w:gridSpan w:val="7"/>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7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225">
              <w:r>
                <w:rPr>
                  <w:rFonts w:ascii="Arial" w:cs="Arial" w:eastAsia="Arial" w:hAnsi="Arial"/>
                  <w:sz w:val="18"/>
                  <w:szCs w:val="18"/>
                  <w:color w:val="0000EE"/>
                  <w:w w:val="89"/>
                </w:rPr>
                <w:t>63, LLC, dated as of January 21, 2021</w:t>
              </w:r>
            </w:hyperlink>
          </w:p>
        </w:tc>
        <w:tc>
          <w:tcPr>
            <w:tcW w:w="200" w:type="dxa"/>
            <w:vAlign w:val="bottom"/>
            <w:gridSpan w:val="8"/>
          </w:tcPr>
          <w:p>
            <w:pPr>
              <w:spacing w:after="0"/>
              <w:rPr>
                <w:sz w:val="17"/>
                <w:szCs w:val="17"/>
                <w:color w:val="auto"/>
              </w:rPr>
            </w:pPr>
          </w:p>
        </w:tc>
      </w:tr>
      <w:tr>
        <w:trPr>
          <w:trHeight w:val="236"/>
        </w:trPr>
        <w:tc>
          <w:tcPr>
            <w:tcW w:w="1480" w:type="dxa"/>
            <w:vAlign w:val="bottom"/>
          </w:tcPr>
          <w:p>
            <w:pPr>
              <w:spacing w:after="0"/>
              <w:rPr>
                <w:sz w:val="20"/>
                <w:szCs w:val="20"/>
                <w:color w:val="auto"/>
              </w:rPr>
            </w:pPr>
            <w:r>
              <w:rPr>
                <w:rFonts w:ascii="Arial" w:cs="Arial" w:eastAsia="Arial" w:hAnsi="Arial"/>
                <w:sz w:val="18"/>
                <w:szCs w:val="18"/>
                <w:color w:val="auto"/>
              </w:rPr>
              <w:t>23.1</w:t>
            </w:r>
          </w:p>
        </w:tc>
        <w:tc>
          <w:tcPr>
            <w:tcW w:w="25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59">
              <w:r>
                <w:rPr>
                  <w:rFonts w:ascii="Arial" w:cs="Arial" w:eastAsia="Arial" w:hAnsi="Arial"/>
                  <w:sz w:val="18"/>
                  <w:szCs w:val="18"/>
                  <w:color w:val="0000EE"/>
                  <w:w w:val="88"/>
                </w:rPr>
                <w:t>Consent of Independent Registered</w:t>
              </w:r>
            </w:hyperlink>
          </w:p>
        </w:tc>
        <w:tc>
          <w:tcPr>
            <w:tcW w:w="420" w:type="dxa"/>
            <w:vAlign w:val="bottom"/>
            <w:gridSpan w:val="15"/>
          </w:tcPr>
          <w:p>
            <w:pPr>
              <w:spacing w:after="0"/>
              <w:rPr>
                <w:sz w:val="20"/>
                <w:szCs w:val="20"/>
                <w:color w:val="auto"/>
              </w:rPr>
            </w:pPr>
          </w:p>
        </w:tc>
      </w:tr>
      <w:tr>
        <w:trPr>
          <w:trHeight w:val="196"/>
        </w:trPr>
        <w:tc>
          <w:tcPr>
            <w:tcW w:w="1480" w:type="dxa"/>
            <w:vAlign w:val="bottom"/>
          </w:tcPr>
          <w:p>
            <w:pPr>
              <w:spacing w:after="0"/>
              <w:rPr>
                <w:sz w:val="17"/>
                <w:szCs w:val="17"/>
                <w:color w:val="auto"/>
              </w:rPr>
            </w:pPr>
          </w:p>
        </w:tc>
        <w:tc>
          <w:tcPr>
            <w:tcW w:w="180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159">
              <w:r>
                <w:rPr>
                  <w:rFonts w:ascii="Arial" w:cs="Arial" w:eastAsia="Arial" w:hAnsi="Arial"/>
                  <w:sz w:val="18"/>
                  <w:szCs w:val="18"/>
                  <w:color w:val="0000EE"/>
                  <w:w w:val="95"/>
                </w:rPr>
                <w:t>Public Accounting Firm</w:t>
              </w:r>
            </w:hyperlink>
          </w:p>
        </w:tc>
        <w:tc>
          <w:tcPr>
            <w:tcW w:w="1160" w:type="dxa"/>
            <w:vAlign w:val="bottom"/>
            <w:gridSpan w:val="18"/>
          </w:tcPr>
          <w:p>
            <w:pPr>
              <w:spacing w:after="0"/>
              <w:rPr>
                <w:sz w:val="17"/>
                <w:szCs w:val="17"/>
                <w:color w:val="auto"/>
              </w:rPr>
            </w:pPr>
          </w:p>
        </w:tc>
      </w:tr>
      <w:tr>
        <w:trPr>
          <w:trHeight w:val="236"/>
        </w:trPr>
        <w:tc>
          <w:tcPr>
            <w:tcW w:w="1480" w:type="dxa"/>
            <w:vAlign w:val="bottom"/>
          </w:tcPr>
          <w:p>
            <w:pPr>
              <w:spacing w:after="0"/>
              <w:rPr>
                <w:sz w:val="20"/>
                <w:szCs w:val="20"/>
                <w:color w:val="auto"/>
              </w:rPr>
            </w:pPr>
            <w:r>
              <w:rPr>
                <w:rFonts w:ascii="Arial" w:cs="Arial" w:eastAsia="Arial" w:hAnsi="Arial"/>
                <w:sz w:val="18"/>
                <w:szCs w:val="18"/>
                <w:color w:val="auto"/>
              </w:rPr>
              <w:t>24.1</w:t>
            </w:r>
          </w:p>
        </w:tc>
        <w:tc>
          <w:tcPr>
            <w:tcW w:w="13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55">
              <w:r>
                <w:rPr>
                  <w:rFonts w:ascii="Arial" w:cs="Arial" w:eastAsia="Arial" w:hAnsi="Arial"/>
                  <w:sz w:val="18"/>
                  <w:szCs w:val="18"/>
                  <w:color w:val="0000EE"/>
                  <w:w w:val="92"/>
                </w:rPr>
                <w:t>Power of Attorney</w:t>
              </w:r>
            </w:hyperlink>
          </w:p>
        </w:tc>
        <w:tc>
          <w:tcPr>
            <w:tcW w:w="1600" w:type="dxa"/>
            <w:vAlign w:val="bottom"/>
            <w:gridSpan w:val="19"/>
          </w:tcPr>
          <w:p>
            <w:pPr>
              <w:spacing w:after="0"/>
              <w:rPr>
                <w:sz w:val="20"/>
                <w:szCs w:val="20"/>
                <w:color w:val="auto"/>
              </w:rPr>
            </w:pPr>
          </w:p>
        </w:tc>
      </w:t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2960" w:type="dxa"/>
            <w:vAlign w:val="bottom"/>
            <w:gridSpan w:val="23"/>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Certification of Principal Executive</w:t>
              </w:r>
            </w:hyperlink>
          </w:p>
        </w:tc>
      </w:tr>
      <w:tr>
        <w:trPr>
          <w:trHeight w:val="20"/>
        </w:trPr>
        <w:tc>
          <w:tcPr>
            <w:tcW w:w="1480" w:type="dxa"/>
            <w:vAlign w:val="bottom"/>
          </w:tcPr>
          <w:p>
            <w:pPr>
              <w:spacing w:after="0" w:line="20" w:lineRule="exact"/>
              <w:rPr>
                <w:sz w:val="1"/>
                <w:szCs w:val="1"/>
                <w:color w:val="auto"/>
              </w:rPr>
            </w:pPr>
          </w:p>
        </w:tc>
        <w:tc>
          <w:tcPr>
            <w:tcW w:w="1800" w:type="dxa"/>
            <w:vAlign w:val="bottom"/>
            <w:tcBorders>
              <w:right w:val="single" w:sz="8" w:color="0000EE"/>
            </w:tcBorders>
            <w:gridSpan w:val="5"/>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960" w:type="dxa"/>
            <w:vAlign w:val="bottom"/>
            <w:gridSpan w:val="23"/>
          </w:tcPr>
          <w:p>
            <w:pPr>
              <w:spacing w:after="0" w:line="196" w:lineRule="exact"/>
              <w:rPr>
                <w:rFonts w:ascii="Arial" w:cs="Arial" w:eastAsia="Arial" w:hAnsi="Arial"/>
                <w:sz w:val="18"/>
                <w:szCs w:val="18"/>
                <w:color w:val="0000EE"/>
                <w:w w:val="92"/>
              </w:rPr>
            </w:pPr>
            <w:hyperlink w:anchor="page160">
              <w:r>
                <w:rPr>
                  <w:rFonts w:ascii="Arial" w:cs="Arial" w:eastAsia="Arial" w:hAnsi="Arial"/>
                  <w:sz w:val="18"/>
                  <w:szCs w:val="18"/>
                  <w:color w:val="0000EE"/>
                  <w:w w:val="92"/>
                </w:rPr>
                <w:t>Officer pursuant to Rules 13a-14(a) and</w:t>
              </w:r>
            </w:hyperlink>
          </w:p>
        </w:tc>
      </w:tr>
      <w:tr>
        <w:trPr>
          <w:trHeight w:val="20"/>
        </w:trPr>
        <w:tc>
          <w:tcPr>
            <w:tcW w:w="1480" w:type="dxa"/>
            <w:vAlign w:val="bottom"/>
          </w:tcPr>
          <w:p>
            <w:pPr>
              <w:spacing w:after="0" w:line="20" w:lineRule="exact"/>
              <w:rPr>
                <w:sz w:val="1"/>
                <w:szCs w:val="1"/>
                <w:color w:val="auto"/>
              </w:rPr>
            </w:pPr>
          </w:p>
        </w:tc>
        <w:tc>
          <w:tcPr>
            <w:tcW w:w="1800" w:type="dxa"/>
            <w:vAlign w:val="bottom"/>
            <w:tcBorders>
              <w:right w:val="single" w:sz="8" w:color="0000EE"/>
            </w:tcBorders>
            <w:gridSpan w:val="5"/>
            <w:shd w:val="clear" w:color="auto" w:fill="0000EE"/>
          </w:tcPr>
          <w:p>
            <w:pPr>
              <w:spacing w:after="0" w:line="20" w:lineRule="exact"/>
              <w:rPr>
                <w:sz w:val="1"/>
                <w:szCs w:val="1"/>
                <w:color w:val="auto"/>
              </w:rPr>
            </w:pPr>
          </w:p>
        </w:tc>
        <w:tc>
          <w:tcPr>
            <w:tcW w:w="1060" w:type="dxa"/>
            <w:vAlign w:val="bottom"/>
            <w:gridSpan w:val="13"/>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94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160">
              <w:r>
                <w:rPr>
                  <w:rFonts w:ascii="Arial" w:cs="Arial" w:eastAsia="Arial" w:hAnsi="Arial"/>
                  <w:sz w:val="18"/>
                  <w:szCs w:val="18"/>
                  <w:color w:val="0000EE"/>
                  <w:w w:val="88"/>
                </w:rPr>
                <w:t>15d-14(a) under the Securities Exchange</w:t>
              </w:r>
            </w:hyperlink>
          </w:p>
        </w:tc>
        <w:tc>
          <w:tcPr>
            <w:tcW w:w="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960" w:type="dxa"/>
            <w:vAlign w:val="bottom"/>
            <w:gridSpan w:val="23"/>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Act of 1934, as amended</w:t>
              </w:r>
              <w:r>
                <w:rPr>
                  <w:rFonts w:ascii="Arial" w:cs="Arial" w:eastAsia="Arial" w:hAnsi="Arial"/>
                  <w:sz w:val="18"/>
                  <w:szCs w:val="18"/>
                  <w:u w:val="single" w:color="auto"/>
                  <w:color w:val="000000"/>
                </w:rPr>
                <w:t>.</w:t>
              </w:r>
            </w:hyperlink>
          </w:p>
        </w:tc>
      </w:tr>
      <w:tr>
        <w:trPr>
          <w:trHeight w:val="20"/>
        </w:trPr>
        <w:tc>
          <w:tcPr>
            <w:tcW w:w="1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ind w:left="20"/>
              <w:spacing w:after="0"/>
              <w:rPr>
                <w:sz w:val="20"/>
                <w:szCs w:val="20"/>
                <w:color w:val="auto"/>
              </w:rPr>
            </w:pPr>
            <w:r>
              <w:rPr>
                <w:rFonts w:ascii="Arial" w:cs="Arial" w:eastAsia="Arial" w:hAnsi="Arial"/>
                <w:sz w:val="18"/>
                <w:szCs w:val="18"/>
                <w:color w:val="auto"/>
              </w:rPr>
              <w:t>S-1</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333-238630</w:t>
            </w: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1720" w:type="dxa"/>
            <w:vAlign w:val="bottom"/>
          </w:tcPr>
          <w:p>
            <w:pPr>
              <w:jc w:val="center"/>
              <w:ind w:left="390"/>
              <w:spacing w:after="0"/>
              <w:rPr>
                <w:sz w:val="20"/>
                <w:szCs w:val="20"/>
                <w:color w:val="auto"/>
              </w:rPr>
            </w:pPr>
            <w:r>
              <w:rPr>
                <w:rFonts w:ascii="Arial" w:cs="Arial" w:eastAsia="Arial" w:hAnsi="Arial"/>
                <w:sz w:val="18"/>
                <w:szCs w:val="18"/>
                <w:color w:val="auto"/>
                <w:w w:val="91"/>
              </w:rPr>
              <w:t>May 22, 2020</w:t>
            </w:r>
          </w:p>
        </w:tc>
      </w:tr>
      <w:tr>
        <w:trPr>
          <w:trHeight w:val="1093"/>
        </w:trPr>
        <w:tc>
          <w:tcPr>
            <w:tcW w:w="800" w:type="dxa"/>
            <w:vAlign w:val="bottom"/>
          </w:tcPr>
          <w:p>
            <w:pPr>
              <w:ind w:left="20"/>
              <w:spacing w:after="0"/>
              <w:rPr>
                <w:sz w:val="20"/>
                <w:szCs w:val="20"/>
                <w:color w:val="auto"/>
              </w:rPr>
            </w:pPr>
            <w:r>
              <w:rPr>
                <w:rFonts w:ascii="Arial" w:cs="Arial" w:eastAsia="Arial" w:hAnsi="Arial"/>
                <w:sz w:val="18"/>
                <w:szCs w:val="18"/>
                <w:color w:val="auto"/>
              </w:rPr>
              <w:t>S-1</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333-238630</w:t>
            </w: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1720" w:type="dxa"/>
            <w:vAlign w:val="bottom"/>
          </w:tcPr>
          <w:p>
            <w:pPr>
              <w:jc w:val="center"/>
              <w:ind w:left="390"/>
              <w:spacing w:after="0"/>
              <w:rPr>
                <w:sz w:val="20"/>
                <w:szCs w:val="20"/>
                <w:color w:val="auto"/>
              </w:rPr>
            </w:pPr>
            <w:r>
              <w:rPr>
                <w:rFonts w:ascii="Arial" w:cs="Arial" w:eastAsia="Arial" w:hAnsi="Arial"/>
                <w:sz w:val="18"/>
                <w:szCs w:val="18"/>
                <w:color w:val="auto"/>
                <w:w w:val="91"/>
              </w:rPr>
              <w:t>May 22, 2020</w:t>
            </w:r>
          </w:p>
        </w:tc>
      </w:tr>
      <w:tr>
        <w:trPr>
          <w:trHeight w:val="1013"/>
        </w:trPr>
        <w:tc>
          <w:tcPr>
            <w:tcW w:w="800" w:type="dxa"/>
            <w:vAlign w:val="bottom"/>
          </w:tcPr>
          <w:p>
            <w:pPr>
              <w:ind w:left="20"/>
              <w:spacing w:after="0"/>
              <w:rPr>
                <w:sz w:val="20"/>
                <w:szCs w:val="20"/>
                <w:color w:val="auto"/>
              </w:rPr>
            </w:pPr>
            <w:r>
              <w:rPr>
                <w:rFonts w:ascii="Arial" w:cs="Arial" w:eastAsia="Arial" w:hAnsi="Arial"/>
                <w:sz w:val="18"/>
                <w:szCs w:val="18"/>
                <w:color w:val="auto"/>
              </w:rPr>
              <w:t>S-1</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333-238630</w:t>
            </w: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1720" w:type="dxa"/>
            <w:vAlign w:val="bottom"/>
          </w:tcPr>
          <w:p>
            <w:pPr>
              <w:jc w:val="center"/>
              <w:ind w:left="390"/>
              <w:spacing w:after="0"/>
              <w:rPr>
                <w:sz w:val="20"/>
                <w:szCs w:val="20"/>
                <w:color w:val="auto"/>
              </w:rPr>
            </w:pPr>
            <w:r>
              <w:rPr>
                <w:rFonts w:ascii="Arial" w:cs="Arial" w:eastAsia="Arial" w:hAnsi="Arial"/>
                <w:sz w:val="18"/>
                <w:szCs w:val="18"/>
                <w:color w:val="auto"/>
                <w:w w:val="91"/>
              </w:rPr>
              <w:t>May 22, 2020</w:t>
            </w:r>
          </w:p>
        </w:tc>
      </w:tr>
      <w:tr>
        <w:trPr>
          <w:trHeight w:val="1120"/>
        </w:trPr>
        <w:tc>
          <w:tcPr>
            <w:tcW w:w="800" w:type="dxa"/>
            <w:vAlign w:val="bottom"/>
          </w:tcPr>
          <w:p>
            <w:pPr>
              <w:ind w:left="20"/>
              <w:spacing w:after="0"/>
              <w:rPr>
                <w:sz w:val="20"/>
                <w:szCs w:val="20"/>
                <w:color w:val="auto"/>
              </w:rPr>
            </w:pPr>
            <w:r>
              <w:rPr>
                <w:rFonts w:ascii="Arial" w:cs="Arial" w:eastAsia="Arial" w:hAnsi="Arial"/>
                <w:sz w:val="18"/>
                <w:szCs w:val="18"/>
                <w:color w:val="auto"/>
              </w:rPr>
              <w:t>S-1</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333-238630</w:t>
            </w: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10.22</w:t>
            </w:r>
          </w:p>
        </w:tc>
        <w:tc>
          <w:tcPr>
            <w:tcW w:w="1720" w:type="dxa"/>
            <w:vAlign w:val="bottom"/>
          </w:tcPr>
          <w:p>
            <w:pPr>
              <w:jc w:val="center"/>
              <w:ind w:left="390"/>
              <w:spacing w:after="0"/>
              <w:rPr>
                <w:sz w:val="20"/>
                <w:szCs w:val="20"/>
                <w:color w:val="auto"/>
              </w:rPr>
            </w:pPr>
            <w:r>
              <w:rPr>
                <w:rFonts w:ascii="Arial" w:cs="Arial" w:eastAsia="Arial" w:hAnsi="Arial"/>
                <w:sz w:val="18"/>
                <w:szCs w:val="18"/>
                <w:color w:val="auto"/>
                <w:w w:val="91"/>
              </w:rPr>
              <w:t>May 22, 2020</w:t>
            </w:r>
          </w:p>
        </w:tc>
      </w:tr>
      <w:tr>
        <w:trPr>
          <w:trHeight w:val="1228"/>
        </w:trPr>
        <w:tc>
          <w:tcPr>
            <w:tcW w:w="800" w:type="dxa"/>
            <w:vAlign w:val="bottom"/>
          </w:tcPr>
          <w:p>
            <w:pPr>
              <w:ind w:left="20"/>
              <w:spacing w:after="0"/>
              <w:rPr>
                <w:sz w:val="20"/>
                <w:szCs w:val="20"/>
                <w:color w:val="auto"/>
              </w:rPr>
            </w:pPr>
            <w:r>
              <w:rPr>
                <w:rFonts w:ascii="Arial" w:cs="Arial" w:eastAsia="Arial" w:hAnsi="Arial"/>
                <w:sz w:val="18"/>
                <w:szCs w:val="18"/>
                <w:color w:val="auto"/>
              </w:rPr>
              <w:t>S-1</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333-238630</w:t>
            </w:r>
          </w:p>
        </w:tc>
        <w:tc>
          <w:tcPr>
            <w:tcW w:w="1320" w:type="dxa"/>
            <w:vAlign w:val="bottom"/>
          </w:tcPr>
          <w:p>
            <w:pPr>
              <w:jc w:val="center"/>
              <w:spacing w:after="0"/>
              <w:rPr>
                <w:sz w:val="20"/>
                <w:szCs w:val="20"/>
                <w:color w:val="auto"/>
              </w:rPr>
            </w:pPr>
            <w:r>
              <w:rPr>
                <w:rFonts w:ascii="Arial" w:cs="Arial" w:eastAsia="Arial" w:hAnsi="Arial"/>
                <w:sz w:val="18"/>
                <w:szCs w:val="18"/>
                <w:color w:val="auto"/>
                <w:w w:val="93"/>
              </w:rPr>
              <w:t>10.23</w:t>
            </w:r>
          </w:p>
        </w:tc>
        <w:tc>
          <w:tcPr>
            <w:tcW w:w="1720" w:type="dxa"/>
            <w:vAlign w:val="bottom"/>
          </w:tcPr>
          <w:p>
            <w:pPr>
              <w:jc w:val="center"/>
              <w:ind w:left="390"/>
              <w:spacing w:after="0"/>
              <w:rPr>
                <w:sz w:val="20"/>
                <w:szCs w:val="20"/>
                <w:color w:val="auto"/>
              </w:rPr>
            </w:pPr>
            <w:r>
              <w:rPr>
                <w:rFonts w:ascii="Arial" w:cs="Arial" w:eastAsia="Arial" w:hAnsi="Arial"/>
                <w:sz w:val="18"/>
                <w:szCs w:val="18"/>
                <w:color w:val="auto"/>
                <w:w w:val="91"/>
              </w:rPr>
              <w:t>May 22, 2020</w:t>
            </w:r>
          </w:p>
        </w:tc>
      </w:tr>
      <w:tr>
        <w:trPr>
          <w:trHeight w:val="905"/>
        </w:trPr>
        <w:tc>
          <w:tcPr>
            <w:tcW w:w="800" w:type="dxa"/>
            <w:vAlign w:val="bottom"/>
          </w:tcPr>
          <w:p>
            <w:pPr>
              <w:spacing w:after="0"/>
              <w:rPr>
                <w:sz w:val="20"/>
                <w:szCs w:val="20"/>
                <w:color w:val="auto"/>
              </w:rPr>
            </w:pPr>
            <w:r>
              <w:rPr>
                <w:rFonts w:ascii="Arial" w:cs="Arial" w:eastAsia="Arial" w:hAnsi="Arial"/>
                <w:sz w:val="18"/>
                <w:szCs w:val="18"/>
                <w:color w:val="auto"/>
              </w:rPr>
              <w:t>8-K</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001-39323</w:t>
            </w:r>
          </w:p>
        </w:tc>
        <w:tc>
          <w:tcPr>
            <w:tcW w:w="13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720" w:type="dxa"/>
            <w:vAlign w:val="bottom"/>
          </w:tcPr>
          <w:p>
            <w:pPr>
              <w:jc w:val="center"/>
              <w:ind w:left="390"/>
              <w:spacing w:after="0"/>
              <w:rPr>
                <w:sz w:val="20"/>
                <w:szCs w:val="20"/>
                <w:color w:val="auto"/>
              </w:rPr>
            </w:pPr>
            <w:r>
              <w:rPr>
                <w:rFonts w:ascii="Arial" w:cs="Arial" w:eastAsia="Arial" w:hAnsi="Arial"/>
                <w:sz w:val="18"/>
                <w:szCs w:val="18"/>
                <w:color w:val="auto"/>
                <w:w w:val="89"/>
              </w:rPr>
              <w:t>January 25, 2021</w:t>
            </w:r>
          </w:p>
        </w:tc>
      </w:tr>
    </w:tbl>
    <w:p>
      <w:pPr>
        <w:spacing w:after="0" w:line="35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X</w:t>
      </w:r>
    </w:p>
    <w:p>
      <w:pPr>
        <w:spacing w:after="0" w:line="37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440" w:space="700"/>
            <w:col w:w="6100"/>
          </w:cols>
          <w:pgMar w:left="320" w:top="333" w:right="339" w:bottom="144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185"/>
        </w:trPr>
        <w:tc>
          <w:tcPr>
            <w:tcW w:w="148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Exhibit</w:t>
            </w:r>
          </w:p>
        </w:tc>
        <w:tc>
          <w:tcPr>
            <w:tcW w:w="2980" w:type="dxa"/>
            <w:vAlign w:val="bottom"/>
            <w:gridSpan w:val="5"/>
            <w:vMerge w:val="restart"/>
          </w:tcPr>
          <w:p>
            <w:pPr>
              <w:ind w:left="1140"/>
              <w:spacing w:after="0"/>
              <w:rPr>
                <w:sz w:val="20"/>
                <w:szCs w:val="20"/>
                <w:color w:val="auto"/>
              </w:rPr>
            </w:pPr>
            <w:r>
              <w:rPr>
                <w:rFonts w:ascii="Arial" w:cs="Arial" w:eastAsia="Arial" w:hAnsi="Arial"/>
                <w:sz w:val="14"/>
                <w:szCs w:val="14"/>
                <w:b w:val="1"/>
                <w:bCs w:val="1"/>
                <w:color w:val="auto"/>
              </w:rPr>
              <w:t>Description</w:t>
            </w:r>
          </w:p>
        </w:tc>
        <w:tc>
          <w:tcPr>
            <w:tcW w:w="16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Incorporated by Reference</w:t>
            </w:r>
          </w:p>
        </w:tc>
        <w:tc>
          <w:tcPr>
            <w:tcW w:w="1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80" w:type="dxa"/>
            <w:vAlign w:val="bottom"/>
            <w:tcBorders>
              <w:bottom w:val="single" w:sz="8" w:color="auto"/>
            </w:tcBorders>
            <w:vMerge w:val="continue"/>
          </w:tcPr>
          <w:p>
            <w:pPr>
              <w:spacing w:after="0"/>
              <w:rPr>
                <w:sz w:val="13"/>
                <w:szCs w:val="13"/>
                <w:color w:val="auto"/>
              </w:rPr>
            </w:pPr>
          </w:p>
        </w:tc>
        <w:tc>
          <w:tcPr>
            <w:tcW w:w="2980" w:type="dxa"/>
            <w:vAlign w:val="bottom"/>
            <w:tcBorders>
              <w:bottom w:val="single" w:sz="8" w:color="auto"/>
            </w:tcBorders>
            <w:gridSpan w:val="5"/>
            <w:vMerge w:val="continue"/>
          </w:tcPr>
          <w:p>
            <w:pPr>
              <w:spacing w:after="0"/>
              <w:rPr>
                <w:sz w:val="13"/>
                <w:szCs w:val="13"/>
                <w:color w:val="auto"/>
              </w:rPr>
            </w:pPr>
          </w:p>
        </w:tc>
        <w:tc>
          <w:tcPr>
            <w:tcW w:w="1660" w:type="dxa"/>
            <w:vAlign w:val="bottom"/>
            <w:tcBorders>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Schedule/Form</w:t>
            </w:r>
          </w:p>
        </w:tc>
        <w:tc>
          <w:tcPr>
            <w:tcW w:w="1580" w:type="dxa"/>
            <w:vAlign w:val="bottom"/>
            <w:tcBorders>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File Number</w:t>
            </w:r>
          </w:p>
        </w:tc>
        <w:tc>
          <w:tcPr>
            <w:tcW w:w="1560" w:type="dxa"/>
            <w:vAlign w:val="bottom"/>
            <w:tcBorders>
              <w:bottom w:val="single" w:sz="8" w:color="auto"/>
            </w:tcBorders>
          </w:tcPr>
          <w:p>
            <w:pPr>
              <w:ind w:left="440"/>
              <w:spacing w:after="0" w:line="155" w:lineRule="exact"/>
              <w:rPr>
                <w:sz w:val="20"/>
                <w:szCs w:val="20"/>
                <w:color w:val="auto"/>
              </w:rPr>
            </w:pPr>
            <w:r>
              <w:rPr>
                <w:rFonts w:ascii="Arial" w:cs="Arial" w:eastAsia="Arial" w:hAnsi="Arial"/>
                <w:sz w:val="14"/>
                <w:szCs w:val="14"/>
                <w:b w:val="1"/>
                <w:bCs w:val="1"/>
                <w:color w:val="auto"/>
              </w:rPr>
              <w:t>Exhibits</w:t>
            </w:r>
          </w:p>
        </w:tc>
        <w:tc>
          <w:tcPr>
            <w:tcW w:w="1980" w:type="dxa"/>
            <w:vAlign w:val="bottom"/>
            <w:tcBorders>
              <w:bottom w:val="single" w:sz="8" w:color="auto"/>
            </w:tcBorders>
          </w:tcPr>
          <w:p>
            <w:pPr>
              <w:jc w:val="center"/>
              <w:ind w:right="59"/>
              <w:spacing w:after="0" w:line="155" w:lineRule="exact"/>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69"/>
        </w:trPr>
        <w:tc>
          <w:tcPr>
            <w:tcW w:w="1480" w:type="dxa"/>
            <w:vAlign w:val="bottom"/>
          </w:tcPr>
          <w:p>
            <w:pPr>
              <w:jc w:val="right"/>
              <w:ind w:right="1079"/>
              <w:spacing w:after="0" w:line="169" w:lineRule="exact"/>
              <w:rPr>
                <w:sz w:val="20"/>
                <w:szCs w:val="20"/>
                <w:color w:val="auto"/>
              </w:rPr>
            </w:pPr>
            <w:r>
              <w:rPr>
                <w:rFonts w:ascii="Arial" w:cs="Arial" w:eastAsia="Arial" w:hAnsi="Arial"/>
                <w:sz w:val="18"/>
                <w:szCs w:val="18"/>
                <w:color w:val="auto"/>
                <w:w w:val="85"/>
              </w:rPr>
              <w:t>31.2</w:t>
            </w:r>
          </w:p>
        </w:tc>
        <w:tc>
          <w:tcPr>
            <w:tcW w:w="2520" w:type="dxa"/>
            <w:vAlign w:val="bottom"/>
            <w:tcBorders>
              <w:bottom w:val="single" w:sz="8" w:color="0000EE"/>
            </w:tcBorders>
            <w:gridSpan w:val="2"/>
          </w:tcPr>
          <w:p>
            <w:pPr>
              <w:spacing w:after="0" w:line="169" w:lineRule="exact"/>
              <w:rPr>
                <w:rFonts w:ascii="Arial" w:cs="Arial" w:eastAsia="Arial" w:hAnsi="Arial"/>
                <w:sz w:val="18"/>
                <w:szCs w:val="18"/>
                <w:color w:val="0000EE"/>
                <w:w w:val="93"/>
              </w:rPr>
            </w:pPr>
            <w:hyperlink w:anchor="page161">
              <w:r>
                <w:rPr>
                  <w:rFonts w:ascii="Arial" w:cs="Arial" w:eastAsia="Arial" w:hAnsi="Arial"/>
                  <w:sz w:val="18"/>
                  <w:szCs w:val="18"/>
                  <w:color w:val="0000EE"/>
                  <w:w w:val="93"/>
                </w:rPr>
                <w:t>Certification of Principal Financial</w:t>
              </w:r>
            </w:hyperlink>
          </w:p>
        </w:tc>
        <w:tc>
          <w:tcPr>
            <w:tcW w:w="460" w:type="dxa"/>
            <w:vAlign w:val="bottom"/>
            <w:gridSpan w:val="3"/>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80" w:type="dxa"/>
            <w:vAlign w:val="bottom"/>
          </w:tcPr>
          <w:p>
            <w:pPr>
              <w:jc w:val="center"/>
              <w:ind w:right="39"/>
              <w:spacing w:after="0" w:line="16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2980" w:type="dxa"/>
            <w:vAlign w:val="bottom"/>
            <w:gridSpan w:val="5"/>
          </w:tcPr>
          <w:p>
            <w:pPr>
              <w:spacing w:after="0" w:line="196" w:lineRule="exact"/>
              <w:rPr>
                <w:rFonts w:ascii="Arial" w:cs="Arial" w:eastAsia="Arial" w:hAnsi="Arial"/>
                <w:sz w:val="18"/>
                <w:szCs w:val="18"/>
                <w:color w:val="0000EE"/>
                <w:w w:val="93"/>
              </w:rPr>
            </w:pPr>
            <w:hyperlink w:anchor="page161">
              <w:r>
                <w:rPr>
                  <w:rFonts w:ascii="Arial" w:cs="Arial" w:eastAsia="Arial" w:hAnsi="Arial"/>
                  <w:sz w:val="18"/>
                  <w:szCs w:val="18"/>
                  <w:color w:val="0000EE"/>
                  <w:w w:val="93"/>
                </w:rPr>
                <w:t>Officer pursuant to Rules 13a-14(a) and</w:t>
              </w:r>
            </w:hyperlink>
          </w:p>
        </w:tc>
        <w:tc>
          <w:tcPr>
            <w:tcW w:w="1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9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61">
              <w:r>
                <w:rPr>
                  <w:rFonts w:ascii="Arial" w:cs="Arial" w:eastAsia="Arial" w:hAnsi="Arial"/>
                  <w:sz w:val="18"/>
                  <w:szCs w:val="18"/>
                  <w:color w:val="0000EE"/>
                  <w:w w:val="88"/>
                </w:rPr>
                <w:t>15d-14(a) under the Securities Exchange</w:t>
              </w:r>
            </w:hyperlink>
          </w:p>
        </w:tc>
        <w:tc>
          <w:tcPr>
            <w:tcW w:w="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2980" w:type="dxa"/>
            <w:vAlign w:val="bottom"/>
            <w:gridSpan w:val="5"/>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Act of 1934, as amended</w:t>
              </w:r>
              <w:r>
                <w:rPr>
                  <w:rFonts w:ascii="Arial" w:cs="Arial" w:eastAsia="Arial" w:hAnsi="Arial"/>
                  <w:sz w:val="18"/>
                  <w:szCs w:val="18"/>
                  <w:u w:val="single" w:color="auto"/>
                  <w:color w:val="000000"/>
                </w:rPr>
                <w:t>.</w:t>
              </w:r>
            </w:hyperlink>
          </w:p>
        </w:tc>
        <w:tc>
          <w:tcPr>
            <w:tcW w:w="1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rPr>
              <w:t>32.1</w:t>
            </w:r>
          </w:p>
        </w:tc>
        <w:tc>
          <w:tcPr>
            <w:tcW w:w="2980" w:type="dxa"/>
            <w:vAlign w:val="bottom"/>
            <w:gridSpan w:val="5"/>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Certification of Principal Executive</w:t>
              </w:r>
            </w:hyperlink>
          </w:p>
        </w:tc>
      </w:tr>
      <w:tr>
        <w:trPr>
          <w:trHeight w:val="20"/>
        </w:trPr>
        <w:tc>
          <w:tcPr>
            <w:tcW w:w="1480" w:type="dxa"/>
            <w:vAlign w:val="bottom"/>
          </w:tcPr>
          <w:p>
            <w:pPr>
              <w:spacing w:after="0" w:line="20" w:lineRule="exact"/>
              <w:rPr>
                <w:sz w:val="1"/>
                <w:szCs w:val="1"/>
                <w:color w:val="auto"/>
              </w:rPr>
            </w:pPr>
          </w:p>
        </w:tc>
        <w:tc>
          <w:tcPr>
            <w:tcW w:w="25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7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62">
              <w:r>
                <w:rPr>
                  <w:rFonts w:ascii="Arial" w:cs="Arial" w:eastAsia="Arial" w:hAnsi="Arial"/>
                  <w:sz w:val="18"/>
                  <w:szCs w:val="18"/>
                  <w:color w:val="0000EE"/>
                  <w:w w:val="90"/>
                </w:rPr>
                <w:t>Officer Pursuant to 13a-14(b) or 15d-</w:t>
              </w:r>
            </w:hyperlink>
          </w:p>
        </w:tc>
        <w:tc>
          <w:tcPr>
            <w:tcW w:w="280" w:type="dxa"/>
            <w:vAlign w:val="bottom"/>
            <w:gridSpan w:val="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980" w:type="dxa"/>
            <w:vAlign w:val="bottom"/>
            <w:gridSpan w:val="5"/>
          </w:tcPr>
          <w:p>
            <w:pPr>
              <w:spacing w:after="0" w:line="196" w:lineRule="exact"/>
              <w:rPr>
                <w:rFonts w:ascii="Arial" w:cs="Arial" w:eastAsia="Arial" w:hAnsi="Arial"/>
                <w:sz w:val="18"/>
                <w:szCs w:val="18"/>
                <w:color w:val="0000EE"/>
                <w:w w:val="92"/>
              </w:rPr>
            </w:pPr>
            <w:hyperlink w:anchor="page162">
              <w:r>
                <w:rPr>
                  <w:rFonts w:ascii="Arial" w:cs="Arial" w:eastAsia="Arial" w:hAnsi="Arial"/>
                  <w:sz w:val="18"/>
                  <w:szCs w:val="18"/>
                  <w:color w:val="0000EE"/>
                  <w:w w:val="92"/>
                </w:rPr>
                <w:t>14(b) of the Securities Exchange Act, as</w:t>
              </w:r>
            </w:hyperlink>
          </w:p>
        </w:tc>
      </w:tr>
      <w:tr>
        <w:trPr>
          <w:trHeight w:val="196"/>
        </w:trPr>
        <w:tc>
          <w:tcPr>
            <w:tcW w:w="1480" w:type="dxa"/>
            <w:vAlign w:val="bottom"/>
          </w:tcPr>
          <w:p>
            <w:pPr>
              <w:spacing w:after="0"/>
              <w:rPr>
                <w:sz w:val="17"/>
                <w:szCs w:val="17"/>
                <w:color w:val="auto"/>
              </w:rPr>
            </w:pPr>
          </w:p>
        </w:tc>
        <w:tc>
          <w:tcPr>
            <w:tcW w:w="2900" w:type="dxa"/>
            <w:vAlign w:val="bottom"/>
            <w:tcBorders>
              <w:top w:val="single" w:sz="8" w:color="0000EE"/>
            </w:tcBorders>
            <w:gridSpan w:val="4"/>
          </w:tcPr>
          <w:p>
            <w:pPr>
              <w:spacing w:after="0" w:line="196" w:lineRule="exact"/>
              <w:rPr>
                <w:rFonts w:ascii="Arial" w:cs="Arial" w:eastAsia="Arial" w:hAnsi="Arial"/>
                <w:sz w:val="18"/>
                <w:szCs w:val="18"/>
                <w:color w:val="0000EE"/>
                <w:w w:val="91"/>
              </w:rPr>
            </w:pPr>
            <w:hyperlink w:anchor="page162">
              <w:r>
                <w:rPr>
                  <w:rFonts w:ascii="Arial" w:cs="Arial" w:eastAsia="Arial" w:hAnsi="Arial"/>
                  <w:sz w:val="18"/>
                  <w:szCs w:val="18"/>
                  <w:color w:val="0000EE"/>
                  <w:w w:val="91"/>
                </w:rPr>
                <w:t>amended, and 18 U.S.C. Section 1350</w:t>
              </w:r>
              <w:r>
                <w:rPr>
                  <w:rFonts w:ascii="Arial" w:cs="Arial" w:eastAsia="Arial" w:hAnsi="Arial"/>
                  <w:sz w:val="18"/>
                  <w:szCs w:val="18"/>
                  <w:u w:val="single" w:color="auto"/>
                  <w:color w:val="000000"/>
                  <w:w w:val="91"/>
                </w:rPr>
                <w:t>.</w:t>
              </w:r>
            </w:hyperlink>
          </w:p>
        </w:tc>
        <w:tc>
          <w:tcPr>
            <w:tcW w:w="80" w:type="dxa"/>
            <w:vAlign w:val="bottom"/>
          </w:tcPr>
          <w:p>
            <w:pPr>
              <w:spacing w:after="0"/>
              <w:rPr>
                <w:sz w:val="17"/>
                <w:szCs w:val="17"/>
                <w:color w:val="auto"/>
              </w:rPr>
            </w:pPr>
          </w:p>
        </w:tc>
      </w:t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32.2</w:t>
            </w:r>
          </w:p>
        </w:tc>
        <w:tc>
          <w:tcPr>
            <w:tcW w:w="256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163">
              <w:r>
                <w:rPr>
                  <w:rFonts w:ascii="Arial" w:cs="Arial" w:eastAsia="Arial" w:hAnsi="Arial"/>
                  <w:sz w:val="18"/>
                  <w:szCs w:val="18"/>
                  <w:color w:val="0000EE"/>
                  <w:w w:val="94"/>
                </w:rPr>
                <w:t>Certification of Principal Financial</w:t>
              </w:r>
            </w:hyperlink>
          </w:p>
        </w:tc>
        <w:tc>
          <w:tcPr>
            <w:tcW w:w="180" w:type="dxa"/>
            <w:vAlign w:val="bottom"/>
            <w:tcBorders>
              <w:top w:val="single" w:sz="8" w:color="0000EE"/>
            </w:tcBorders>
            <w:gridSpan w:val="2"/>
          </w:tcPr>
          <w:p>
            <w:pPr>
              <w:spacing w:after="0"/>
              <w:rPr>
                <w:sz w:val="20"/>
                <w:szCs w:val="20"/>
                <w:color w:val="auto"/>
              </w:rPr>
            </w:pPr>
          </w:p>
        </w:tc>
        <w:tc>
          <w:tcPr>
            <w:tcW w:w="240" w:type="dxa"/>
            <w:vAlign w:val="bottom"/>
            <w:gridSpan w:val="2"/>
          </w:tcPr>
          <w:p>
            <w:pPr>
              <w:spacing w:after="0"/>
              <w:rPr>
                <w:sz w:val="20"/>
                <w:szCs w:val="20"/>
                <w:color w:val="auto"/>
              </w:rPr>
            </w:pPr>
          </w:p>
        </w:tc>
      </w:tr>
      <w:tr>
        <w:trPr>
          <w:trHeight w:val="196"/>
        </w:trPr>
        <w:tc>
          <w:tcPr>
            <w:tcW w:w="1480" w:type="dxa"/>
            <w:vAlign w:val="bottom"/>
          </w:tcPr>
          <w:p>
            <w:pPr>
              <w:spacing w:after="0"/>
              <w:rPr>
                <w:sz w:val="17"/>
                <w:szCs w:val="17"/>
                <w:color w:val="auto"/>
              </w:rPr>
            </w:pPr>
          </w:p>
        </w:tc>
        <w:tc>
          <w:tcPr>
            <w:tcW w:w="27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63">
              <w:r>
                <w:rPr>
                  <w:rFonts w:ascii="Arial" w:cs="Arial" w:eastAsia="Arial" w:hAnsi="Arial"/>
                  <w:sz w:val="18"/>
                  <w:szCs w:val="18"/>
                  <w:color w:val="0000EE"/>
                  <w:w w:val="90"/>
                </w:rPr>
                <w:t>Officer Pursuant to 13a-14(b) or 15d-</w:t>
              </w:r>
            </w:hyperlink>
          </w:p>
        </w:tc>
        <w:tc>
          <w:tcPr>
            <w:tcW w:w="280" w:type="dxa"/>
            <w:vAlign w:val="bottom"/>
            <w:gridSpan w:val="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980" w:type="dxa"/>
            <w:vAlign w:val="bottom"/>
            <w:gridSpan w:val="5"/>
          </w:tcPr>
          <w:p>
            <w:pPr>
              <w:spacing w:after="0" w:line="196" w:lineRule="exact"/>
              <w:rPr>
                <w:rFonts w:ascii="Arial" w:cs="Arial" w:eastAsia="Arial" w:hAnsi="Arial"/>
                <w:sz w:val="18"/>
                <w:szCs w:val="18"/>
                <w:color w:val="0000EE"/>
                <w:w w:val="92"/>
              </w:rPr>
            </w:pPr>
            <w:hyperlink w:anchor="page163">
              <w:r>
                <w:rPr>
                  <w:rFonts w:ascii="Arial" w:cs="Arial" w:eastAsia="Arial" w:hAnsi="Arial"/>
                  <w:sz w:val="18"/>
                  <w:szCs w:val="18"/>
                  <w:color w:val="0000EE"/>
                  <w:w w:val="92"/>
                </w:rPr>
                <w:t>14(b) of the Securities Exchange Act, as</w:t>
              </w:r>
            </w:hyperlink>
          </w:p>
        </w:tc>
      </w:tr>
      <w:tr>
        <w:trPr>
          <w:trHeight w:val="196"/>
        </w:trPr>
        <w:tc>
          <w:tcPr>
            <w:tcW w:w="1480" w:type="dxa"/>
            <w:vAlign w:val="bottom"/>
          </w:tcPr>
          <w:p>
            <w:pPr>
              <w:spacing w:after="0"/>
              <w:rPr>
                <w:sz w:val="17"/>
                <w:szCs w:val="17"/>
                <w:color w:val="auto"/>
              </w:rPr>
            </w:pPr>
          </w:p>
        </w:tc>
        <w:tc>
          <w:tcPr>
            <w:tcW w:w="2900" w:type="dxa"/>
            <w:vAlign w:val="bottom"/>
            <w:tcBorders>
              <w:top w:val="single" w:sz="8" w:color="0000EE"/>
            </w:tcBorders>
            <w:gridSpan w:val="4"/>
          </w:tcPr>
          <w:p>
            <w:pPr>
              <w:spacing w:after="0" w:line="196" w:lineRule="exact"/>
              <w:rPr>
                <w:rFonts w:ascii="Arial" w:cs="Arial" w:eastAsia="Arial" w:hAnsi="Arial"/>
                <w:sz w:val="18"/>
                <w:szCs w:val="18"/>
                <w:color w:val="0000EE"/>
                <w:w w:val="91"/>
              </w:rPr>
            </w:pPr>
            <w:hyperlink w:anchor="page163">
              <w:r>
                <w:rPr>
                  <w:rFonts w:ascii="Arial" w:cs="Arial" w:eastAsia="Arial" w:hAnsi="Arial"/>
                  <w:sz w:val="18"/>
                  <w:szCs w:val="18"/>
                  <w:color w:val="0000EE"/>
                  <w:w w:val="91"/>
                </w:rPr>
                <w:t>amended, and 18 U.S.C. Section 1350</w:t>
              </w:r>
              <w:r>
                <w:rPr>
                  <w:rFonts w:ascii="Arial" w:cs="Arial" w:eastAsia="Arial" w:hAnsi="Arial"/>
                  <w:sz w:val="18"/>
                  <w:szCs w:val="18"/>
                  <w:u w:val="single" w:color="auto"/>
                  <w:color w:val="000000"/>
                  <w:w w:val="91"/>
                </w:rPr>
                <w:t>.</w:t>
              </w:r>
            </w:hyperlink>
          </w:p>
        </w:tc>
        <w:tc>
          <w:tcPr>
            <w:tcW w:w="8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63"/>
        </w:trPr>
        <w:tc>
          <w:tcPr>
            <w:tcW w:w="1480" w:type="dxa"/>
            <w:vAlign w:val="bottom"/>
          </w:tcPr>
          <w:p>
            <w:pPr>
              <w:spacing w:after="0"/>
              <w:rPr>
                <w:sz w:val="20"/>
                <w:szCs w:val="20"/>
                <w:color w:val="auto"/>
              </w:rPr>
            </w:pPr>
            <w:r>
              <w:rPr>
                <w:rFonts w:ascii="Arial" w:cs="Arial" w:eastAsia="Arial" w:hAnsi="Arial"/>
                <w:sz w:val="18"/>
                <w:szCs w:val="18"/>
                <w:color w:val="auto"/>
              </w:rPr>
              <w:t>101.INS</w:t>
            </w:r>
          </w:p>
        </w:tc>
        <w:tc>
          <w:tcPr>
            <w:tcW w:w="2980" w:type="dxa"/>
            <w:vAlign w:val="bottom"/>
            <w:gridSpan w:val="5"/>
          </w:tcPr>
          <w:p>
            <w:pPr>
              <w:spacing w:after="0"/>
              <w:rPr>
                <w:sz w:val="20"/>
                <w:szCs w:val="20"/>
                <w:color w:val="auto"/>
              </w:rPr>
            </w:pPr>
            <w:r>
              <w:rPr>
                <w:rFonts w:ascii="Arial" w:cs="Arial" w:eastAsia="Arial" w:hAnsi="Arial"/>
                <w:sz w:val="18"/>
                <w:szCs w:val="18"/>
                <w:color w:val="auto"/>
                <w:w w:val="98"/>
              </w:rPr>
              <w:t>Inline XBRL Instance Document – the</w:t>
            </w:r>
          </w:p>
        </w:tc>
      </w:tr>
      <w:tr>
        <w:trPr>
          <w:trHeight w:val="216"/>
        </w:trPr>
        <w:tc>
          <w:tcPr>
            <w:tcW w:w="1480" w:type="dxa"/>
            <w:vAlign w:val="bottom"/>
          </w:tcPr>
          <w:p>
            <w:pPr>
              <w:spacing w:after="0"/>
              <w:rPr>
                <w:sz w:val="18"/>
                <w:szCs w:val="18"/>
                <w:color w:val="auto"/>
              </w:rPr>
            </w:pPr>
          </w:p>
        </w:tc>
        <w:tc>
          <w:tcPr>
            <w:tcW w:w="2980" w:type="dxa"/>
            <w:vAlign w:val="bottom"/>
            <w:gridSpan w:val="5"/>
          </w:tcPr>
          <w:p>
            <w:pPr>
              <w:spacing w:after="0"/>
              <w:rPr>
                <w:sz w:val="20"/>
                <w:szCs w:val="20"/>
                <w:color w:val="auto"/>
              </w:rPr>
            </w:pPr>
            <w:r>
              <w:rPr>
                <w:rFonts w:ascii="Arial" w:cs="Arial" w:eastAsia="Arial" w:hAnsi="Arial"/>
                <w:sz w:val="18"/>
                <w:szCs w:val="18"/>
                <w:color w:val="auto"/>
                <w:w w:val="88"/>
              </w:rPr>
              <w:t>instance document does not appear in the</w:t>
            </w:r>
          </w:p>
        </w:tc>
      </w:tr>
      <w:tr>
        <w:trPr>
          <w:trHeight w:val="216"/>
        </w:trPr>
        <w:tc>
          <w:tcPr>
            <w:tcW w:w="1480" w:type="dxa"/>
            <w:vAlign w:val="bottom"/>
          </w:tcPr>
          <w:p>
            <w:pPr>
              <w:spacing w:after="0"/>
              <w:rPr>
                <w:sz w:val="18"/>
                <w:szCs w:val="18"/>
                <w:color w:val="auto"/>
              </w:rPr>
            </w:pPr>
          </w:p>
        </w:tc>
        <w:tc>
          <w:tcPr>
            <w:tcW w:w="2980" w:type="dxa"/>
            <w:vAlign w:val="bottom"/>
            <w:gridSpan w:val="5"/>
          </w:tcPr>
          <w:p>
            <w:pPr>
              <w:spacing w:after="0"/>
              <w:rPr>
                <w:sz w:val="20"/>
                <w:szCs w:val="20"/>
                <w:color w:val="auto"/>
              </w:rPr>
            </w:pPr>
            <w:r>
              <w:rPr>
                <w:rFonts w:ascii="Arial" w:cs="Arial" w:eastAsia="Arial" w:hAnsi="Arial"/>
                <w:sz w:val="18"/>
                <w:szCs w:val="18"/>
                <w:color w:val="auto"/>
                <w:w w:val="91"/>
              </w:rPr>
              <w:t>Interactive Data File because XBRL tags</w:t>
            </w:r>
          </w:p>
        </w:tc>
      </w:tr>
      <w:tr>
        <w:trPr>
          <w:trHeight w:val="216"/>
        </w:trPr>
        <w:tc>
          <w:tcPr>
            <w:tcW w:w="1480" w:type="dxa"/>
            <w:vAlign w:val="bottom"/>
          </w:tcPr>
          <w:p>
            <w:pPr>
              <w:spacing w:after="0"/>
              <w:rPr>
                <w:sz w:val="18"/>
                <w:szCs w:val="18"/>
                <w:color w:val="auto"/>
              </w:rPr>
            </w:pPr>
          </w:p>
        </w:tc>
        <w:tc>
          <w:tcPr>
            <w:tcW w:w="2980" w:type="dxa"/>
            <w:vAlign w:val="bottom"/>
            <w:gridSpan w:val="5"/>
          </w:tcPr>
          <w:p>
            <w:pPr>
              <w:spacing w:after="0"/>
              <w:rPr>
                <w:sz w:val="20"/>
                <w:szCs w:val="20"/>
                <w:color w:val="auto"/>
              </w:rPr>
            </w:pPr>
            <w:r>
              <w:rPr>
                <w:rFonts w:ascii="Arial" w:cs="Arial" w:eastAsia="Arial" w:hAnsi="Arial"/>
                <w:sz w:val="18"/>
                <w:szCs w:val="18"/>
                <w:color w:val="auto"/>
                <w:w w:val="99"/>
              </w:rPr>
              <w:t>are embedded within the Inline XBRL</w:t>
            </w:r>
          </w:p>
        </w:tc>
      </w:tr>
      <w:tr>
        <w:trPr>
          <w:trHeight w:val="230"/>
        </w:trPr>
        <w:tc>
          <w:tcPr>
            <w:tcW w:w="1480" w:type="dxa"/>
            <w:vAlign w:val="bottom"/>
          </w:tcPr>
          <w:p>
            <w:pPr>
              <w:spacing w:after="0"/>
              <w:rPr>
                <w:sz w:val="20"/>
                <w:szCs w:val="20"/>
                <w:color w:val="auto"/>
              </w:rPr>
            </w:pPr>
          </w:p>
        </w:tc>
        <w:tc>
          <w:tcPr>
            <w:tcW w:w="2980" w:type="dxa"/>
            <w:vAlign w:val="bottom"/>
            <w:gridSpan w:val="5"/>
          </w:tcPr>
          <w:p>
            <w:pPr>
              <w:spacing w:after="0"/>
              <w:rPr>
                <w:sz w:val="20"/>
                <w:szCs w:val="20"/>
                <w:color w:val="auto"/>
              </w:rPr>
            </w:pPr>
            <w:r>
              <w:rPr>
                <w:rFonts w:ascii="Arial" w:cs="Arial" w:eastAsia="Arial" w:hAnsi="Arial"/>
                <w:sz w:val="18"/>
                <w:szCs w:val="18"/>
                <w:color w:val="auto"/>
              </w:rPr>
              <w:t>document.</w:t>
            </w:r>
          </w:p>
        </w:tc>
      </w:tr>
      <w:tr>
        <w:trPr>
          <w:trHeight w:val="242"/>
        </w:trPr>
        <w:tc>
          <w:tcPr>
            <w:tcW w:w="1480" w:type="dxa"/>
            <w:vAlign w:val="bottom"/>
          </w:tcPr>
          <w:p>
            <w:pPr>
              <w:spacing w:after="0"/>
              <w:rPr>
                <w:sz w:val="20"/>
                <w:szCs w:val="20"/>
                <w:color w:val="auto"/>
              </w:rPr>
            </w:pPr>
            <w:r>
              <w:rPr>
                <w:rFonts w:ascii="Arial" w:cs="Arial" w:eastAsia="Arial" w:hAnsi="Arial"/>
                <w:sz w:val="18"/>
                <w:szCs w:val="18"/>
                <w:color w:val="auto"/>
              </w:rPr>
              <w:t>101.SCH</w:t>
            </w:r>
          </w:p>
        </w:tc>
        <w:tc>
          <w:tcPr>
            <w:tcW w:w="2980" w:type="dxa"/>
            <w:vAlign w:val="bottom"/>
            <w:gridSpan w:val="5"/>
          </w:tcPr>
          <w:p>
            <w:pPr>
              <w:spacing w:after="0"/>
              <w:rPr>
                <w:sz w:val="20"/>
                <w:szCs w:val="20"/>
                <w:color w:val="auto"/>
              </w:rPr>
            </w:pPr>
            <w:r>
              <w:rPr>
                <w:rFonts w:ascii="Arial" w:cs="Arial" w:eastAsia="Arial" w:hAnsi="Arial"/>
                <w:sz w:val="18"/>
                <w:szCs w:val="18"/>
                <w:color w:val="auto"/>
              </w:rPr>
              <w:t>Inline XBRL Taxonomy Extension</w:t>
            </w:r>
          </w:p>
        </w:tc>
      </w:tr>
      <w:tr>
        <w:trPr>
          <w:trHeight w:val="230"/>
        </w:trPr>
        <w:tc>
          <w:tcPr>
            <w:tcW w:w="1480" w:type="dxa"/>
            <w:vAlign w:val="bottom"/>
          </w:tcPr>
          <w:p>
            <w:pPr>
              <w:spacing w:after="0"/>
              <w:rPr>
                <w:sz w:val="20"/>
                <w:szCs w:val="20"/>
                <w:color w:val="auto"/>
              </w:rPr>
            </w:pPr>
          </w:p>
        </w:tc>
        <w:tc>
          <w:tcPr>
            <w:tcW w:w="2980" w:type="dxa"/>
            <w:vAlign w:val="bottom"/>
            <w:gridSpan w:val="5"/>
          </w:tcPr>
          <w:p>
            <w:pPr>
              <w:spacing w:after="0"/>
              <w:rPr>
                <w:sz w:val="20"/>
                <w:szCs w:val="20"/>
                <w:color w:val="auto"/>
              </w:rPr>
            </w:pPr>
            <w:r>
              <w:rPr>
                <w:rFonts w:ascii="Arial" w:cs="Arial" w:eastAsia="Arial" w:hAnsi="Arial"/>
                <w:sz w:val="18"/>
                <w:szCs w:val="18"/>
                <w:color w:val="auto"/>
              </w:rPr>
              <w:t>Schema Document</w:t>
            </w:r>
          </w:p>
        </w:tc>
      </w:tr>
      <w:tr>
        <w:trPr>
          <w:trHeight w:val="242"/>
        </w:trPr>
        <w:tc>
          <w:tcPr>
            <w:tcW w:w="1480" w:type="dxa"/>
            <w:vAlign w:val="bottom"/>
          </w:tcPr>
          <w:p>
            <w:pPr>
              <w:spacing w:after="0"/>
              <w:rPr>
                <w:sz w:val="20"/>
                <w:szCs w:val="20"/>
                <w:color w:val="auto"/>
              </w:rPr>
            </w:pPr>
            <w:r>
              <w:rPr>
                <w:rFonts w:ascii="Arial" w:cs="Arial" w:eastAsia="Arial" w:hAnsi="Arial"/>
                <w:sz w:val="18"/>
                <w:szCs w:val="18"/>
                <w:color w:val="auto"/>
              </w:rPr>
              <w:t>101.CAL</w:t>
            </w:r>
          </w:p>
        </w:tc>
        <w:tc>
          <w:tcPr>
            <w:tcW w:w="2980" w:type="dxa"/>
            <w:vAlign w:val="bottom"/>
            <w:gridSpan w:val="5"/>
          </w:tcPr>
          <w:p>
            <w:pPr>
              <w:spacing w:after="0"/>
              <w:rPr>
                <w:sz w:val="20"/>
                <w:szCs w:val="20"/>
                <w:color w:val="auto"/>
              </w:rPr>
            </w:pPr>
            <w:r>
              <w:rPr>
                <w:rFonts w:ascii="Arial" w:cs="Arial" w:eastAsia="Arial" w:hAnsi="Arial"/>
                <w:sz w:val="18"/>
                <w:szCs w:val="18"/>
                <w:color w:val="auto"/>
              </w:rPr>
              <w:t>Inline XBRL Taxonomy Extension</w:t>
            </w:r>
          </w:p>
        </w:tc>
      </w:tr>
      <w:tr>
        <w:trPr>
          <w:trHeight w:val="230"/>
        </w:trPr>
        <w:tc>
          <w:tcPr>
            <w:tcW w:w="1480" w:type="dxa"/>
            <w:vAlign w:val="bottom"/>
          </w:tcPr>
          <w:p>
            <w:pPr>
              <w:spacing w:after="0"/>
              <w:rPr>
                <w:sz w:val="20"/>
                <w:szCs w:val="20"/>
                <w:color w:val="auto"/>
              </w:rPr>
            </w:pPr>
          </w:p>
        </w:tc>
        <w:tc>
          <w:tcPr>
            <w:tcW w:w="2980" w:type="dxa"/>
            <w:vAlign w:val="bottom"/>
            <w:gridSpan w:val="5"/>
          </w:tcPr>
          <w:p>
            <w:pPr>
              <w:spacing w:after="0"/>
              <w:rPr>
                <w:sz w:val="20"/>
                <w:szCs w:val="20"/>
                <w:color w:val="auto"/>
              </w:rPr>
            </w:pPr>
            <w:r>
              <w:rPr>
                <w:rFonts w:ascii="Arial" w:cs="Arial" w:eastAsia="Arial" w:hAnsi="Arial"/>
                <w:sz w:val="18"/>
                <w:szCs w:val="18"/>
                <w:color w:val="auto"/>
              </w:rPr>
              <w:t>Calculation Linkbase Document</w:t>
            </w:r>
          </w:p>
        </w:tc>
      </w:tr>
      <w:tr>
        <w:trPr>
          <w:trHeight w:val="242"/>
        </w:trPr>
        <w:tc>
          <w:tcPr>
            <w:tcW w:w="1480" w:type="dxa"/>
            <w:vAlign w:val="bottom"/>
          </w:tcPr>
          <w:p>
            <w:pPr>
              <w:spacing w:after="0"/>
              <w:rPr>
                <w:sz w:val="20"/>
                <w:szCs w:val="20"/>
                <w:color w:val="auto"/>
              </w:rPr>
            </w:pPr>
            <w:r>
              <w:rPr>
                <w:rFonts w:ascii="Arial" w:cs="Arial" w:eastAsia="Arial" w:hAnsi="Arial"/>
                <w:sz w:val="18"/>
                <w:szCs w:val="18"/>
                <w:color w:val="auto"/>
              </w:rPr>
              <w:t>101.DEF</w:t>
            </w:r>
          </w:p>
        </w:tc>
        <w:tc>
          <w:tcPr>
            <w:tcW w:w="2980" w:type="dxa"/>
            <w:vAlign w:val="bottom"/>
            <w:gridSpan w:val="5"/>
          </w:tcPr>
          <w:p>
            <w:pPr>
              <w:spacing w:after="0"/>
              <w:rPr>
                <w:sz w:val="20"/>
                <w:szCs w:val="20"/>
                <w:color w:val="auto"/>
              </w:rPr>
            </w:pPr>
            <w:r>
              <w:rPr>
                <w:rFonts w:ascii="Arial" w:cs="Arial" w:eastAsia="Arial" w:hAnsi="Arial"/>
                <w:sz w:val="18"/>
                <w:szCs w:val="18"/>
                <w:color w:val="auto"/>
              </w:rPr>
              <w:t>Inline XBRL Taxonomy Extension</w:t>
            </w:r>
          </w:p>
        </w:tc>
      </w:tr>
      <w:tr>
        <w:trPr>
          <w:trHeight w:val="230"/>
        </w:trPr>
        <w:tc>
          <w:tcPr>
            <w:tcW w:w="1480" w:type="dxa"/>
            <w:vAlign w:val="bottom"/>
          </w:tcPr>
          <w:p>
            <w:pPr>
              <w:spacing w:after="0"/>
              <w:rPr>
                <w:sz w:val="20"/>
                <w:szCs w:val="20"/>
                <w:color w:val="auto"/>
              </w:rPr>
            </w:pPr>
          </w:p>
        </w:tc>
        <w:tc>
          <w:tcPr>
            <w:tcW w:w="2980" w:type="dxa"/>
            <w:vAlign w:val="bottom"/>
            <w:gridSpan w:val="5"/>
          </w:tcPr>
          <w:p>
            <w:pPr>
              <w:spacing w:after="0"/>
              <w:rPr>
                <w:sz w:val="20"/>
                <w:szCs w:val="20"/>
                <w:color w:val="auto"/>
              </w:rPr>
            </w:pPr>
            <w:r>
              <w:rPr>
                <w:rFonts w:ascii="Arial" w:cs="Arial" w:eastAsia="Arial" w:hAnsi="Arial"/>
                <w:sz w:val="18"/>
                <w:szCs w:val="18"/>
                <w:color w:val="auto"/>
              </w:rPr>
              <w:t>Definition Linkbase Document</w:t>
            </w:r>
          </w:p>
        </w:tc>
      </w:tr>
      <w:tr>
        <w:trPr>
          <w:trHeight w:val="242"/>
        </w:trPr>
        <w:tc>
          <w:tcPr>
            <w:tcW w:w="1480" w:type="dxa"/>
            <w:vAlign w:val="bottom"/>
          </w:tcPr>
          <w:p>
            <w:pPr>
              <w:spacing w:after="0"/>
              <w:rPr>
                <w:sz w:val="20"/>
                <w:szCs w:val="20"/>
                <w:color w:val="auto"/>
              </w:rPr>
            </w:pPr>
            <w:r>
              <w:rPr>
                <w:rFonts w:ascii="Arial" w:cs="Arial" w:eastAsia="Arial" w:hAnsi="Arial"/>
                <w:sz w:val="18"/>
                <w:szCs w:val="18"/>
                <w:color w:val="auto"/>
              </w:rPr>
              <w:t>101.LAB</w:t>
            </w:r>
          </w:p>
        </w:tc>
        <w:tc>
          <w:tcPr>
            <w:tcW w:w="2980" w:type="dxa"/>
            <w:vAlign w:val="bottom"/>
            <w:gridSpan w:val="5"/>
          </w:tcPr>
          <w:p>
            <w:pPr>
              <w:spacing w:after="0"/>
              <w:rPr>
                <w:sz w:val="20"/>
                <w:szCs w:val="20"/>
                <w:color w:val="auto"/>
              </w:rPr>
            </w:pPr>
            <w:r>
              <w:rPr>
                <w:rFonts w:ascii="Arial" w:cs="Arial" w:eastAsia="Arial" w:hAnsi="Arial"/>
                <w:sz w:val="18"/>
                <w:szCs w:val="18"/>
                <w:color w:val="auto"/>
                <w:w w:val="93"/>
              </w:rPr>
              <w:t>Inline XBRL Taxonomy Extension Label</w:t>
            </w:r>
          </w:p>
        </w:tc>
      </w:tr>
      <w:tr>
        <w:trPr>
          <w:trHeight w:val="230"/>
        </w:trPr>
        <w:tc>
          <w:tcPr>
            <w:tcW w:w="1480" w:type="dxa"/>
            <w:vAlign w:val="bottom"/>
          </w:tcPr>
          <w:p>
            <w:pPr>
              <w:spacing w:after="0"/>
              <w:rPr>
                <w:sz w:val="20"/>
                <w:szCs w:val="20"/>
                <w:color w:val="auto"/>
              </w:rPr>
            </w:pPr>
          </w:p>
        </w:tc>
        <w:tc>
          <w:tcPr>
            <w:tcW w:w="2980" w:type="dxa"/>
            <w:vAlign w:val="bottom"/>
            <w:gridSpan w:val="5"/>
          </w:tcPr>
          <w:p>
            <w:pPr>
              <w:spacing w:after="0"/>
              <w:rPr>
                <w:sz w:val="20"/>
                <w:szCs w:val="20"/>
                <w:color w:val="auto"/>
              </w:rPr>
            </w:pPr>
            <w:r>
              <w:rPr>
                <w:rFonts w:ascii="Arial" w:cs="Arial" w:eastAsia="Arial" w:hAnsi="Arial"/>
                <w:sz w:val="18"/>
                <w:szCs w:val="18"/>
                <w:color w:val="auto"/>
              </w:rPr>
              <w:t>Linkbase Document</w:t>
            </w:r>
          </w:p>
        </w:tc>
      </w:tr>
      <w:tr>
        <w:trPr>
          <w:trHeight w:val="242"/>
        </w:trPr>
        <w:tc>
          <w:tcPr>
            <w:tcW w:w="1480" w:type="dxa"/>
            <w:vAlign w:val="bottom"/>
          </w:tcPr>
          <w:p>
            <w:pPr>
              <w:spacing w:after="0"/>
              <w:rPr>
                <w:sz w:val="20"/>
                <w:szCs w:val="20"/>
                <w:color w:val="auto"/>
              </w:rPr>
            </w:pPr>
            <w:r>
              <w:rPr>
                <w:rFonts w:ascii="Arial" w:cs="Arial" w:eastAsia="Arial" w:hAnsi="Arial"/>
                <w:sz w:val="18"/>
                <w:szCs w:val="18"/>
                <w:color w:val="auto"/>
              </w:rPr>
              <w:t>101.PRE</w:t>
            </w:r>
          </w:p>
        </w:tc>
        <w:tc>
          <w:tcPr>
            <w:tcW w:w="2980" w:type="dxa"/>
            <w:vAlign w:val="bottom"/>
            <w:gridSpan w:val="5"/>
          </w:tcPr>
          <w:p>
            <w:pPr>
              <w:spacing w:after="0"/>
              <w:rPr>
                <w:sz w:val="20"/>
                <w:szCs w:val="20"/>
                <w:color w:val="auto"/>
              </w:rPr>
            </w:pPr>
            <w:r>
              <w:rPr>
                <w:rFonts w:ascii="Arial" w:cs="Arial" w:eastAsia="Arial" w:hAnsi="Arial"/>
                <w:sz w:val="18"/>
                <w:szCs w:val="18"/>
                <w:color w:val="auto"/>
              </w:rPr>
              <w:t>Inline XBRL Taxonomy Extension</w:t>
            </w:r>
          </w:p>
        </w:tc>
      </w:tr>
      <w:tr>
        <w:trPr>
          <w:trHeight w:val="230"/>
        </w:trPr>
        <w:tc>
          <w:tcPr>
            <w:tcW w:w="1480" w:type="dxa"/>
            <w:vAlign w:val="bottom"/>
          </w:tcPr>
          <w:p>
            <w:pPr>
              <w:spacing w:after="0"/>
              <w:rPr>
                <w:sz w:val="20"/>
                <w:szCs w:val="20"/>
                <w:color w:val="auto"/>
              </w:rPr>
            </w:pPr>
          </w:p>
        </w:tc>
        <w:tc>
          <w:tcPr>
            <w:tcW w:w="2980" w:type="dxa"/>
            <w:vAlign w:val="bottom"/>
            <w:gridSpan w:val="5"/>
          </w:tcPr>
          <w:p>
            <w:pPr>
              <w:spacing w:after="0"/>
              <w:rPr>
                <w:sz w:val="20"/>
                <w:szCs w:val="20"/>
                <w:color w:val="auto"/>
              </w:rPr>
            </w:pPr>
            <w:r>
              <w:rPr>
                <w:rFonts w:ascii="Arial" w:cs="Arial" w:eastAsia="Arial" w:hAnsi="Arial"/>
                <w:sz w:val="18"/>
                <w:szCs w:val="18"/>
                <w:color w:val="auto"/>
              </w:rPr>
              <w:t>Presentation Linkbase Document</w:t>
            </w:r>
          </w:p>
        </w:tc>
      </w:tr>
    </w:tbl>
    <w:p>
      <w:pPr>
        <w:spacing w:after="0" w:line="26" w:lineRule="exact"/>
        <w:rPr>
          <w:sz w:val="20"/>
          <w:szCs w:val="20"/>
          <w:color w:val="auto"/>
        </w:rPr>
      </w:pPr>
    </w:p>
    <w:p>
      <w:pPr>
        <w:ind w:left="1480" w:right="4940" w:hanging="1472"/>
        <w:spacing w:after="0" w:line="263" w:lineRule="auto"/>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6459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454" w:lineRule="exact"/>
        <w:rPr>
          <w:sz w:val="20"/>
          <w:szCs w:val="20"/>
          <w:color w:val="auto"/>
        </w:rPr>
      </w:pPr>
    </w:p>
    <w:p>
      <w:pPr>
        <w:sectPr>
          <w:pgSz w:w="11900" w:h="16838" w:orient="portrait"/>
          <w:cols w:equalWidth="0" w:num="2">
            <w:col w:w="9400" w:space="720"/>
            <w:col w:w="1120"/>
          </w:cols>
          <w:pgMar w:left="320" w:top="333" w:right="339" w:bottom="1440" w:gutter="0" w:footer="0" w:header="0"/>
          <w:type w:val="continuous"/>
        </w:sectPr>
      </w:pPr>
    </w:p>
    <w:p>
      <w:pPr>
        <w:ind w:left="440" w:hanging="432"/>
        <w:spacing w:after="0"/>
        <w:tabs>
          <w:tab w:leader="none" w:pos="4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3" w:lineRule="exact"/>
        <w:rPr>
          <w:sz w:val="20"/>
          <w:szCs w:val="20"/>
          <w:color w:val="auto"/>
        </w:rPr>
      </w:pPr>
    </w:p>
    <w:p>
      <w:pPr>
        <w:ind w:left="440" w:right="160" w:hanging="432"/>
        <w:spacing w:after="0" w:line="260" w:lineRule="auto"/>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Certain portions of this agreement have been omitted because the omitted portions are both not material and would likely cause competitive harm if publicly disclosed.</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firstLine="117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r>
        <w:rPr>
          <w:rFonts w:ascii="Arial" w:cs="Arial" w:eastAsia="Arial" w:hAnsi="Arial"/>
          <w:sz w:val="18"/>
          <w:szCs w:val="18"/>
          <w:b w:val="1"/>
          <w:bCs w:val="1"/>
          <w:color w:val="auto"/>
        </w:rPr>
        <w: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Vaxcyte, Inc.</w:t>
      </w:r>
    </w:p>
    <w:p>
      <w:pPr>
        <w:spacing w:after="0" w:line="252" w:lineRule="exact"/>
        <w:rPr>
          <w:sz w:val="20"/>
          <w:szCs w:val="20"/>
          <w:color w:val="auto"/>
        </w:rPr>
      </w:pPr>
    </w:p>
    <w:p>
      <w:pPr>
        <w:spacing w:after="0"/>
        <w:tabs>
          <w:tab w:leader="none" w:pos="5620" w:val="left"/>
          <w:tab w:leader="none" w:pos="7900"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Grant E. Pickering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2"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Grant E. Pickering</w:t>
      </w:r>
    </w:p>
    <w:p>
      <w:pPr>
        <w:spacing w:after="0" w:line="27"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Chief Executive Officer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1175"/>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Grant E. Pickering and Andrew Guggenhime, and each of them, as his or her true and lawful attorneys-in-fact, each with full power of substitution, for him or her in any and all capacities, to sign any amendments to this Annual Report on Form 10-K and to file the same, with exhibits thereto and other documents in connection therewith, with the SEC, hereby ratifying and confirming all that each of said attorneys-in-fact or their substitute or substitutes may do or cause to be done by virtue hereof.</w:t>
      </w:r>
    </w:p>
    <w:p>
      <w:pPr>
        <w:spacing w:after="0" w:line="188" w:lineRule="exact"/>
        <w:rPr>
          <w:sz w:val="20"/>
          <w:szCs w:val="20"/>
          <w:color w:val="auto"/>
        </w:rPr>
      </w:pPr>
    </w:p>
    <w:p>
      <w:pPr>
        <w:ind w:right="460" w:firstLine="117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40" w:type="dxa"/>
            <w:vAlign w:val="bottom"/>
          </w:tcPr>
          <w:p>
            <w:pPr>
              <w:spacing w:after="0"/>
              <w:rPr>
                <w:sz w:val="14"/>
                <w:szCs w:val="14"/>
                <w:color w:val="auto"/>
              </w:rPr>
            </w:pPr>
          </w:p>
        </w:tc>
        <w:tc>
          <w:tcPr>
            <w:tcW w:w="472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286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Date</w:t>
            </w:r>
          </w:p>
        </w:tc>
      </w:tr>
      <w:tr>
        <w:trPr>
          <w:trHeight w:val="290"/>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Grant E. Pickering</w:t>
            </w: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Chief Executive Officer and Director</w:t>
            </w:r>
          </w:p>
        </w:tc>
        <w:tc>
          <w:tcPr>
            <w:tcW w:w="2860" w:type="dxa"/>
            <w:vAlign w:val="bottom"/>
          </w:tcPr>
          <w:p>
            <w:pPr>
              <w:spacing w:after="0"/>
              <w:rPr>
                <w:sz w:val="20"/>
                <w:szCs w:val="20"/>
                <w:color w:val="auto"/>
              </w:rPr>
            </w:pPr>
            <w:r>
              <w:rPr>
                <w:rFonts w:ascii="Arial" w:cs="Arial" w:eastAsia="Arial" w:hAnsi="Arial"/>
                <w:sz w:val="18"/>
                <w:szCs w:val="18"/>
                <w:color w:val="auto"/>
              </w:rPr>
              <w:t>March 29, 2021</w:t>
            </w:r>
          </w:p>
        </w:tc>
      </w:tr>
      <w:tr>
        <w:trPr>
          <w:trHeight w:val="22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3"/>
              </w:rPr>
              <w:t>Grant E. Pickering</w:t>
            </w:r>
          </w:p>
        </w:tc>
        <w:tc>
          <w:tcPr>
            <w:tcW w:w="4980" w:type="dxa"/>
            <w:vAlign w:val="bottom"/>
            <w:gridSpan w:val="3"/>
          </w:tcPr>
          <w:p>
            <w:pPr>
              <w:ind w:left="140"/>
              <w:spacing w:after="0"/>
              <w:rPr>
                <w:sz w:val="20"/>
                <w:szCs w:val="20"/>
                <w:color w:val="auto"/>
              </w:rPr>
            </w:pPr>
            <w:r>
              <w:rPr>
                <w:rFonts w:ascii="Arial" w:cs="Arial" w:eastAsia="Arial" w:hAnsi="Arial"/>
                <w:sz w:val="18"/>
                <w:szCs w:val="18"/>
                <w:i w:val="1"/>
                <w:iCs w:val="1"/>
                <w:color w:val="auto"/>
              </w:rPr>
              <w:t>(Principal Executive)</w:t>
            </w:r>
          </w:p>
        </w:tc>
        <w:tc>
          <w:tcPr>
            <w:tcW w:w="2860" w:type="dxa"/>
            <w:vAlign w:val="bottom"/>
          </w:tcPr>
          <w:p>
            <w:pPr>
              <w:spacing w:after="0"/>
              <w:rPr>
                <w:sz w:val="19"/>
                <w:szCs w:val="19"/>
                <w:color w:val="auto"/>
              </w:rPr>
            </w:pPr>
          </w:p>
        </w:tc>
      </w:tr>
      <w:tr>
        <w:trPr>
          <w:trHeight w:val="279"/>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Andrew Guggenhime</w:t>
            </w: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President and Chief Financial Officer</w:t>
            </w:r>
          </w:p>
        </w:tc>
        <w:tc>
          <w:tcPr>
            <w:tcW w:w="2860" w:type="dxa"/>
            <w:vAlign w:val="bottom"/>
          </w:tcPr>
          <w:p>
            <w:pPr>
              <w:spacing w:after="0"/>
              <w:rPr>
                <w:sz w:val="20"/>
                <w:szCs w:val="20"/>
                <w:color w:val="auto"/>
              </w:rPr>
            </w:pPr>
            <w:r>
              <w:rPr>
                <w:rFonts w:ascii="Arial" w:cs="Arial" w:eastAsia="Arial" w:hAnsi="Arial"/>
                <w:sz w:val="18"/>
                <w:szCs w:val="18"/>
                <w:color w:val="auto"/>
              </w:rPr>
              <w:t>March 29, 2021</w:t>
            </w:r>
          </w:p>
        </w:tc>
      </w:tr>
      <w:tr>
        <w:trPr>
          <w:trHeight w:val="22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0"/>
              </w:rPr>
              <w:t>Andrew Guggenhime</w:t>
            </w:r>
          </w:p>
        </w:tc>
        <w:tc>
          <w:tcPr>
            <w:tcW w:w="4980" w:type="dxa"/>
            <w:vAlign w:val="bottom"/>
            <w:gridSpan w:val="3"/>
          </w:tcPr>
          <w:p>
            <w:pPr>
              <w:ind w:left="140"/>
              <w:spacing w:after="0"/>
              <w:rPr>
                <w:sz w:val="20"/>
                <w:szCs w:val="20"/>
                <w:color w:val="auto"/>
              </w:rPr>
            </w:pPr>
            <w:r>
              <w:rPr>
                <w:rFonts w:ascii="Arial" w:cs="Arial" w:eastAsia="Arial" w:hAnsi="Arial"/>
                <w:sz w:val="18"/>
                <w:szCs w:val="18"/>
                <w:i w:val="1"/>
                <w:iCs w:val="1"/>
                <w:color w:val="auto"/>
              </w:rPr>
              <w:t>(Principal Financial and Accounting Officer)</w:t>
            </w:r>
          </w:p>
        </w:tc>
        <w:tc>
          <w:tcPr>
            <w:tcW w:w="2860" w:type="dxa"/>
            <w:vAlign w:val="bottom"/>
          </w:tcPr>
          <w:p>
            <w:pPr>
              <w:spacing w:after="0"/>
              <w:rPr>
                <w:sz w:val="19"/>
                <w:szCs w:val="19"/>
                <w:color w:val="auto"/>
              </w:rPr>
            </w:pPr>
          </w:p>
        </w:tc>
      </w:tr>
      <w:tr>
        <w:trPr>
          <w:trHeight w:val="360"/>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Kurt von Emster</w:t>
            </w: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860" w:type="dxa"/>
            <w:vAlign w:val="bottom"/>
          </w:tcPr>
          <w:p>
            <w:pPr>
              <w:spacing w:after="0"/>
              <w:rPr>
                <w:sz w:val="20"/>
                <w:szCs w:val="20"/>
                <w:color w:val="auto"/>
              </w:rPr>
            </w:pPr>
            <w:r>
              <w:rPr>
                <w:rFonts w:ascii="Arial" w:cs="Arial" w:eastAsia="Arial" w:hAnsi="Arial"/>
                <w:sz w:val="18"/>
                <w:szCs w:val="18"/>
                <w:color w:val="auto"/>
              </w:rPr>
              <w:t>March 29, 2021</w:t>
            </w:r>
          </w:p>
        </w:tc>
      </w:tr>
      <w:tr>
        <w:trPr>
          <w:trHeight w:val="22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4"/>
              </w:rPr>
              <w:t>Kurt von Emster</w:t>
            </w:r>
          </w:p>
        </w:tc>
        <w:tc>
          <w:tcPr>
            <w:tcW w:w="1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79"/>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Halley Gilbert</w:t>
            </w: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860" w:type="dxa"/>
            <w:vAlign w:val="bottom"/>
          </w:tcPr>
          <w:p>
            <w:pPr>
              <w:spacing w:after="0"/>
              <w:rPr>
                <w:sz w:val="20"/>
                <w:szCs w:val="20"/>
                <w:color w:val="auto"/>
              </w:rPr>
            </w:pPr>
            <w:r>
              <w:rPr>
                <w:rFonts w:ascii="Arial" w:cs="Arial" w:eastAsia="Arial" w:hAnsi="Arial"/>
                <w:sz w:val="18"/>
                <w:szCs w:val="18"/>
                <w:color w:val="auto"/>
              </w:rPr>
              <w:t>March 29, 2021</w:t>
            </w:r>
          </w:p>
        </w:tc>
      </w:tr>
      <w:tr>
        <w:trPr>
          <w:trHeight w:val="22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4"/>
              </w:rPr>
              <w:t>Halley Gilbert</w:t>
            </w:r>
          </w:p>
        </w:tc>
        <w:tc>
          <w:tcPr>
            <w:tcW w:w="1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79"/>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Patrick Heron</w:t>
            </w: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860" w:type="dxa"/>
            <w:vAlign w:val="bottom"/>
          </w:tcPr>
          <w:p>
            <w:pPr>
              <w:spacing w:after="0"/>
              <w:rPr>
                <w:sz w:val="20"/>
                <w:szCs w:val="20"/>
                <w:color w:val="auto"/>
              </w:rPr>
            </w:pPr>
            <w:r>
              <w:rPr>
                <w:rFonts w:ascii="Arial" w:cs="Arial" w:eastAsia="Arial" w:hAnsi="Arial"/>
                <w:sz w:val="18"/>
                <w:szCs w:val="18"/>
                <w:color w:val="auto"/>
              </w:rPr>
              <w:t>March 29, 2021</w:t>
            </w:r>
          </w:p>
        </w:tc>
      </w:tr>
      <w:tr>
        <w:trPr>
          <w:trHeight w:val="22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3"/>
              </w:rPr>
              <w:t>Patrick Heron</w:t>
            </w:r>
          </w:p>
        </w:tc>
        <w:tc>
          <w:tcPr>
            <w:tcW w:w="1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79"/>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Peter Hirth, Ph.D.</w:t>
            </w: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860" w:type="dxa"/>
            <w:vAlign w:val="bottom"/>
          </w:tcPr>
          <w:p>
            <w:pPr>
              <w:spacing w:after="0"/>
              <w:rPr>
                <w:sz w:val="20"/>
                <w:szCs w:val="20"/>
                <w:color w:val="auto"/>
              </w:rPr>
            </w:pPr>
            <w:r>
              <w:rPr>
                <w:rFonts w:ascii="Arial" w:cs="Arial" w:eastAsia="Arial" w:hAnsi="Arial"/>
                <w:sz w:val="18"/>
                <w:szCs w:val="18"/>
                <w:color w:val="auto"/>
              </w:rPr>
              <w:t>March 29, 2021</w:t>
            </w:r>
          </w:p>
        </w:tc>
      </w:tr>
      <w:tr>
        <w:trPr>
          <w:trHeight w:val="22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4"/>
              </w:rPr>
              <w:t>Peter Hirth, Ph.D.</w:t>
            </w:r>
          </w:p>
        </w:tc>
        <w:tc>
          <w:tcPr>
            <w:tcW w:w="1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79"/>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 Hopfner, Ph.D.</w:t>
            </w: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860" w:type="dxa"/>
            <w:vAlign w:val="bottom"/>
          </w:tcPr>
          <w:p>
            <w:pPr>
              <w:spacing w:after="0"/>
              <w:rPr>
                <w:sz w:val="20"/>
                <w:szCs w:val="20"/>
                <w:color w:val="auto"/>
              </w:rPr>
            </w:pPr>
            <w:r>
              <w:rPr>
                <w:rFonts w:ascii="Arial" w:cs="Arial" w:eastAsia="Arial" w:hAnsi="Arial"/>
                <w:sz w:val="18"/>
                <w:szCs w:val="18"/>
                <w:color w:val="auto"/>
              </w:rPr>
              <w:t>March 29, 2021</w:t>
            </w:r>
          </w:p>
        </w:tc>
      </w:tr>
      <w:tr>
        <w:trPr>
          <w:trHeight w:val="22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2"/>
              </w:rPr>
              <w:t>Rob Hopfner, Ph.D.</w:t>
            </w:r>
          </w:p>
        </w:tc>
        <w:tc>
          <w:tcPr>
            <w:tcW w:w="1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79"/>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Heath Lukatch, Ph.D.</w:t>
            </w: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860" w:type="dxa"/>
            <w:vAlign w:val="bottom"/>
          </w:tcPr>
          <w:p>
            <w:pPr>
              <w:spacing w:after="0"/>
              <w:rPr>
                <w:sz w:val="20"/>
                <w:szCs w:val="20"/>
                <w:color w:val="auto"/>
              </w:rPr>
            </w:pPr>
            <w:r>
              <w:rPr>
                <w:rFonts w:ascii="Arial" w:cs="Arial" w:eastAsia="Arial" w:hAnsi="Arial"/>
                <w:sz w:val="18"/>
                <w:szCs w:val="18"/>
                <w:color w:val="auto"/>
              </w:rPr>
              <w:t>March 29, 2021</w:t>
            </w:r>
          </w:p>
        </w:tc>
      </w:tr>
      <w:tr>
        <w:trPr>
          <w:trHeight w:val="22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3"/>
              </w:rPr>
              <w:t>Heath Lukatch, Ph.D.</w:t>
            </w:r>
          </w:p>
        </w:tc>
        <w:tc>
          <w:tcPr>
            <w:tcW w:w="1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79"/>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William J. Newell</w:t>
            </w: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860" w:type="dxa"/>
            <w:vAlign w:val="bottom"/>
          </w:tcPr>
          <w:p>
            <w:pPr>
              <w:spacing w:after="0"/>
              <w:rPr>
                <w:sz w:val="20"/>
                <w:szCs w:val="20"/>
                <w:color w:val="auto"/>
              </w:rPr>
            </w:pPr>
            <w:r>
              <w:rPr>
                <w:rFonts w:ascii="Arial" w:cs="Arial" w:eastAsia="Arial" w:hAnsi="Arial"/>
                <w:sz w:val="18"/>
                <w:szCs w:val="18"/>
                <w:color w:val="auto"/>
              </w:rPr>
              <w:t>March 29, 2021</w:t>
            </w:r>
          </w:p>
        </w:tc>
      </w:tr>
      <w:tr>
        <w:trPr>
          <w:trHeight w:val="22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3"/>
              </w:rPr>
              <w:t>William J. Newell</w:t>
            </w:r>
          </w:p>
        </w:tc>
        <w:tc>
          <w:tcPr>
            <w:tcW w:w="1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553"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120" w:firstLine="749"/>
        <w:spacing w:after="0" w:line="271" w:lineRule="auto"/>
        <w:rPr>
          <w:sz w:val="20"/>
          <w:szCs w:val="20"/>
          <w:color w:val="auto"/>
        </w:rPr>
      </w:pPr>
      <w:r>
        <w:rPr>
          <w:rFonts w:ascii="Arial" w:cs="Arial" w:eastAsia="Arial" w:hAnsi="Arial"/>
          <w:sz w:val="17"/>
          <w:szCs w:val="17"/>
          <w:color w:val="auto"/>
        </w:rPr>
        <w:t>Vaxcyte, Inc. (“we,” “our,” “us,” or the “Company”) has one class of securities registered under Section 12 of the Securities Exchange Act of 1934, as amended (the “Exchange Act”): our common stock. The following summary of the terms of our common stock is based upon our amended and restated certificate of incorporation and our amended and restated bylaws, which are filed as exhibits to our Annual Report on Form 10-K, of which this Exhibit 4.2 is a part, and are incorporated by reference herein. This summary does not purport to be complete and is subject to, and is qualified in its entirety by express reference to, the applicable provisions of our amended and restated certificate of incorporation and our amended and restated bylaws. We encourage you to read our amended and restated certificate of incorporation and our amended and restated bylaws and the applicable provisions of the Delaware General Corporation Law (the “DGCL”) for more information. We also provide a summary of our preferred stock, which is not registered under Section 12 of the Exchange 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authorized capital stock consists of 510,000,000 shares, all with a par value of $0.001 per share, of which:</w:t>
      </w:r>
    </w:p>
    <w:p>
      <w:pPr>
        <w:spacing w:after="0" w:line="225" w:lineRule="exact"/>
        <w:rPr>
          <w:sz w:val="20"/>
          <w:szCs w:val="20"/>
          <w:color w:val="auto"/>
        </w:rPr>
      </w:pPr>
    </w:p>
    <w:p>
      <w:pPr>
        <w:ind w:left="1120" w:hanging="370"/>
        <w:spacing w:after="0"/>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500,000,000 shares are designated as common stock; and</w:t>
      </w:r>
    </w:p>
    <w:p>
      <w:pPr>
        <w:spacing w:after="0" w:line="252" w:lineRule="exact"/>
        <w:rPr>
          <w:rFonts w:ascii="Arial" w:cs="Arial" w:eastAsia="Arial" w:hAnsi="Arial"/>
          <w:sz w:val="18"/>
          <w:szCs w:val="18"/>
          <w:color w:val="auto"/>
        </w:rPr>
      </w:pPr>
    </w:p>
    <w:p>
      <w:pPr>
        <w:ind w:left="1120" w:hanging="370"/>
        <w:spacing w:after="0"/>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10,000,000 shares are designated as preferred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00" w:firstLine="749"/>
        <w:spacing w:after="0" w:line="288"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including the election of directors, and do not have cumulative voting rights. 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duly authorized, validly issued, fully paid and nonassessable. All authorized but unissued shares of our common stock will be available for issuance by our board of directors without any further stockholder action, except as required by the listing standards of the Nasdaq Stock Market. The rights, preferences and privileges of holders of common stock are subject to and may be adversely affected by the rights of the holders of shares of any series of preferred stock that we may designate and issue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Our board of directors may, without further action by our stockholders, fix the rights, preferences, privileges and restrictions of up to an aggregate of 10,000,000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229"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8"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6" w:name="page157"/>
    <w:bookmarkEnd w:id="156"/>
    <w:p>
      <w:pPr>
        <w:ind w:right="20"/>
        <w:spacing w:after="0" w:line="263" w:lineRule="auto"/>
        <w:rPr>
          <w:sz w:val="20"/>
          <w:szCs w:val="20"/>
          <w:color w:val="auto"/>
        </w:rPr>
      </w:pPr>
      <w:r>
        <w:rPr>
          <w:rFonts w:ascii="Arial" w:cs="Arial" w:eastAsia="Arial" w:hAnsi="Arial"/>
          <w:sz w:val="18"/>
          <w:szCs w:val="18"/>
          <w:color w:val="auto"/>
        </w:rPr>
        <w:t>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225" w:lineRule="exact"/>
        <w:rPr>
          <w:sz w:val="20"/>
          <w:szCs w:val="20"/>
          <w:color w:val="auto"/>
        </w:rPr>
      </w:pPr>
    </w:p>
    <w:p>
      <w:pPr>
        <w:ind w:right="700" w:firstLine="749"/>
        <w:spacing w:after="0" w:line="277"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chairman of the board, chief executive officer or president, or by a resolution adopted by a majority of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225"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eliminate the right of stockholders to act by written consent without a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w:t>
      </w:r>
    </w:p>
    <w:p>
      <w:pPr>
        <w:spacing w:after="0" w:line="225" w:lineRule="exact"/>
        <w:rPr>
          <w:sz w:val="20"/>
          <w:szCs w:val="20"/>
          <w:color w:val="auto"/>
        </w:rPr>
      </w:pPr>
    </w:p>
    <w:p>
      <w:pPr>
        <w:ind w:right="100" w:firstLine="749"/>
        <w:spacing w:after="0" w:line="286" w:lineRule="auto"/>
        <w:rPr>
          <w:sz w:val="20"/>
          <w:szCs w:val="20"/>
          <w:color w:val="auto"/>
        </w:rPr>
      </w:pPr>
      <w:r>
        <w:rPr>
          <w:rFonts w:ascii="Arial" w:cs="Arial" w:eastAsia="Arial" w:hAnsi="Arial"/>
          <w:sz w:val="17"/>
          <w:szCs w:val="17"/>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225" w:lineRule="exact"/>
        <w:rPr>
          <w:sz w:val="20"/>
          <w:szCs w:val="20"/>
          <w:color w:val="auto"/>
        </w:rPr>
      </w:pPr>
    </w:p>
    <w:p>
      <w:pPr>
        <w:ind w:right="600" w:firstLine="749"/>
        <w:spacing w:after="0" w:line="311" w:lineRule="auto"/>
        <w:rPr>
          <w:sz w:val="20"/>
          <w:szCs w:val="20"/>
          <w:color w:val="auto"/>
        </w:rPr>
      </w:pPr>
      <w:r>
        <w:rPr>
          <w:rFonts w:ascii="Arial" w:cs="Arial" w:eastAsia="Arial" w:hAnsi="Arial"/>
          <w:sz w:val="16"/>
          <w:szCs w:val="16"/>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will, to the fullest extent permitted by applicable law, be the exclusive forum for the following types of actions or proceedings under Delaware statutory or common law: (i) any derivative action or proceeding brought on our behalf; (ii) any action or proceeding asserting a claim of breach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7" w:name="page158"/>
    <w:bookmarkEnd w:id="157"/>
    <w:p>
      <w:pPr>
        <w:jc w:val="both"/>
        <w:ind w:right="40"/>
        <w:spacing w:after="0" w:line="287" w:lineRule="auto"/>
        <w:rPr>
          <w:sz w:val="20"/>
          <w:szCs w:val="20"/>
          <w:color w:val="auto"/>
        </w:rPr>
      </w:pPr>
      <w:r>
        <w:rPr>
          <w:rFonts w:ascii="Arial" w:cs="Arial" w:eastAsia="Arial" w:hAnsi="Arial"/>
          <w:sz w:val="16"/>
          <w:szCs w:val="16"/>
          <w:color w:val="auto"/>
        </w:rPr>
        <w:t>of a fiduciary duty owed by any of our current or former directors, officers, or employees to us or our stockholders; (iii) any action or proceeding asserting a claim against us or any of our current or former directors, officers or employees arising out of or pursuant to any provision of the DGCL or our certificate of incorporation or bylaws; (iv) any action or proceeding to interpret, apply, enforce or determine the validity of our certificate of incorporation or bylaws;</w:t>
      </w:r>
    </w:p>
    <w:p>
      <w:pPr>
        <w:spacing w:after="0" w:line="2" w:lineRule="exact"/>
        <w:rPr>
          <w:sz w:val="20"/>
          <w:szCs w:val="20"/>
          <w:color w:val="auto"/>
        </w:rPr>
      </w:pPr>
    </w:p>
    <w:p>
      <w:pPr>
        <w:ind w:firstLine="8"/>
        <w:spacing w:after="0" w:line="285" w:lineRule="auto"/>
        <w:tabs>
          <w:tab w:leader="none" w:pos="255"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action or proceeding as to which the DGCL confers jurisdiction to the Court of Chancery of the State of Delaware; or (vi) any action or proceeding asserting a claim against us or any of our current or former directors, officers or employees governed by the internal affairs doctrine. This provision does not apply to suits brought to enforce a duty or liability created by the Securities Act, the Exchange Act or any other claim for which the U.S.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Securities Act. Our amended and restated certificate of incorporation also provides that any person or entity holding, owning, purchasing or otherwise acquiring any interest in any of our securities will be deemed to have notice of and to have consented to these choice of forum provisions. While the Delaware courts have determined that such choice of forum provisions are facially valid, it is possible that a court of law in another jurisdiction could rule that the choice of forum provisions to be contained in our amended and restated certificate of incorporation are inapplicable or unenforceable if they are challenged in a proceeding or otherwise. If a court were to find the choice of forum provision that will be contained in our amended and restated certificate of incorporation to be inapplicable or unenforceable in an action, we may incur additional costs associated with resolving such action in other jurisdictions.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225" w:lineRule="exact"/>
        <w:rPr>
          <w:sz w:val="20"/>
          <w:szCs w:val="20"/>
          <w:color w:val="auto"/>
        </w:rPr>
      </w:pPr>
    </w:p>
    <w:p>
      <w:pPr>
        <w:ind w:right="740" w:firstLine="749"/>
        <w:spacing w:after="0" w:line="277" w:lineRule="auto"/>
        <w:rPr>
          <w:sz w:val="20"/>
          <w:szCs w:val="20"/>
          <w:color w:val="auto"/>
        </w:rPr>
      </w:pPr>
      <w:r>
        <w:rPr>
          <w:rFonts w:ascii="Arial" w:cs="Arial" w:eastAsia="Arial" w:hAnsi="Arial"/>
          <w:sz w:val="18"/>
          <w:szCs w:val="18"/>
          <w:color w:val="auto"/>
        </w:rPr>
        <w:t>The amendment of any of the above provisions requires approval by holders of at least two-thirds of the total voting power of all of our outstanding voting stock.</w:t>
      </w:r>
    </w:p>
    <w:p>
      <w:pPr>
        <w:spacing w:after="0" w:line="170"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common stock is listed on the Nasdaq Global Select Market under the symbol “PCVX.”</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557" w:right="339" w:bottom="1440" w:gutter="0" w:footer="0" w:header="0"/>
        </w:sectPr>
      </w:pPr>
    </w:p>
    <w:bookmarkStart w:id="158" w:name="page159"/>
    <w:bookmarkEnd w:id="158"/>
    <w:p>
      <w:pPr>
        <w:ind w:left="9560"/>
        <w:spacing w:after="0"/>
        <w:rPr>
          <w:sz w:val="20"/>
          <w:szCs w:val="20"/>
          <w:color w:val="auto"/>
        </w:rPr>
      </w:pPr>
      <w:r>
        <w:rPr>
          <w:rFonts w:ascii="Arial" w:cs="Arial" w:eastAsia="Arial" w:hAnsi="Arial"/>
          <w:sz w:val="20"/>
          <w:szCs w:val="20"/>
          <w:b w:val="1"/>
          <w:bCs w:val="1"/>
          <w:color w:val="auto"/>
        </w:rPr>
        <w:t>Exhibit 23.1</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consent to the incorporation by reference in Registration Statements No. 333-238630 and 333-239110 on Form S-1 of our report dated March 29, 2021, relating to the financial statements of Vaxcyte, Inc., appearing in the Annual Report on Form 10-K of Vaxcyte, Inc. for the year ended December 31, 2020.</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California</w:t>
      </w:r>
    </w:p>
    <w:p>
      <w:pPr>
        <w:spacing w:after="0"/>
        <w:rPr>
          <w:sz w:val="20"/>
          <w:szCs w:val="20"/>
          <w:color w:val="auto"/>
        </w:rPr>
      </w:pPr>
      <w:r>
        <w:rPr>
          <w:rFonts w:ascii="Arial" w:cs="Arial" w:eastAsia="Arial" w:hAnsi="Arial"/>
          <w:sz w:val="20"/>
          <w:szCs w:val="20"/>
          <w:color w:val="auto"/>
        </w:rPr>
        <w:t>March 29, 2021</w:t>
      </w:r>
    </w:p>
    <w:p>
      <w:pPr>
        <w:sectPr>
          <w:pgSz w:w="11900" w:h="16838" w:orient="portrait"/>
          <w:cols w:equalWidth="0" w:num="1">
            <w:col w:w="11240"/>
          </w:cols>
          <w:pgMar w:left="320" w:top="118"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Grant E. Pickering, certify that:</w:t>
      </w:r>
    </w:p>
    <w:p>
      <w:pPr>
        <w:spacing w:after="0" w:line="117" w:lineRule="exact"/>
        <w:rPr>
          <w:sz w:val="20"/>
          <w:szCs w:val="20"/>
          <w:color w:val="auto"/>
        </w:rPr>
      </w:pPr>
    </w:p>
    <w:p>
      <w:pPr>
        <w:ind w:left="580" w:hanging="572"/>
        <w:spacing w:after="0"/>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Vaxcyte, Inc.;</w:t>
      </w:r>
    </w:p>
    <w:p>
      <w:pPr>
        <w:spacing w:after="0" w:line="117"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80" w:right="200" w:hanging="572"/>
        <w:spacing w:after="0" w:line="277" w:lineRule="auto"/>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7860"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Grant E. Pickering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Grant E. Pickering</w:t>
      </w:r>
    </w:p>
    <w:p>
      <w:pPr>
        <w:spacing w:after="0" w:line="27"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Guggenhime, certify that:</w:t>
      </w:r>
    </w:p>
    <w:p>
      <w:pPr>
        <w:spacing w:after="0" w:line="117" w:lineRule="exact"/>
        <w:rPr>
          <w:sz w:val="20"/>
          <w:szCs w:val="20"/>
          <w:color w:val="auto"/>
        </w:rPr>
      </w:pPr>
    </w:p>
    <w:p>
      <w:pPr>
        <w:ind w:left="580" w:hanging="572"/>
        <w:spacing w:after="0"/>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Vaxcyte, Inc.;</w:t>
      </w:r>
    </w:p>
    <w:p>
      <w:pPr>
        <w:spacing w:after="0" w:line="117"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80" w:right="200" w:hanging="572"/>
        <w:spacing w:after="0" w:line="277" w:lineRule="auto"/>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7760"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Guggenhime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Andrew Guggenhime</w:t>
      </w:r>
    </w:p>
    <w:p>
      <w:pPr>
        <w:spacing w:after="0" w:line="27"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President and Chief Financial Officer</w:t>
      </w:r>
    </w:p>
    <w:p>
      <w:pPr>
        <w:sectPr>
          <w:pgSz w:w="11900" w:h="16838" w:orient="portrait"/>
          <w:cols w:equalWidth="0" w:num="1">
            <w:col w:w="11240"/>
          </w:cols>
          <w:pgMar w:left="320" w:top="121"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firstLine="589"/>
        <w:spacing w:after="0" w:line="263" w:lineRule="auto"/>
        <w:rPr>
          <w:sz w:val="20"/>
          <w:szCs w:val="20"/>
          <w:color w:val="auto"/>
        </w:rPr>
      </w:pPr>
      <w:r>
        <w:rPr>
          <w:rFonts w:ascii="Arial" w:cs="Arial" w:eastAsia="Arial" w:hAnsi="Arial"/>
          <w:sz w:val="18"/>
          <w:szCs w:val="18"/>
          <w:color w:val="auto"/>
        </w:rPr>
        <w:t>In connection with the Annual Report of Vaxcyte, Inc. (the “Company”) on Form 10-K for the annual period ended December 31, 2020 as filed with the Securities and Exchange Commission on the date hereof (the “Report”), I certify, pursuant to 18 U.S.C. Section 1350, as adopted pursuant to Section 906 of the Sarbanes-Oxley Act of 2002, that, to the best of my knowledge:</w:t>
      </w:r>
    </w:p>
    <w:p>
      <w:pPr>
        <w:spacing w:after="0" w:line="184" w:lineRule="exact"/>
        <w:rPr>
          <w:sz w:val="20"/>
          <w:szCs w:val="20"/>
          <w:color w:val="auto"/>
        </w:rPr>
      </w:pPr>
    </w:p>
    <w:p>
      <w:pPr>
        <w:ind w:left="1160" w:hanging="572"/>
        <w:spacing w:after="0"/>
        <w:tabs>
          <w:tab w:leader="none" w:pos="11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Section15(d) of the Securities Exchange Act of 1934, as amended; and</w:t>
      </w:r>
    </w:p>
    <w:p>
      <w:pPr>
        <w:spacing w:after="0" w:line="248" w:lineRule="exact"/>
        <w:rPr>
          <w:rFonts w:ascii="Arial" w:cs="Arial" w:eastAsia="Arial" w:hAnsi="Arial"/>
          <w:sz w:val="16"/>
          <w:szCs w:val="16"/>
          <w:color w:val="auto"/>
        </w:rPr>
      </w:pPr>
    </w:p>
    <w:p>
      <w:pPr>
        <w:ind w:left="1160" w:right="400" w:hanging="572"/>
        <w:spacing w:after="0" w:line="277" w:lineRule="auto"/>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80" w:val="left"/>
          <w:tab w:leader="none" w:pos="7860"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Grant E.Pickering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Grant E. Pickering</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firstLine="589"/>
        <w:spacing w:after="0" w:line="263" w:lineRule="auto"/>
        <w:rPr>
          <w:sz w:val="20"/>
          <w:szCs w:val="20"/>
          <w:color w:val="auto"/>
        </w:rPr>
      </w:pPr>
      <w:r>
        <w:rPr>
          <w:rFonts w:ascii="Arial" w:cs="Arial" w:eastAsia="Arial" w:hAnsi="Arial"/>
          <w:sz w:val="18"/>
          <w:szCs w:val="18"/>
          <w:color w:val="auto"/>
        </w:rPr>
        <w:t>In connection with the Annual Report of Vaxcyte, Inc. (the “Company”) on Form 10-K for the annual period ended December 31, 2020 as filed with the Securities and Exchange Commission on the date hereof (the “Report”), I certify, pursuant to 18 U.S.C. Section 1350, as adopted pursuant to Section906 of the Sarbanes-Oxley Act of 2002, that, to the best of my knowledge:</w:t>
      </w:r>
    </w:p>
    <w:p>
      <w:pPr>
        <w:spacing w:after="0" w:line="184" w:lineRule="exact"/>
        <w:rPr>
          <w:sz w:val="20"/>
          <w:szCs w:val="20"/>
          <w:color w:val="auto"/>
        </w:rPr>
      </w:pPr>
    </w:p>
    <w:p>
      <w:pPr>
        <w:ind w:left="1160" w:hanging="572"/>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80" w:val="left"/>
          <w:tab w:leader="none" w:pos="7720"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Guggenhime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Andrew Guggenhime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lvl w:ilvl="1">
      <w:lvlJc w:val="left"/>
      <w:lvlText w:val="o"/>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lvl w:ilvl="1">
      <w:lvlJc w:val="left"/>
      <w:lvlText w:val="•"/>
      <w:numFmt w:val="bullet"/>
      <w:start w:val="1"/>
    </w:lvl>
  </w:abstractNum>
  <w:abstractNum w:abstractNumId="12">
    <w:nsid w:val="3DC240FB"/>
    <w:multiLevelType w:val="hybridMultilevel"/>
    <w:lvl w:ilvl="0">
      <w:lvlJc w:val="left"/>
      <w:lvlText w:val="o"/>
      <w:numFmt w:val="bullet"/>
      <w:start w:val="1"/>
    </w:lvl>
  </w:abstractNum>
  <w:abstractNum w:abstractNumId="13">
    <w:nsid w:val="1BA026FA"/>
    <w:multiLevelType w:val="hybridMultilevel"/>
    <w:lvl w:ilvl="0">
      <w:lvlJc w:val="left"/>
      <w:lvlText w:val="o"/>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1"/>
      <w:numFmt w:val="bullet"/>
      <w:start w:val="1"/>
    </w:lvl>
  </w:abstractNum>
  <w:abstractNum w:abstractNumId="17">
    <w:nsid w:val="70C6A529"/>
    <w:multiLevelType w:val="hybridMultilevel"/>
    <w:lvl w:ilvl="0">
      <w:lvlJc w:val="left"/>
      <w:lvlText w:val="%1."/>
      <w:numFmt w:val="decimal"/>
      <w:start w:val="23"/>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lvl w:ilvl="1">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1)"/>
      <w:numFmt w:val="lowerRoman"/>
      <w:start w:val="2"/>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1."/>
      <w:numFmt w:val="decimal"/>
      <w:start w:val="24"/>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
      <w:numFmt w:val="bullet"/>
      <w:start w:val="1"/>
    </w:lvl>
    <w:lvl w:ilvl="1">
      <w:lvlJc w:val="left"/>
      <w:lvlText w:val="•"/>
      <w:numFmt w:val="bullet"/>
      <w:start w:val="1"/>
    </w:lvl>
  </w:abstractNum>
  <w:abstractNum w:abstractNumId="62">
    <w:nsid w:val="51D9C564"/>
    <w:multiLevelType w:val="hybridMultilevel"/>
    <w:lvl w:ilvl="0">
      <w:lvlJc w:val="left"/>
      <w:lvlText w:val="•"/>
      <w:numFmt w:val="bullet"/>
      <w:start w:val="1"/>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1)"/>
      <w:numFmt w:val="decimal"/>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1)"/>
      <w:numFmt w:val="decimal"/>
      <w:start w:val="1"/>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1)"/>
      <w:numFmt w:val="decimal"/>
      <w:start w:val="1"/>
    </w:lvl>
  </w:abstractNum>
  <w:abstractNum w:abstractNumId="72">
    <w:nsid w:val="4962813B"/>
    <w:multiLevelType w:val="hybridMultilevel"/>
    <w:lvl w:ilvl="0">
      <w:lvlJc w:val="left"/>
      <w:lvlText w:val="%1."/>
      <w:numFmt w:val="decimal"/>
      <w:start w:val="2"/>
    </w:lvl>
  </w:abstractNum>
  <w:abstractNum w:abstractNumId="73">
    <w:nsid w:val="60B6DF70"/>
    <w:multiLevelType w:val="hybridMultilevel"/>
    <w:lvl w:ilvl="0">
      <w:lvlJc w:val="left"/>
      <w:lvlText w:val="(%1)"/>
      <w:numFmt w:val="decimal"/>
      <w:start w:val="1"/>
    </w:lvl>
  </w:abstractNum>
  <w:abstractNum w:abstractNumId="74">
    <w:nsid w:val="6A5EE64"/>
    <w:multiLevelType w:val="hybridMultilevel"/>
    <w:lvl w:ilvl="0">
      <w:lvlJc w:val="left"/>
      <w:lvlText w:val="%1."/>
      <w:numFmt w:val="decimal"/>
      <w:start w:val="4"/>
    </w:lvl>
  </w:abstractNum>
  <w:abstractNum w:abstractNumId="75">
    <w:nsid w:val="14330624"/>
    <w:multiLevelType w:val="hybridMultilevel"/>
    <w:lvl w:ilvl="0">
      <w:lvlJc w:val="left"/>
      <w:lvlText w:val="%1."/>
      <w:numFmt w:val="decimal"/>
      <w:start w:val="5"/>
    </w:lvl>
  </w:abstractNum>
  <w:abstractNum w:abstractNumId="76">
    <w:nsid w:val="7FFFCA11"/>
    <w:multiLevelType w:val="hybridMultilevel"/>
    <w:lvl w:ilvl="0">
      <w:lvlJc w:val="left"/>
      <w:lvlText w:val="(%1)"/>
      <w:numFmt w:val="decimal"/>
      <w:start w:val="1"/>
    </w:lvl>
  </w:abstractNum>
  <w:abstractNum w:abstractNumId="77">
    <w:nsid w:val="1A27709E"/>
    <w:multiLevelType w:val="hybridMultilevel"/>
    <w:lvl w:ilvl="0">
      <w:lvlJc w:val="left"/>
      <w:lvlText w:val="(%1)"/>
      <w:numFmt w:val="decimal"/>
      <w:start w:val="1"/>
    </w:lvl>
  </w:abstractNum>
  <w:abstractNum w:abstractNumId="78">
    <w:nsid w:val="71EA1109"/>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abstractNum>
  <w:abstractNum w:abstractNumId="79">
    <w:nsid w:val="100F59DC"/>
    <w:multiLevelType w:val="hybridMultilevel"/>
    <w:lvl w:ilvl="0">
      <w:lvlJc w:val="left"/>
      <w:lvlText w:val="%1"/>
      <w:numFmt w:val="decimal"/>
      <w:start w:val="104"/>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1)"/>
      <w:numFmt w:val="lowerRoman"/>
      <w:start w:val="5"/>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195" Type="http://schemas.openxmlformats.org/officeDocument/2006/relationships/hyperlink" Target="http://www.sec.gov/Archives/edgar/data/1649094/000119312520170425/d944845dex31.htm" TargetMode="External"/><Relationship Id="rId196" Type="http://schemas.openxmlformats.org/officeDocument/2006/relationships/hyperlink" Target="http://www.sec.gov/Archives/edgar/data/1649094/000119312520170425/d944845dex32.htm" TargetMode="External"/><Relationship Id="rId197" Type="http://schemas.openxmlformats.org/officeDocument/2006/relationships/hyperlink" Target="http://www.sec.gov/Archives/edgar/data/1649094/000119312520162659/d802328dex41.htm" TargetMode="External"/><Relationship Id="rId198" Type="http://schemas.openxmlformats.org/officeDocument/2006/relationships/hyperlink" Target="http://www.sec.gov/Archives/edgar/data/1649094/000119312520150234/d802328dex101.htm" TargetMode="External"/><Relationship Id="rId199" Type="http://schemas.openxmlformats.org/officeDocument/2006/relationships/hyperlink" Target="http://www.sec.gov/Archives/edgar/data/1649094/000119312520150234/d802328dex102.htm" TargetMode="External"/><Relationship Id="rId200" Type="http://schemas.openxmlformats.org/officeDocument/2006/relationships/hyperlink" Target="http://www.sec.gov/Archives/edgar/data/1649094/000119312520162659/d802328dex103.htm" TargetMode="External"/><Relationship Id="rId201" Type="http://schemas.openxmlformats.org/officeDocument/2006/relationships/hyperlink" Target="http://www.sec.gov/Archives/edgar/data/0001649094/000119312520162659/d802328dex104.htm" TargetMode="External"/><Relationship Id="rId202" Type="http://schemas.openxmlformats.org/officeDocument/2006/relationships/hyperlink" Target="http://www.sec.gov/Archives/edgar/data/1649094/000119312520150234/d802328dex105.htm" TargetMode="External"/><Relationship Id="rId203" Type="http://schemas.openxmlformats.org/officeDocument/2006/relationships/hyperlink" Target="http://www.sec.gov/Archives/edgar/data/1649094/000119312520150234/d802328dex106.htm" TargetMode="External"/><Relationship Id="rId204" Type="http://schemas.openxmlformats.org/officeDocument/2006/relationships/hyperlink" Target="http://www.sec.gov/Archives/edgar/data/1649094/000119312520150234/d802328dex107.htm" TargetMode="External"/><Relationship Id="rId205" Type="http://schemas.openxmlformats.org/officeDocument/2006/relationships/hyperlink" Target="http://www.sec.gov/Archives/edgar/data/1649094/000119312520150234/d802328dex108.htm" TargetMode="External"/><Relationship Id="rId208" Type="http://schemas.openxmlformats.org/officeDocument/2006/relationships/hyperlink" Target="http://www.sec.gov/Archives/edgar/data/1649094/000119312520150234/d802328dex109.htm" TargetMode="External"/><Relationship Id="rId209" Type="http://schemas.openxmlformats.org/officeDocument/2006/relationships/hyperlink" Target="http://www.sec.gov/Archives/edgar/data/1649094/000119312520150234/d802328dex1010.htm" TargetMode="External"/><Relationship Id="rId210" Type="http://schemas.openxmlformats.org/officeDocument/2006/relationships/hyperlink" Target="http://www.sec.gov/Archives/edgar/data/1649094/000119312520150234/d802328dex1011.htm" TargetMode="External"/><Relationship Id="rId211" Type="http://schemas.openxmlformats.org/officeDocument/2006/relationships/hyperlink" Target="http://www.sec.gov/Archives/edgar/data/1649094/000119312520150234/d802328dex1012.htm" TargetMode="External"/><Relationship Id="rId212" Type="http://schemas.openxmlformats.org/officeDocument/2006/relationships/hyperlink" Target="http://www.sec.gov/Archives/edgar/data/1649094/000119312520150234/d802328dex1013.htm" TargetMode="External"/><Relationship Id="rId213" Type="http://schemas.openxmlformats.org/officeDocument/2006/relationships/hyperlink" Target="http://www.sec.gov/Archives/edgar/data/1649094/000119312520150234/d802328dex1014.htm" TargetMode="External"/><Relationship Id="rId214" Type="http://schemas.openxmlformats.org/officeDocument/2006/relationships/hyperlink" Target="http://www.sec.gov/Archives/edgar/data/1649094/000119312520150234/d802328dex1015.htm" TargetMode="External"/><Relationship Id="rId215" Type="http://schemas.openxmlformats.org/officeDocument/2006/relationships/hyperlink" Target="http://www.sec.gov/Archives/edgar/data/1649094/000119312520150234/d802328dex1016.htm" TargetMode="External"/><Relationship Id="rId216" Type="http://schemas.openxmlformats.org/officeDocument/2006/relationships/hyperlink" Target="http://www.sec.gov/Archives/edgar/data/1649094/000119312520150234/d802328dex1017.htm" TargetMode="External"/><Relationship Id="rId217" Type="http://schemas.openxmlformats.org/officeDocument/2006/relationships/hyperlink" Target="http://www.sec.gov/Archives/edgar/data/1649094/000119312520150234/d802328dex1018.htm" TargetMode="External"/><Relationship Id="rId220" Type="http://schemas.openxmlformats.org/officeDocument/2006/relationships/hyperlink" Target="http://www.sec.gov/Archives/edgar/data/1649094/000119312520150234/d802328dex1019.htm" TargetMode="External"/><Relationship Id="rId221" Type="http://schemas.openxmlformats.org/officeDocument/2006/relationships/hyperlink" Target="http://www.sec.gov/Archives/edgar/data/1649094/000119312520150234/d802328dex1020.htm" TargetMode="External"/><Relationship Id="rId222" Type="http://schemas.openxmlformats.org/officeDocument/2006/relationships/hyperlink" Target="http://www.sec.gov/Archives/edgar/data/1649094/000119312520150234/d802328dex1021.htm" TargetMode="External"/><Relationship Id="rId223" Type="http://schemas.openxmlformats.org/officeDocument/2006/relationships/hyperlink" Target="http://www.sec.gov/Archives/edgar/data/1649094/000119312520150234/d802328dex1022.htm" TargetMode="External"/><Relationship Id="rId224" Type="http://schemas.openxmlformats.org/officeDocument/2006/relationships/hyperlink" Target="http://www.sec.gov/Archives/edgar/data/1649094/000119312520150234/d802328dex1023.htm" TargetMode="External"/><Relationship Id="rId225" Type="http://schemas.openxmlformats.org/officeDocument/2006/relationships/hyperlink" Target="http://www.sec.gov/Archives/edgar/data/1649094/000119312521016229/d84459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2021-03-29T15:07:18Z</dcterms:created>
  <dcterms:modified xsi:type="dcterms:W3CDTF">2021-03-29T15:07:18Z</dcterms:modified>
</cp:coreProperties>
</file>