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174625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w:t>
      </w:r>
      <w:r>
        <w:rPr>
          <w:rFonts w:ascii="Arial" w:cs="Arial" w:eastAsia="Arial" w:hAnsi="Arial"/>
          <w:sz w:val="22"/>
          <w:szCs w:val="22"/>
          <w:b w:val="1"/>
          <w:bCs w:val="1"/>
          <w:u w:val="single" w:color="auto"/>
          <w:color w:val="auto"/>
        </w:rPr>
        <w:t>ASHINGTON, D.C. 205</w:t>
      </w:r>
      <w:r>
        <w:rPr>
          <w:rFonts w:ascii="Arial" w:cs="Arial" w:eastAsia="Arial" w:hAnsi="Arial"/>
          <w:sz w:val="22"/>
          <w:szCs w:val="22"/>
          <w:b w:val="1"/>
          <w:bCs w:val="1"/>
          <w:color w:val="auto"/>
        </w:rPr>
        <w:t>49</w:t>
      </w:r>
    </w:p>
    <w:p>
      <w:pPr>
        <w:spacing w:after="0" w:line="15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32385</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7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5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0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Date of Report (Date of earliest event reported): November 07,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68580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53"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Vaxcyte, Inc.</w:t>
      </w:r>
    </w:p>
    <w:p>
      <w:pPr>
        <w:spacing w:after="0" w:line="90"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(Exact name of Registrant as Specified in Its Charter)</w:t>
      </w:r>
    </w:p>
    <w:p>
      <w:pPr>
        <w:spacing w:after="0" w:line="154" w:lineRule="exact"/>
        <w:rPr>
          <w:sz w:val="24"/>
          <w:szCs w:val="24"/>
          <w:color w:val="auto"/>
        </w:rPr>
      </w:pPr>
    </w:p>
    <w:tbl>
      <w:tblPr>
        <w:tblLayout w:type="fixed"/>
        <w:tblInd w:w="1220" w:type="dxa"/>
        <w:tblCellMar>
          <w:top w:w="0" w:type="dxa"/>
          <w:left w:w="0" w:type="dxa"/>
          <w:bottom w:w="0" w:type="dxa"/>
          <w:right w:w="0" w:type="dxa"/>
        </w:tblCellMar>
      </w:tblPr>
      <w:tr>
        <w:trPr>
          <w:trHeight w:val="190"/>
        </w:trPr>
        <w:tc>
          <w:tcPr>
            <w:tcW w:w="3280" w:type="dxa"/>
            <w:vAlign w:val="bottom"/>
          </w:tcPr>
          <w:p>
            <w:pPr>
              <w:jc w:val="center"/>
              <w:ind w:right="880"/>
              <w:spacing w:after="0" w:line="189" w:lineRule="exact"/>
              <w:rPr>
                <w:sz w:val="20"/>
                <w:szCs w:val="20"/>
                <w:color w:val="auto"/>
              </w:rPr>
            </w:pPr>
            <w:r>
              <w:rPr>
                <w:rFonts w:ascii="Arial" w:cs="Arial" w:eastAsia="Arial" w:hAnsi="Arial"/>
                <w:sz w:val="18"/>
                <w:szCs w:val="18"/>
                <w:b w:val="1"/>
                <w:bCs w:val="1"/>
                <w:color w:val="auto"/>
                <w:w w:val="91"/>
              </w:rPr>
              <w:t>Delaware</w:t>
            </w:r>
          </w:p>
        </w:tc>
        <w:tc>
          <w:tcPr>
            <w:tcW w:w="2240" w:type="dxa"/>
            <w:vAlign w:val="bottom"/>
            <w:tcBorders>
              <w:top w:val="single" w:sz="8" w:color="auto"/>
            </w:tcBorders>
          </w:tcPr>
          <w:p>
            <w:pPr>
              <w:jc w:val="right"/>
              <w:ind w:right="581"/>
              <w:spacing w:after="0" w:line="189" w:lineRule="exact"/>
              <w:rPr>
                <w:sz w:val="20"/>
                <w:szCs w:val="20"/>
                <w:color w:val="auto"/>
              </w:rPr>
            </w:pPr>
            <w:r>
              <w:rPr>
                <w:rFonts w:ascii="Arial" w:cs="Arial" w:eastAsia="Arial" w:hAnsi="Arial"/>
                <w:sz w:val="18"/>
                <w:szCs w:val="18"/>
                <w:b w:val="1"/>
                <w:bCs w:val="1"/>
                <w:color w:val="auto"/>
              </w:rPr>
              <w:t>01-39323</w:t>
            </w:r>
          </w:p>
        </w:tc>
        <w:tc>
          <w:tcPr>
            <w:tcW w:w="2780" w:type="dxa"/>
            <w:vAlign w:val="bottom"/>
          </w:tcPr>
          <w:p>
            <w:pPr>
              <w:jc w:val="right"/>
              <w:ind w:right="24"/>
              <w:spacing w:after="0" w:line="189" w:lineRule="exact"/>
              <w:rPr>
                <w:sz w:val="20"/>
                <w:szCs w:val="20"/>
                <w:color w:val="auto"/>
              </w:rPr>
            </w:pPr>
            <w:r>
              <w:rPr>
                <w:rFonts w:ascii="Arial" w:cs="Arial" w:eastAsia="Arial" w:hAnsi="Arial"/>
                <w:sz w:val="18"/>
                <w:szCs w:val="18"/>
                <w:b w:val="1"/>
                <w:bCs w:val="1"/>
                <w:color w:val="auto"/>
              </w:rPr>
              <w:t>46-4233385</w:t>
            </w:r>
          </w:p>
        </w:tc>
      </w:tr>
      <w:tr>
        <w:trPr>
          <w:trHeight w:val="148"/>
        </w:trPr>
        <w:tc>
          <w:tcPr>
            <w:tcW w:w="3280" w:type="dxa"/>
            <w:vAlign w:val="bottom"/>
          </w:tcPr>
          <w:p>
            <w:pPr>
              <w:jc w:val="center"/>
              <w:ind w:right="880"/>
              <w:spacing w:after="0"/>
              <w:rPr>
                <w:sz w:val="20"/>
                <w:szCs w:val="20"/>
                <w:color w:val="auto"/>
              </w:rPr>
            </w:pPr>
            <w:r>
              <w:rPr>
                <w:rFonts w:ascii="Arial" w:cs="Arial" w:eastAsia="Arial" w:hAnsi="Arial"/>
                <w:sz w:val="13"/>
                <w:szCs w:val="13"/>
                <w:b w:val="1"/>
                <w:bCs w:val="1"/>
                <w:color w:val="auto"/>
                <w:w w:val="95"/>
              </w:rPr>
              <w:t>(State or Other Jurisdiction</w:t>
            </w:r>
          </w:p>
        </w:tc>
        <w:tc>
          <w:tcPr>
            <w:tcW w:w="2240" w:type="dxa"/>
            <w:vAlign w:val="bottom"/>
          </w:tcPr>
          <w:p>
            <w:pPr>
              <w:jc w:val="center"/>
              <w:ind w:left="161"/>
              <w:spacing w:after="0"/>
              <w:rPr>
                <w:sz w:val="20"/>
                <w:szCs w:val="20"/>
                <w:color w:val="auto"/>
              </w:rPr>
            </w:pPr>
            <w:r>
              <w:rPr>
                <w:rFonts w:ascii="Arial" w:cs="Arial" w:eastAsia="Arial" w:hAnsi="Arial"/>
                <w:sz w:val="13"/>
                <w:szCs w:val="13"/>
                <w:b w:val="1"/>
                <w:bCs w:val="1"/>
                <w:color w:val="auto"/>
                <w:w w:val="94"/>
              </w:rPr>
              <w:t>(Commission File Number)</w:t>
            </w:r>
          </w:p>
        </w:tc>
        <w:tc>
          <w:tcPr>
            <w:tcW w:w="2780" w:type="dxa"/>
            <w:vAlign w:val="bottom"/>
          </w:tcPr>
          <w:p>
            <w:pPr>
              <w:jc w:val="center"/>
              <w:ind w:left="1624"/>
              <w:spacing w:after="0"/>
              <w:rPr>
                <w:sz w:val="20"/>
                <w:szCs w:val="20"/>
                <w:color w:val="auto"/>
              </w:rPr>
            </w:pPr>
            <w:r>
              <w:rPr>
                <w:rFonts w:ascii="Arial" w:cs="Arial" w:eastAsia="Arial" w:hAnsi="Arial"/>
                <w:sz w:val="13"/>
                <w:szCs w:val="13"/>
                <w:b w:val="1"/>
                <w:bCs w:val="1"/>
                <w:color w:val="auto"/>
                <w:w w:val="98"/>
              </w:rPr>
              <w:t>(IRS Employer</w:t>
            </w:r>
          </w:p>
        </w:tc>
      </w:tr>
      <w:tr>
        <w:trPr>
          <w:trHeight w:val="174"/>
        </w:trPr>
        <w:tc>
          <w:tcPr>
            <w:tcW w:w="3280" w:type="dxa"/>
            <w:vAlign w:val="bottom"/>
          </w:tcPr>
          <w:p>
            <w:pPr>
              <w:jc w:val="center"/>
              <w:ind w:right="880"/>
              <w:spacing w:after="0"/>
              <w:rPr>
                <w:sz w:val="20"/>
                <w:szCs w:val="20"/>
                <w:color w:val="auto"/>
              </w:rPr>
            </w:pPr>
            <w:r>
              <w:rPr>
                <w:rFonts w:ascii="Arial" w:cs="Arial" w:eastAsia="Arial" w:hAnsi="Arial"/>
                <w:sz w:val="13"/>
                <w:szCs w:val="13"/>
                <w:b w:val="1"/>
                <w:bCs w:val="1"/>
                <w:color w:val="auto"/>
                <w:w w:val="96"/>
              </w:rPr>
              <w:t>of Incorporation)</w:t>
            </w:r>
          </w:p>
        </w:tc>
        <w:tc>
          <w:tcPr>
            <w:tcW w:w="2240" w:type="dxa"/>
            <w:vAlign w:val="bottom"/>
          </w:tcPr>
          <w:p>
            <w:pPr>
              <w:spacing w:after="0"/>
              <w:rPr>
                <w:sz w:val="15"/>
                <w:szCs w:val="15"/>
                <w:color w:val="auto"/>
              </w:rPr>
            </w:pPr>
          </w:p>
        </w:tc>
        <w:tc>
          <w:tcPr>
            <w:tcW w:w="2780" w:type="dxa"/>
            <w:vAlign w:val="bottom"/>
          </w:tcPr>
          <w:p>
            <w:pPr>
              <w:jc w:val="center"/>
              <w:ind w:left="1644"/>
              <w:spacing w:after="0"/>
              <w:rPr>
                <w:sz w:val="20"/>
                <w:szCs w:val="20"/>
                <w:color w:val="auto"/>
              </w:rPr>
            </w:pPr>
            <w:r>
              <w:rPr>
                <w:rFonts w:ascii="Arial" w:cs="Arial" w:eastAsia="Arial" w:hAnsi="Arial"/>
                <w:sz w:val="13"/>
                <w:szCs w:val="13"/>
                <w:b w:val="1"/>
                <w:bCs w:val="1"/>
                <w:color w:val="auto"/>
                <w:w w:val="96"/>
              </w:rPr>
              <w:t>Identification No.)</w:t>
            </w:r>
          </w:p>
        </w:tc>
      </w:tr>
      <w:tr>
        <w:trPr>
          <w:trHeight w:val="360"/>
        </w:trPr>
        <w:tc>
          <w:tcPr>
            <w:tcW w:w="3280" w:type="dxa"/>
            <w:vAlign w:val="bottom"/>
          </w:tcPr>
          <w:p>
            <w:pPr>
              <w:jc w:val="center"/>
              <w:ind w:right="900"/>
              <w:spacing w:after="0"/>
              <w:rPr>
                <w:sz w:val="20"/>
                <w:szCs w:val="20"/>
                <w:color w:val="auto"/>
              </w:rPr>
            </w:pPr>
            <w:r>
              <w:rPr>
                <w:rFonts w:ascii="Arial" w:cs="Arial" w:eastAsia="Arial" w:hAnsi="Arial"/>
                <w:sz w:val="18"/>
                <w:szCs w:val="18"/>
                <w:b w:val="1"/>
                <w:bCs w:val="1"/>
                <w:color w:val="auto"/>
                <w:w w:val="92"/>
              </w:rPr>
              <w:t>825 Industrial Road</w:t>
            </w:r>
          </w:p>
        </w:tc>
        <w:tc>
          <w:tcPr>
            <w:tcW w:w="2240" w:type="dxa"/>
            <w:vAlign w:val="bottom"/>
          </w:tcPr>
          <w:p>
            <w:pPr>
              <w:spacing w:after="0"/>
              <w:rPr>
                <w:sz w:val="24"/>
                <w:szCs w:val="24"/>
                <w:color w:val="auto"/>
              </w:rPr>
            </w:pPr>
          </w:p>
        </w:tc>
        <w:tc>
          <w:tcPr>
            <w:tcW w:w="2780" w:type="dxa"/>
            <w:vAlign w:val="bottom"/>
          </w:tcPr>
          <w:p>
            <w:pPr>
              <w:spacing w:after="0"/>
              <w:rPr>
                <w:sz w:val="24"/>
                <w:szCs w:val="24"/>
                <w:color w:val="auto"/>
              </w:rPr>
            </w:pPr>
          </w:p>
        </w:tc>
      </w:tr>
      <w:tr>
        <w:trPr>
          <w:trHeight w:val="203"/>
        </w:trPr>
        <w:tc>
          <w:tcPr>
            <w:tcW w:w="3280" w:type="dxa"/>
            <w:vAlign w:val="bottom"/>
          </w:tcPr>
          <w:p>
            <w:pPr>
              <w:jc w:val="center"/>
              <w:ind w:right="900"/>
              <w:spacing w:after="0" w:line="202" w:lineRule="exact"/>
              <w:rPr>
                <w:sz w:val="20"/>
                <w:szCs w:val="20"/>
                <w:color w:val="auto"/>
              </w:rPr>
            </w:pPr>
            <w:r>
              <w:rPr>
                <w:rFonts w:ascii="Arial" w:cs="Arial" w:eastAsia="Arial" w:hAnsi="Arial"/>
                <w:sz w:val="18"/>
                <w:szCs w:val="18"/>
                <w:b w:val="1"/>
                <w:bCs w:val="1"/>
                <w:color w:val="auto"/>
                <w:w w:val="88"/>
              </w:rPr>
              <w:t>Suite 300</w:t>
            </w:r>
          </w:p>
        </w:tc>
        <w:tc>
          <w:tcPr>
            <w:tcW w:w="2240" w:type="dxa"/>
            <w:vAlign w:val="bottom"/>
          </w:tcPr>
          <w:p>
            <w:pPr>
              <w:spacing w:after="0"/>
              <w:rPr>
                <w:sz w:val="17"/>
                <w:szCs w:val="17"/>
                <w:color w:val="auto"/>
              </w:rPr>
            </w:pPr>
          </w:p>
        </w:tc>
        <w:tc>
          <w:tcPr>
            <w:tcW w:w="2780" w:type="dxa"/>
            <w:vAlign w:val="bottom"/>
          </w:tcPr>
          <w:p>
            <w:pPr>
              <w:spacing w:after="0"/>
              <w:rPr>
                <w:sz w:val="17"/>
                <w:szCs w:val="17"/>
                <w:color w:val="auto"/>
              </w:rPr>
            </w:pPr>
          </w:p>
        </w:tc>
      </w:tr>
      <w:tr>
        <w:trPr>
          <w:trHeight w:val="208"/>
        </w:trPr>
        <w:tc>
          <w:tcPr>
            <w:tcW w:w="3280" w:type="dxa"/>
            <w:vAlign w:val="bottom"/>
          </w:tcPr>
          <w:p>
            <w:pPr>
              <w:jc w:val="center"/>
              <w:ind w:right="880"/>
              <w:spacing w:after="0"/>
              <w:rPr>
                <w:sz w:val="20"/>
                <w:szCs w:val="20"/>
                <w:color w:val="auto"/>
              </w:rPr>
            </w:pPr>
            <w:r>
              <w:rPr>
                <w:rFonts w:ascii="Arial" w:cs="Arial" w:eastAsia="Arial" w:hAnsi="Arial"/>
                <w:sz w:val="18"/>
                <w:szCs w:val="18"/>
                <w:b w:val="1"/>
                <w:bCs w:val="1"/>
                <w:color w:val="auto"/>
                <w:w w:val="91"/>
              </w:rPr>
              <w:t>San Carlos, California</w:t>
            </w:r>
          </w:p>
        </w:tc>
        <w:tc>
          <w:tcPr>
            <w:tcW w:w="2240" w:type="dxa"/>
            <w:vAlign w:val="bottom"/>
          </w:tcPr>
          <w:p>
            <w:pPr>
              <w:spacing w:after="0"/>
              <w:rPr>
                <w:sz w:val="18"/>
                <w:szCs w:val="18"/>
                <w:color w:val="auto"/>
              </w:rPr>
            </w:pPr>
          </w:p>
        </w:tc>
        <w:tc>
          <w:tcPr>
            <w:tcW w:w="2780" w:type="dxa"/>
            <w:vAlign w:val="bottom"/>
          </w:tcPr>
          <w:p>
            <w:pPr>
              <w:jc w:val="right"/>
              <w:ind w:right="224"/>
              <w:spacing w:after="0"/>
              <w:rPr>
                <w:sz w:val="20"/>
                <w:szCs w:val="20"/>
                <w:color w:val="auto"/>
              </w:rPr>
            </w:pPr>
            <w:r>
              <w:rPr>
                <w:rFonts w:ascii="Arial" w:cs="Arial" w:eastAsia="Arial" w:hAnsi="Arial"/>
                <w:sz w:val="18"/>
                <w:szCs w:val="18"/>
                <w:b w:val="1"/>
                <w:bCs w:val="1"/>
                <w:color w:val="auto"/>
              </w:rPr>
              <w:t>94070</w:t>
            </w:r>
          </w:p>
        </w:tc>
      </w:tr>
      <w:tr>
        <w:trPr>
          <w:trHeight w:val="174"/>
        </w:trPr>
        <w:tc>
          <w:tcPr>
            <w:tcW w:w="3280" w:type="dxa"/>
            <w:vAlign w:val="bottom"/>
          </w:tcPr>
          <w:p>
            <w:pPr>
              <w:jc w:val="center"/>
              <w:ind w:right="880"/>
              <w:spacing w:after="0"/>
              <w:rPr>
                <w:sz w:val="20"/>
                <w:szCs w:val="20"/>
                <w:color w:val="auto"/>
              </w:rPr>
            </w:pPr>
            <w:r>
              <w:rPr>
                <w:rFonts w:ascii="Arial" w:cs="Arial" w:eastAsia="Arial" w:hAnsi="Arial"/>
                <w:sz w:val="13"/>
                <w:szCs w:val="13"/>
                <w:b w:val="1"/>
                <w:bCs w:val="1"/>
                <w:color w:val="auto"/>
                <w:w w:val="93"/>
              </w:rPr>
              <w:t>(Address of Principal Executive Offices)</w:t>
            </w:r>
          </w:p>
        </w:tc>
        <w:tc>
          <w:tcPr>
            <w:tcW w:w="2240" w:type="dxa"/>
            <w:vAlign w:val="bottom"/>
          </w:tcPr>
          <w:p>
            <w:pPr>
              <w:spacing w:after="0"/>
              <w:rPr>
                <w:sz w:val="15"/>
                <w:szCs w:val="15"/>
                <w:color w:val="auto"/>
              </w:rPr>
            </w:pPr>
          </w:p>
        </w:tc>
        <w:tc>
          <w:tcPr>
            <w:tcW w:w="2780" w:type="dxa"/>
            <w:vAlign w:val="bottom"/>
          </w:tcPr>
          <w:p>
            <w:pPr>
              <w:jc w:val="center"/>
              <w:ind w:left="1644"/>
              <w:spacing w:after="0"/>
              <w:rPr>
                <w:sz w:val="20"/>
                <w:szCs w:val="20"/>
                <w:color w:val="auto"/>
              </w:rPr>
            </w:pPr>
            <w:r>
              <w:rPr>
                <w:rFonts w:ascii="Arial" w:cs="Arial" w:eastAsia="Arial" w:hAnsi="Arial"/>
                <w:sz w:val="13"/>
                <w:szCs w:val="13"/>
                <w:b w:val="1"/>
                <w:bCs w:val="1"/>
                <w:color w:val="auto"/>
                <w:w w:val="96"/>
              </w:rPr>
              <w:t>(Zip Code)</w:t>
            </w:r>
          </w:p>
        </w:tc>
      </w:tr>
    </w:tbl>
    <w:p>
      <w:pPr>
        <w:spacing w:after="0" w:line="198"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Registrant’s Telephone Number, Including Area Code: 650 837-0111</w:t>
      </w:r>
    </w:p>
    <w:p>
      <w:pPr>
        <w:spacing w:after="0" w:line="15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111125</wp:posOffset>
            </wp:positionV>
            <wp:extent cx="142303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316" w:lineRule="exact"/>
        <w:rPr>
          <w:sz w:val="24"/>
          <w:szCs w:val="24"/>
          <w:color w:val="auto"/>
        </w:rPr>
      </w:pPr>
    </w:p>
    <w:p>
      <w:pPr>
        <w:ind w:right="680"/>
        <w:spacing w:after="0" w:line="261"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30" w:lineRule="exact"/>
        <w:rPr>
          <w:sz w:val="24"/>
          <w:szCs w:val="24"/>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03"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03"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53" w:lineRule="exact"/>
        <w:rPr>
          <w:rFonts w:ascii="MS PGothic" w:cs="MS PGothic" w:eastAsia="MS PGothic" w:hAnsi="MS PGothic"/>
          <w:sz w:val="18"/>
          <w:szCs w:val="18"/>
          <w:color w:val="auto"/>
        </w:rPr>
      </w:pPr>
    </w:p>
    <w:p>
      <w:pPr>
        <w:ind w:left="3420"/>
        <w:spacing w:after="0"/>
        <w:rPr>
          <w:rFonts w:ascii="MS PGothic" w:cs="MS PGothic" w:eastAsia="MS PGothic" w:hAnsi="MS PGothic"/>
          <w:sz w:val="18"/>
          <w:szCs w:val="18"/>
          <w:color w:val="auto"/>
        </w:rPr>
      </w:pPr>
      <w:r>
        <w:rPr>
          <w:rFonts w:ascii="Arial" w:cs="Arial" w:eastAsia="Arial" w:hAnsi="Arial"/>
          <w:sz w:val="18"/>
          <w:szCs w:val="18"/>
          <w:b w:val="1"/>
          <w:bCs w:val="1"/>
          <w:color w:val="auto"/>
        </w:rPr>
        <w:t>Securities registered pursuant to Section 12(b) of the Act:</w:t>
      </w:r>
    </w:p>
    <w:p>
      <w:pPr>
        <w:spacing w:after="0" w:line="126"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4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93"/>
              </w:rPr>
              <w:t>Trading</w:t>
            </w:r>
          </w:p>
        </w:tc>
        <w:tc>
          <w:tcPr>
            <w:tcW w:w="120" w:type="dxa"/>
            <w:vAlign w:val="bottom"/>
          </w:tcPr>
          <w:p>
            <w:pPr>
              <w:spacing w:after="0"/>
              <w:rPr>
                <w:sz w:val="18"/>
                <w:szCs w:val="18"/>
                <w:color w:val="auto"/>
              </w:rPr>
            </w:pPr>
          </w:p>
        </w:tc>
        <w:tc>
          <w:tcPr>
            <w:tcW w:w="5040" w:type="dxa"/>
            <w:vAlign w:val="bottom"/>
          </w:tcPr>
          <w:p>
            <w:pPr>
              <w:spacing w:after="0"/>
              <w:rPr>
                <w:sz w:val="18"/>
                <w:szCs w:val="18"/>
                <w:color w:val="auto"/>
              </w:rPr>
            </w:pPr>
          </w:p>
        </w:tc>
      </w:tr>
      <w:tr>
        <w:trPr>
          <w:trHeight w:val="234"/>
        </w:trPr>
        <w:tc>
          <w:tcPr>
            <w:tcW w:w="42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Title of each class</w:t>
            </w:r>
          </w:p>
        </w:tc>
        <w:tc>
          <w:tcPr>
            <w:tcW w:w="120" w:type="dxa"/>
            <w:vAlign w:val="bottom"/>
          </w:tcPr>
          <w:p>
            <w:pPr>
              <w:spacing w:after="0"/>
              <w:rPr>
                <w:sz w:val="20"/>
                <w:szCs w:val="20"/>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Symbol(s)</w:t>
            </w:r>
          </w:p>
        </w:tc>
        <w:tc>
          <w:tcPr>
            <w:tcW w:w="120" w:type="dxa"/>
            <w:vAlign w:val="bottom"/>
          </w:tcPr>
          <w:p>
            <w:pPr>
              <w:spacing w:after="0"/>
              <w:rPr>
                <w:sz w:val="20"/>
                <w:szCs w:val="20"/>
                <w:color w:val="auto"/>
              </w:rPr>
            </w:pPr>
          </w:p>
        </w:tc>
        <w:tc>
          <w:tcPr>
            <w:tcW w:w="50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4"/>
        </w:trPr>
        <w:tc>
          <w:tcPr>
            <w:tcW w:w="4280" w:type="dxa"/>
            <w:vAlign w:val="bottom"/>
          </w:tcPr>
          <w:p>
            <w:pPr>
              <w:jc w:val="center"/>
              <w:spacing w:after="0"/>
              <w:rPr>
                <w:sz w:val="20"/>
                <w:szCs w:val="20"/>
                <w:color w:val="auto"/>
              </w:rPr>
            </w:pPr>
            <w:r>
              <w:rPr>
                <w:rFonts w:ascii="Arial" w:cs="Arial" w:eastAsia="Arial" w:hAnsi="Arial"/>
                <w:sz w:val="18"/>
                <w:szCs w:val="18"/>
                <w:color w:val="auto"/>
                <w:w w:val="89"/>
              </w:rPr>
              <w:t>Common Stock, $0.001 par value per share</w:t>
            </w:r>
          </w:p>
        </w:tc>
        <w:tc>
          <w:tcPr>
            <w:tcW w:w="120" w:type="dxa"/>
            <w:vAlign w:val="bottom"/>
          </w:tcPr>
          <w:p>
            <w:pPr>
              <w:spacing w:after="0"/>
              <w:rPr>
                <w:sz w:val="19"/>
                <w:szCs w:val="19"/>
                <w:color w:val="auto"/>
              </w:rPr>
            </w:pPr>
          </w:p>
        </w:tc>
        <w:tc>
          <w:tcPr>
            <w:tcW w:w="1680" w:type="dxa"/>
            <w:vAlign w:val="bottom"/>
          </w:tcPr>
          <w:p>
            <w:pPr>
              <w:jc w:val="center"/>
              <w:spacing w:after="0"/>
              <w:rPr>
                <w:sz w:val="20"/>
                <w:szCs w:val="20"/>
                <w:color w:val="auto"/>
              </w:rPr>
            </w:pPr>
            <w:r>
              <w:rPr>
                <w:rFonts w:ascii="Arial" w:cs="Arial" w:eastAsia="Arial" w:hAnsi="Arial"/>
                <w:sz w:val="18"/>
                <w:szCs w:val="18"/>
                <w:color w:val="auto"/>
                <w:w w:val="97"/>
              </w:rPr>
              <w:t>PCVX</w:t>
            </w:r>
          </w:p>
        </w:tc>
        <w:tc>
          <w:tcPr>
            <w:tcW w:w="120" w:type="dxa"/>
            <w:vAlign w:val="bottom"/>
          </w:tcPr>
          <w:p>
            <w:pPr>
              <w:spacing w:after="0"/>
              <w:rPr>
                <w:sz w:val="19"/>
                <w:szCs w:val="19"/>
                <w:color w:val="auto"/>
              </w:rPr>
            </w:pPr>
          </w:p>
        </w:tc>
        <w:tc>
          <w:tcPr>
            <w:tcW w:w="5040" w:type="dxa"/>
            <w:vAlign w:val="bottom"/>
          </w:tcPr>
          <w:p>
            <w:pPr>
              <w:jc w:val="center"/>
              <w:spacing w:after="0"/>
              <w:rPr>
                <w:sz w:val="20"/>
                <w:szCs w:val="20"/>
                <w:color w:val="auto"/>
              </w:rPr>
            </w:pPr>
            <w:r>
              <w:rPr>
                <w:rFonts w:ascii="Arial" w:cs="Arial" w:eastAsia="Arial" w:hAnsi="Arial"/>
                <w:sz w:val="18"/>
                <w:szCs w:val="18"/>
                <w:color w:val="auto"/>
                <w:w w:val="95"/>
              </w:rPr>
              <w:t>The NASDAQ Stock Market LLC</w:t>
            </w:r>
          </w:p>
        </w:tc>
      </w:tr>
    </w:tbl>
    <w:p>
      <w:pPr>
        <w:spacing w:after="0" w:line="174"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7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90" w:lineRule="exact"/>
        <w:rPr>
          <w:sz w:val="24"/>
          <w:szCs w:val="24"/>
          <w:color w:val="auto"/>
        </w:rPr>
      </w:pPr>
    </w:p>
    <w:p>
      <w:pPr>
        <w:ind w:right="160"/>
        <w:spacing w:after="0" w:line="226"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-11430</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5080</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198120</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08" w:lineRule="exact"/>
        <w:rPr>
          <w:sz w:val="20"/>
          <w:szCs w:val="20"/>
          <w:color w:val="auto"/>
        </w:rPr>
      </w:pPr>
    </w:p>
    <w:p>
      <w:pPr>
        <w:ind w:firstLine="1018"/>
        <w:spacing w:after="0" w:line="277" w:lineRule="auto"/>
        <w:rPr>
          <w:sz w:val="20"/>
          <w:szCs w:val="20"/>
          <w:color w:val="auto"/>
        </w:rPr>
      </w:pPr>
      <w:r>
        <w:rPr>
          <w:rFonts w:ascii="Arial" w:cs="Arial" w:eastAsia="Arial" w:hAnsi="Arial"/>
          <w:sz w:val="18"/>
          <w:szCs w:val="18"/>
          <w:color w:val="auto"/>
        </w:rPr>
        <w:t>On November 7, 2022, Vaxcyte, Inc. issued a press release announcing its financial results for the quarter ended September 30, 2022. The full text of the press release is furnished as Exhibit 99.1 to this report on Form 8-K and is incorporated herein by reference.</w:t>
      </w:r>
    </w:p>
    <w:p>
      <w:pPr>
        <w:spacing w:after="0" w:line="143" w:lineRule="exact"/>
        <w:rPr>
          <w:sz w:val="20"/>
          <w:szCs w:val="20"/>
          <w:color w:val="auto"/>
        </w:rPr>
      </w:pPr>
    </w:p>
    <w:p>
      <w:pPr>
        <w:ind w:right="20" w:firstLine="1018"/>
        <w:spacing w:after="0" w:line="249" w:lineRule="auto"/>
        <w:rPr>
          <w:sz w:val="20"/>
          <w:szCs w:val="20"/>
          <w:color w:val="auto"/>
        </w:rPr>
      </w:pPr>
      <w:r>
        <w:rPr>
          <w:rFonts w:ascii="Arial" w:cs="Arial" w:eastAsia="Arial" w:hAnsi="Arial"/>
          <w:sz w:val="18"/>
          <w:szCs w:val="18"/>
          <w:color w:val="auto"/>
        </w:rPr>
        <w:t>The information in this Item 2.02 and Item 9.01, including Exhibit 99.1, shall not be deemed to be “filed” for purposes of Section 18 of the Securities Exchange Act of 1934, as amended (the “Exchange Act”), or otherwise subject to the liabilities of that section, nor shall it be deemed incorporated by reference into any registration statement or other document filed under the Securities Act of 1933, as amended or the Exchange Act, except as shall be expressly set forth by specific reference in such filing.</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08"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44" w:lineRule="exact"/>
        <w:rPr>
          <w:sz w:val="20"/>
          <w:szCs w:val="20"/>
          <w:color w:val="auto"/>
        </w:rPr>
      </w:pPr>
    </w:p>
    <w:p>
      <w:pPr>
        <w:ind w:left="180"/>
        <w:spacing w:after="0"/>
        <w:tabs>
          <w:tab w:leader="none" w:pos="1020" w:val="left"/>
        </w:tabs>
        <w:rPr>
          <w:sz w:val="20"/>
          <w:szCs w:val="20"/>
          <w:color w:val="auto"/>
        </w:rPr>
      </w:pPr>
      <w:r>
        <w:rPr>
          <w:rFonts w:ascii="Arial" w:cs="Arial" w:eastAsia="Arial" w:hAnsi="Arial"/>
          <w:sz w:val="14"/>
          <w:szCs w:val="14"/>
          <w:b w:val="1"/>
          <w:bCs w:val="1"/>
          <w:color w:val="auto"/>
        </w:rPr>
        <w:t>Exhibit</w:t>
      </w:r>
      <w:r>
        <w:rPr>
          <w:sz w:val="20"/>
          <w:szCs w:val="20"/>
          <w:color w:val="auto"/>
        </w:rPr>
        <w:tab/>
      </w:r>
      <w:r>
        <w:rPr>
          <w:rFonts w:ascii="Arial" w:cs="Arial" w:eastAsia="Arial" w:hAnsi="Arial"/>
          <w:sz w:val="14"/>
          <w:szCs w:val="14"/>
          <w:b w:val="1"/>
          <w:bCs w:val="1"/>
          <w:color w:val="auto"/>
        </w:rPr>
        <w:t>Description</w:t>
      </w:r>
    </w:p>
    <w:p>
      <w:pPr>
        <w:spacing w:after="0" w:line="4" w:lineRule="exact"/>
        <w:rPr>
          <w:sz w:val="20"/>
          <w:szCs w:val="20"/>
          <w:color w:val="auto"/>
        </w:rPr>
      </w:pPr>
    </w:p>
    <w:p>
      <w:pPr>
        <w:ind w:left="160"/>
        <w:spacing w:after="0"/>
        <w:rPr>
          <w:sz w:val="20"/>
          <w:szCs w:val="20"/>
          <w:color w:val="auto"/>
        </w:rPr>
      </w:pPr>
      <w:r>
        <w:rPr>
          <w:rFonts w:ascii="Arial" w:cs="Arial" w:eastAsia="Arial" w:hAnsi="Arial"/>
          <w:sz w:val="14"/>
          <w:szCs w:val="14"/>
          <w:b w:val="1"/>
          <w:bCs w:val="1"/>
          <w:color w:val="auto"/>
        </w:rPr>
        <w:t>Number</w:t>
      </w:r>
    </w:p>
    <w:p>
      <w:pPr>
        <w:spacing w:after="0" w:line="9" w:lineRule="exact"/>
        <w:rPr>
          <w:sz w:val="20"/>
          <w:szCs w:val="20"/>
          <w:color w:val="auto"/>
        </w:rPr>
      </w:pPr>
    </w:p>
    <w:p>
      <w:pPr>
        <w:ind w:left="240"/>
        <w:spacing w:after="0"/>
        <w:tabs>
          <w:tab w:leader="none" w:pos="102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6"/>
          <w:szCs w:val="16"/>
          <w:u w:val="single" w:color="auto"/>
          <w:color w:val="0000FF"/>
        </w:rPr>
        <w:t>Press Release of Vaxcyte, Inc., dated November 7,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-123190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664845</wp:posOffset>
            </wp:positionH>
            <wp:positionV relativeFrom="paragraph">
              <wp:posOffset>-11430</wp:posOffset>
            </wp:positionV>
            <wp:extent cx="256349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563495" cy="8255"/>
                    </a:xfrm>
                    <a:prstGeom prst="rect">
                      <a:avLst/>
                    </a:prstGeom>
                    <a:noFill/>
                  </pic:spPr>
                </pic:pic>
              </a:graphicData>
            </a:graphic>
          </wp:anchor>
        </w:drawing>
      </w:r>
    </w:p>
    <w:p>
      <w:pPr>
        <w:ind w:left="280"/>
        <w:spacing w:after="0"/>
        <w:tabs>
          <w:tab w:leader="none" w:pos="102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317500</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20"/>
        <w:spacing w:after="0"/>
        <w:tabs>
          <w:tab w:leader="none" w:pos="680" w:val="left"/>
          <w:tab w:leader="none" w:pos="5640" w:val="left"/>
          <w:tab w:leader="none" w:pos="776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November 7, 2022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Andrew Guggenhime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14605</wp:posOffset>
            </wp:positionV>
            <wp:extent cx="327469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74695" cy="8255"/>
                    </a:xfrm>
                    <a:prstGeom prst="rect">
                      <a:avLst/>
                    </a:prstGeom>
                    <a:noFill/>
                  </pic:spPr>
                </pic:pic>
              </a:graphicData>
            </a:graphic>
          </wp:anchor>
        </w:drawing>
      </w:r>
    </w:p>
    <w:p>
      <w:pPr>
        <w:spacing w:after="0" w:line="1" w:lineRule="exact"/>
        <w:rPr>
          <w:sz w:val="20"/>
          <w:szCs w:val="20"/>
          <w:color w:val="auto"/>
        </w:rPr>
      </w:pPr>
    </w:p>
    <w:p>
      <w:pPr>
        <w:jc w:val="center"/>
        <w:ind w:left="6060"/>
        <w:spacing w:after="0"/>
        <w:rPr>
          <w:sz w:val="20"/>
          <w:szCs w:val="20"/>
          <w:color w:val="auto"/>
        </w:rPr>
      </w:pPr>
      <w:r>
        <w:rPr>
          <w:rFonts w:ascii="Arial" w:cs="Arial" w:eastAsia="Arial" w:hAnsi="Arial"/>
          <w:sz w:val="18"/>
          <w:szCs w:val="18"/>
          <w:b w:val="1"/>
          <w:bCs w:val="1"/>
          <w:color w:val="auto"/>
        </w:rPr>
        <w:t>Andrew Guggenhime</w:t>
      </w:r>
    </w:p>
    <w:p>
      <w:pPr>
        <w:jc w:val="center"/>
        <w:ind w:left="6060"/>
        <w:spacing w:after="0"/>
        <w:rPr>
          <w:sz w:val="20"/>
          <w:szCs w:val="20"/>
          <w:color w:val="auto"/>
        </w:rPr>
      </w:pPr>
      <w:r>
        <w:rPr>
          <w:rFonts w:ascii="Arial" w:cs="Arial" w:eastAsia="Arial" w:hAnsi="Arial"/>
          <w:sz w:val="18"/>
          <w:szCs w:val="18"/>
          <w:b w:val="1"/>
          <w:bCs w:val="1"/>
          <w:color w:val="auto"/>
        </w:rPr>
        <w:t>President and 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292100</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3" w:name="page4"/>
    <w:bookmarkEnd w:id="3"/>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2951480</wp:posOffset>
            </wp:positionH>
            <wp:positionV relativeFrom="page">
              <wp:posOffset>217805</wp:posOffset>
            </wp:positionV>
            <wp:extent cx="1611630" cy="3511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1611630" cy="351155"/>
                    </a:xfrm>
                    <a:prstGeom prst="rect">
                      <a:avLst/>
                    </a:prstGeom>
                    <a:noFill/>
                  </pic:spPr>
                </pic:pic>
              </a:graphicData>
            </a:graphic>
          </wp:anchor>
        </w:drawing>
        <w:t>Exhibit 99.1</w:t>
      </w:r>
    </w:p>
    <w:p>
      <w:pPr>
        <w:spacing w:after="0" w:line="202" w:lineRule="exact"/>
        <w:rPr>
          <w:sz w:val="20"/>
          <w:szCs w:val="20"/>
          <w:color w:val="auto"/>
        </w:rPr>
      </w:pPr>
    </w:p>
    <w:p>
      <w:pPr>
        <w:jc w:val="center"/>
        <w:ind w:right="60"/>
        <w:spacing w:after="0"/>
        <w:rPr>
          <w:sz w:val="20"/>
          <w:szCs w:val="20"/>
          <w:color w:val="auto"/>
        </w:rPr>
      </w:pPr>
      <w:r>
        <w:rPr>
          <w:rFonts w:ascii="Arial" w:cs="Arial" w:eastAsia="Arial" w:hAnsi="Arial"/>
          <w:sz w:val="20"/>
          <w:szCs w:val="20"/>
          <w:b w:val="1"/>
          <w:bCs w:val="1"/>
          <w:color w:val="auto"/>
        </w:rPr>
        <w:t>Vaxcyte Reports Third Quarter 2022 Financial Results and Provides Business Update</w:t>
      </w:r>
    </w:p>
    <w:p>
      <w:pPr>
        <w:spacing w:after="0" w:line="200" w:lineRule="exact"/>
        <w:rPr>
          <w:sz w:val="20"/>
          <w:szCs w:val="20"/>
          <w:color w:val="auto"/>
        </w:rPr>
      </w:pPr>
    </w:p>
    <w:p>
      <w:pPr>
        <w:spacing w:after="0" w:line="245" w:lineRule="exact"/>
        <w:rPr>
          <w:sz w:val="20"/>
          <w:szCs w:val="20"/>
          <w:color w:val="auto"/>
        </w:rPr>
      </w:pPr>
    </w:p>
    <w:p>
      <w:pPr>
        <w:ind w:left="100" w:right="140" w:firstLine="219"/>
        <w:spacing w:after="0" w:line="265" w:lineRule="auto"/>
        <w:tabs>
          <w:tab w:leader="none" w:pos="514" w:val="left"/>
        </w:tabs>
        <w:numPr>
          <w:ilvl w:val="0"/>
          <w:numId w:val="2"/>
        </w:numPr>
        <w:rPr>
          <w:rFonts w:ascii="Arial" w:cs="Arial" w:eastAsia="Arial" w:hAnsi="Arial"/>
          <w:sz w:val="19"/>
          <w:szCs w:val="19"/>
          <w:b w:val="1"/>
          <w:bCs w:val="1"/>
          <w:i w:val="1"/>
          <w:iCs w:val="1"/>
          <w:color w:val="auto"/>
        </w:rPr>
      </w:pPr>
      <w:r>
        <w:rPr>
          <w:rFonts w:ascii="Arial" w:cs="Arial" w:eastAsia="Arial" w:hAnsi="Arial"/>
          <w:sz w:val="19"/>
          <w:szCs w:val="19"/>
          <w:b w:val="1"/>
          <w:bCs w:val="1"/>
          <w:i w:val="1"/>
          <w:iCs w:val="1"/>
          <w:color w:val="auto"/>
        </w:rPr>
        <w:t>Vaxcyte Reported Positive Topline Data from Phase 1/2 Proof-of-Concept Study of its 24-Valent Pneumococcal Conjugate Vaccine (PCV) Candidate Being Investigated for the Prevention of Invasive Pneumococcal Disease (IPD) in</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0"/>
          <w:szCs w:val="20"/>
          <w:b w:val="1"/>
          <w:bCs w:val="1"/>
          <w:i w:val="1"/>
          <w:iCs w:val="1"/>
          <w:color w:val="auto"/>
        </w:rPr>
        <w:t>Adults Aged 18-64 --</w:t>
      </w:r>
    </w:p>
    <w:p>
      <w:pPr>
        <w:spacing w:after="0" w:line="205" w:lineRule="exact"/>
        <w:rPr>
          <w:sz w:val="20"/>
          <w:szCs w:val="20"/>
          <w:color w:val="auto"/>
        </w:rPr>
      </w:pPr>
    </w:p>
    <w:p>
      <w:pPr>
        <w:jc w:val="center"/>
        <w:ind w:right="40"/>
        <w:spacing w:after="0" w:line="271" w:lineRule="auto"/>
        <w:rPr>
          <w:sz w:val="20"/>
          <w:szCs w:val="20"/>
          <w:color w:val="auto"/>
        </w:rPr>
      </w:pPr>
      <w:r>
        <w:rPr>
          <w:rFonts w:ascii="Arial" w:cs="Arial" w:eastAsia="Arial" w:hAnsi="Arial"/>
          <w:sz w:val="20"/>
          <w:szCs w:val="20"/>
          <w:b w:val="1"/>
          <w:bCs w:val="1"/>
          <w:i w:val="1"/>
          <w:iCs w:val="1"/>
          <w:color w:val="auto"/>
        </w:rPr>
        <w:t>--Phase 1/2 Study Met Safety, Tolerability and Immunogenicity Objectives; Findings Indicate a Potential Best-in-Class Profile for VAX-24 --</w:t>
      </w:r>
    </w:p>
    <w:p>
      <w:pPr>
        <w:spacing w:after="0" w:line="156" w:lineRule="exact"/>
        <w:rPr>
          <w:sz w:val="20"/>
          <w:szCs w:val="20"/>
          <w:color w:val="auto"/>
        </w:rPr>
      </w:pPr>
    </w:p>
    <w:p>
      <w:pPr>
        <w:jc w:val="center"/>
        <w:ind w:right="60"/>
        <w:spacing w:after="0"/>
        <w:rPr>
          <w:sz w:val="20"/>
          <w:szCs w:val="20"/>
          <w:color w:val="auto"/>
        </w:rPr>
      </w:pPr>
      <w:r>
        <w:rPr>
          <w:rFonts w:ascii="Arial" w:cs="Arial" w:eastAsia="Arial" w:hAnsi="Arial"/>
          <w:sz w:val="19"/>
          <w:szCs w:val="19"/>
          <w:b w:val="1"/>
          <w:bCs w:val="1"/>
          <w:i w:val="1"/>
          <w:iCs w:val="1"/>
          <w:color w:val="auto"/>
        </w:rPr>
        <w:t>-- Company Advancing VAX-24 in Adult and Pediatric Populations with Submission of Infant Investigational New Drug</w:t>
      </w:r>
    </w:p>
    <w:p>
      <w:pPr>
        <w:spacing w:after="0" w:line="35" w:lineRule="exact"/>
        <w:rPr>
          <w:sz w:val="20"/>
          <w:szCs w:val="20"/>
          <w:color w:val="auto"/>
        </w:rPr>
      </w:pPr>
    </w:p>
    <w:p>
      <w:pPr>
        <w:ind w:left="1660"/>
        <w:spacing w:after="0"/>
        <w:tabs>
          <w:tab w:leader="none" w:pos="7780" w:val="left"/>
        </w:tabs>
        <w:rPr>
          <w:sz w:val="20"/>
          <w:szCs w:val="20"/>
          <w:color w:val="auto"/>
        </w:rPr>
      </w:pPr>
      <w:r>
        <w:rPr>
          <w:rFonts w:ascii="Arial" w:cs="Arial" w:eastAsia="Arial" w:hAnsi="Arial"/>
          <w:sz w:val="20"/>
          <w:szCs w:val="20"/>
          <w:b w:val="1"/>
          <w:bCs w:val="1"/>
          <w:i w:val="1"/>
          <w:iCs w:val="1"/>
          <w:color w:val="auto"/>
        </w:rPr>
        <w:t>(IND) Application and Study Initiation Expected in</w:t>
      </w:r>
      <w:r>
        <w:rPr>
          <w:sz w:val="20"/>
          <w:szCs w:val="20"/>
          <w:color w:val="auto"/>
        </w:rPr>
        <w:tab/>
      </w:r>
      <w:r>
        <w:rPr>
          <w:rFonts w:ascii="Arial" w:cs="Arial" w:eastAsia="Arial" w:hAnsi="Arial"/>
          <w:sz w:val="19"/>
          <w:szCs w:val="19"/>
          <w:b w:val="1"/>
          <w:bCs w:val="1"/>
          <w:i w:val="1"/>
          <w:iCs w:val="1"/>
          <w:color w:val="auto"/>
        </w:rPr>
        <w:t>First Half of 2023 --</w:t>
      </w:r>
    </w:p>
    <w:p>
      <w:pPr>
        <w:spacing w:after="0" w:line="205" w:lineRule="exact"/>
        <w:rPr>
          <w:sz w:val="20"/>
          <w:szCs w:val="20"/>
          <w:color w:val="auto"/>
        </w:rPr>
      </w:pPr>
    </w:p>
    <w:p>
      <w:pPr>
        <w:jc w:val="center"/>
        <w:ind w:left="2840" w:right="320" w:hanging="2571"/>
        <w:spacing w:after="0" w:line="271" w:lineRule="auto"/>
        <w:tabs>
          <w:tab w:leader="none" w:pos="463" w:val="left"/>
        </w:tabs>
        <w:numPr>
          <w:ilvl w:val="0"/>
          <w:numId w:val="3"/>
        </w:numPr>
        <w:rPr>
          <w:rFonts w:ascii="Arial" w:cs="Arial" w:eastAsia="Arial" w:hAnsi="Arial"/>
          <w:sz w:val="20"/>
          <w:szCs w:val="20"/>
          <w:b w:val="1"/>
          <w:bCs w:val="1"/>
          <w:i w:val="1"/>
          <w:iCs w:val="1"/>
          <w:color w:val="auto"/>
        </w:rPr>
      </w:pPr>
      <w:r>
        <w:rPr>
          <w:rFonts w:ascii="Arial" w:cs="Arial" w:eastAsia="Arial" w:hAnsi="Arial"/>
          <w:sz w:val="20"/>
          <w:szCs w:val="20"/>
          <w:b w:val="1"/>
          <w:bCs w:val="1"/>
          <w:i w:val="1"/>
          <w:iCs w:val="1"/>
          <w:color w:val="auto"/>
        </w:rPr>
        <w:t>$366.2 Million in Cash, Cash Equivalents and Investments as of September 30, 2022, Excluding Net Proceeds of Approximately $650.7 Million from Recent Public Offering --</w:t>
      </w:r>
    </w:p>
    <w:p>
      <w:pPr>
        <w:spacing w:after="0" w:line="385" w:lineRule="exact"/>
        <w:rPr>
          <w:sz w:val="20"/>
          <w:szCs w:val="20"/>
          <w:color w:val="auto"/>
        </w:rPr>
      </w:pPr>
    </w:p>
    <w:p>
      <w:pPr>
        <w:ind w:right="40"/>
        <w:spacing w:after="0" w:line="255" w:lineRule="auto"/>
        <w:rPr>
          <w:sz w:val="20"/>
          <w:szCs w:val="20"/>
          <w:color w:val="auto"/>
        </w:rPr>
      </w:pPr>
      <w:r>
        <w:rPr>
          <w:rFonts w:ascii="Arial" w:cs="Arial" w:eastAsia="Arial" w:hAnsi="Arial"/>
          <w:sz w:val="20"/>
          <w:szCs w:val="20"/>
          <w:b w:val="1"/>
          <w:bCs w:val="1"/>
          <w:color w:val="auto"/>
        </w:rPr>
        <w:t xml:space="preserve">SAN CARLOS, Calif., November 7, 2022 </w:t>
      </w:r>
      <w:r>
        <w:rPr>
          <w:rFonts w:ascii="Arial" w:cs="Arial" w:eastAsia="Arial" w:hAnsi="Arial"/>
          <w:sz w:val="20"/>
          <w:szCs w:val="20"/>
          <w:color w:val="auto"/>
        </w:rPr>
        <w:t>– Vaxcyte, Inc. (Nasdaq: PCVX), a clinical-stage vaccine innovation company</w:t>
      </w:r>
      <w:r>
        <w:rPr>
          <w:rFonts w:ascii="Arial" w:cs="Arial" w:eastAsia="Arial" w:hAnsi="Arial"/>
          <w:sz w:val="20"/>
          <w:szCs w:val="20"/>
          <w:b w:val="1"/>
          <w:bCs w:val="1"/>
          <w:color w:val="auto"/>
        </w:rPr>
        <w:t xml:space="preserve"> </w:t>
      </w:r>
      <w:r>
        <w:rPr>
          <w:rFonts w:ascii="Arial" w:cs="Arial" w:eastAsia="Arial" w:hAnsi="Arial"/>
          <w:sz w:val="20"/>
          <w:szCs w:val="20"/>
          <w:color w:val="auto"/>
        </w:rPr>
        <w:t>engineering high-fidelity vaccines to protect humankind from the consequences of bacterial diseases, today announced financial results for the third quarter ended September 30, 2022 and provided a business update.</w:t>
      </w:r>
    </w:p>
    <w:p>
      <w:pPr>
        <w:spacing w:after="0" w:line="209" w:lineRule="exact"/>
        <w:rPr>
          <w:sz w:val="20"/>
          <w:szCs w:val="20"/>
          <w:color w:val="auto"/>
        </w:rPr>
      </w:pPr>
    </w:p>
    <w:p>
      <w:pPr>
        <w:ind w:right="80"/>
        <w:spacing w:after="0" w:line="238" w:lineRule="auto"/>
        <w:rPr>
          <w:sz w:val="20"/>
          <w:szCs w:val="20"/>
          <w:color w:val="auto"/>
        </w:rPr>
      </w:pPr>
      <w:r>
        <w:rPr>
          <w:rFonts w:ascii="Arial" w:cs="Arial" w:eastAsia="Arial" w:hAnsi="Arial"/>
          <w:sz w:val="20"/>
          <w:szCs w:val="20"/>
          <w:color w:val="auto"/>
        </w:rPr>
        <w:t>“We were thrilled to recently announce the positive results from our Phase 1/2 clinical proof-of-concept study, which demonstrated VAX-24 has the potential to provide broader coverage and better immune responses relative to the standard-of-care. These noteworthy findings validate the potential of our cell -free platform and carrier-sparing approach to enable the development of broader-spectrum PCVs,” said Grant Pickering, Chief Executive Officer and Co-founder of Vaxcyte. “We believe these results support a best-in-class potential for VAX-24 and present an opportunity to set a new bar for immunogenicity standards for pneumococcal vaccines.”</w:t>
      </w:r>
    </w:p>
    <w:p>
      <w:pPr>
        <w:spacing w:after="0" w:line="211" w:lineRule="exact"/>
        <w:rPr>
          <w:sz w:val="20"/>
          <w:szCs w:val="20"/>
          <w:color w:val="auto"/>
        </w:rPr>
      </w:pPr>
    </w:p>
    <w:p>
      <w:pPr>
        <w:ind w:right="100"/>
        <w:spacing w:after="0" w:line="241" w:lineRule="auto"/>
        <w:rPr>
          <w:sz w:val="20"/>
          <w:szCs w:val="20"/>
          <w:color w:val="auto"/>
        </w:rPr>
      </w:pPr>
      <w:r>
        <w:rPr>
          <w:rFonts w:ascii="Arial" w:cs="Arial" w:eastAsia="Arial" w:hAnsi="Arial"/>
          <w:sz w:val="20"/>
          <w:szCs w:val="20"/>
          <w:color w:val="auto"/>
        </w:rPr>
        <w:t>Mr. Pickering continued, “With the recent follow-on equity offering, which generated approximately $651 million in net proceeds, our balance sheet is further strengthened as we advance our pipeline of novel vaccines. We anticipate multiple VAX-24 milestones, including the topline results from a second Phase 2 study in older adults and the initiation of a Phase 2 study in infants, in the first half of 2023. Additionally, we are progressing VAX-XP, our PCV candidate with 31 strains of coverage, and expect to submit an adult IND application in the second half of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Recent Highlights</w:t>
      </w:r>
    </w:p>
    <w:p>
      <w:pPr>
        <w:spacing w:after="0" w:line="337" w:lineRule="exact"/>
        <w:rPr>
          <w:sz w:val="20"/>
          <w:szCs w:val="20"/>
          <w:color w:val="auto"/>
        </w:rPr>
      </w:pPr>
    </w:p>
    <w:p>
      <w:pPr>
        <w:ind w:left="1020" w:right="520" w:hanging="503"/>
        <w:spacing w:after="0" w:line="255" w:lineRule="auto"/>
        <w:tabs>
          <w:tab w:leader="none" w:pos="1020" w:val="left"/>
        </w:tabs>
        <w:numPr>
          <w:ilvl w:val="0"/>
          <w:numId w:val="4"/>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Reported Positive Topline Data from VAX-24 Phase 1/2 Proof-of-Concept Study in Adults Aged 18-64: </w:t>
      </w:r>
      <w:r>
        <w:rPr>
          <w:rFonts w:ascii="Arial" w:cs="Arial" w:eastAsia="Arial" w:hAnsi="Arial"/>
          <w:sz w:val="20"/>
          <w:szCs w:val="20"/>
          <w:color w:val="auto"/>
        </w:rPr>
        <w:t>In</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October 2022, Vaxcyte announced positive topline results from the Phase 1/2 clinical proof-of-concept study evaluating the safety, tolerability and immunogenicity of VAX-24 in healthy adults aged 18-64.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173990</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22" w:right="339" w:bottom="1440" w:gutter="0" w:footer="0" w:header="0"/>
        </w:sectPr>
      </w:pPr>
    </w:p>
    <w:bookmarkStart w:id="4" w:name="page5"/>
    <w:bookmarkEnd w:id="4"/>
    <w:p>
      <w:pPr>
        <w:ind w:left="503"/>
        <w:spacing w:after="0"/>
        <w:rPr>
          <w:sz w:val="20"/>
          <w:szCs w:val="20"/>
          <w:color w:val="auto"/>
        </w:rPr>
      </w:pPr>
      <w:r>
        <w:rPr>
          <w:rFonts w:ascii="Arial" w:cs="Arial" w:eastAsia="Arial" w:hAnsi="Arial"/>
          <w:sz w:val="20"/>
          <w:szCs w:val="20"/>
          <w:b w:val="1"/>
          <w:bCs w:val="1"/>
          <w:i w:val="1"/>
          <w:iCs w:val="1"/>
          <w:color w:val="auto"/>
        </w:rPr>
        <w:t>Safety and Tolerability Findings:</w:t>
      </w:r>
    </w:p>
    <w:p>
      <w:pPr>
        <w:spacing w:after="0" w:line="132" w:lineRule="exact"/>
        <w:rPr>
          <w:sz w:val="20"/>
          <w:szCs w:val="20"/>
          <w:color w:val="auto"/>
        </w:rPr>
      </w:pPr>
    </w:p>
    <w:p>
      <w:pPr>
        <w:ind w:left="1023" w:hanging="514"/>
        <w:spacing w:after="0"/>
        <w:tabs>
          <w:tab w:leader="none" w:pos="1023" w:val="left"/>
        </w:tabs>
        <w:numPr>
          <w:ilvl w:val="0"/>
          <w:numId w:val="5"/>
        </w:numPr>
        <w:rPr>
          <w:rFonts w:ascii="Arial" w:cs="Arial" w:eastAsia="Arial" w:hAnsi="Arial"/>
          <w:sz w:val="20"/>
          <w:szCs w:val="20"/>
          <w:color w:val="auto"/>
        </w:rPr>
      </w:pPr>
      <w:r>
        <w:rPr>
          <w:rFonts w:ascii="Arial" w:cs="Arial" w:eastAsia="Arial" w:hAnsi="Arial"/>
          <w:sz w:val="20"/>
          <w:szCs w:val="20"/>
          <w:color w:val="auto"/>
        </w:rPr>
        <w:t>VAX-24 demonstrated a safety and tolerability profile similar to PCV20 at all doses studied.</w:t>
      </w:r>
    </w:p>
    <w:p>
      <w:pPr>
        <w:spacing w:after="0" w:line="107" w:lineRule="exact"/>
        <w:rPr>
          <w:rFonts w:ascii="Arial" w:cs="Arial" w:eastAsia="Arial" w:hAnsi="Arial"/>
          <w:sz w:val="20"/>
          <w:szCs w:val="20"/>
          <w:color w:val="auto"/>
        </w:rPr>
      </w:pPr>
    </w:p>
    <w:p>
      <w:pPr>
        <w:ind w:left="1023" w:right="200" w:hanging="514"/>
        <w:spacing w:after="0" w:line="243" w:lineRule="auto"/>
        <w:tabs>
          <w:tab w:leader="none" w:pos="1023" w:val="left"/>
        </w:tabs>
        <w:numPr>
          <w:ilvl w:val="0"/>
          <w:numId w:val="5"/>
        </w:numPr>
        <w:rPr>
          <w:rFonts w:ascii="Arial" w:cs="Arial" w:eastAsia="Arial" w:hAnsi="Arial"/>
          <w:sz w:val="20"/>
          <w:szCs w:val="20"/>
          <w:color w:val="auto"/>
        </w:rPr>
      </w:pPr>
      <w:r>
        <w:rPr>
          <w:rFonts w:ascii="Arial" w:cs="Arial" w:eastAsia="Arial" w:hAnsi="Arial"/>
          <w:sz w:val="20"/>
          <w:szCs w:val="20"/>
          <w:color w:val="auto"/>
        </w:rPr>
        <w:t>Frequently reported local and systemic reactions were generally mild-to-moderate, resolving within several days of vaccination, and were similar across all cohorts, including PCV20. No serious adverse events or new onset chronic illnesses were considered to be related to study vaccines.</w:t>
      </w:r>
    </w:p>
    <w:p>
      <w:pPr>
        <w:spacing w:after="0" w:line="84" w:lineRule="exact"/>
        <w:rPr>
          <w:rFonts w:ascii="Arial" w:cs="Arial" w:eastAsia="Arial" w:hAnsi="Arial"/>
          <w:sz w:val="20"/>
          <w:szCs w:val="20"/>
          <w:color w:val="auto"/>
        </w:rPr>
      </w:pPr>
    </w:p>
    <w:p>
      <w:pPr>
        <w:ind w:left="1023" w:hanging="514"/>
        <w:spacing w:after="0"/>
        <w:tabs>
          <w:tab w:leader="none" w:pos="1023" w:val="left"/>
        </w:tabs>
        <w:numPr>
          <w:ilvl w:val="0"/>
          <w:numId w:val="5"/>
        </w:numPr>
        <w:rPr>
          <w:rFonts w:ascii="Arial" w:cs="Arial" w:eastAsia="Arial" w:hAnsi="Arial"/>
          <w:sz w:val="20"/>
          <w:szCs w:val="20"/>
          <w:color w:val="auto"/>
        </w:rPr>
      </w:pPr>
      <w:r>
        <w:rPr>
          <w:rFonts w:ascii="Arial" w:cs="Arial" w:eastAsia="Arial" w:hAnsi="Arial"/>
          <w:sz w:val="20"/>
          <w:szCs w:val="20"/>
          <w:color w:val="auto"/>
        </w:rPr>
        <w:t>The full six-month safety follow-up is ongoing for the Phase 2 portion of the study.</w:t>
      </w:r>
    </w:p>
    <w:p>
      <w:pPr>
        <w:spacing w:after="0" w:line="205" w:lineRule="exact"/>
        <w:rPr>
          <w:sz w:val="20"/>
          <w:szCs w:val="20"/>
          <w:color w:val="auto"/>
        </w:rPr>
      </w:pPr>
    </w:p>
    <w:p>
      <w:pPr>
        <w:ind w:left="503"/>
        <w:spacing w:after="0"/>
        <w:rPr>
          <w:sz w:val="20"/>
          <w:szCs w:val="20"/>
          <w:color w:val="auto"/>
        </w:rPr>
      </w:pPr>
      <w:r>
        <w:rPr>
          <w:rFonts w:ascii="Arial" w:cs="Arial" w:eastAsia="Arial" w:hAnsi="Arial"/>
          <w:sz w:val="20"/>
          <w:szCs w:val="20"/>
          <w:b w:val="1"/>
          <w:bCs w:val="1"/>
          <w:i w:val="1"/>
          <w:iCs w:val="1"/>
          <w:color w:val="auto"/>
        </w:rPr>
        <w:t>Immunogenicity Findings:</w:t>
      </w:r>
    </w:p>
    <w:p>
      <w:pPr>
        <w:spacing w:after="0" w:line="108" w:lineRule="exact"/>
        <w:rPr>
          <w:sz w:val="20"/>
          <w:szCs w:val="20"/>
          <w:color w:val="auto"/>
        </w:rPr>
      </w:pPr>
    </w:p>
    <w:p>
      <w:pPr>
        <w:ind w:left="503" w:hanging="503"/>
        <w:spacing w:after="0"/>
        <w:tabs>
          <w:tab w:leader="none" w:pos="503" w:val="left"/>
        </w:tabs>
        <w:numPr>
          <w:ilvl w:val="0"/>
          <w:numId w:val="6"/>
        </w:numPr>
        <w:rPr>
          <w:rFonts w:ascii="Arial" w:cs="Arial" w:eastAsia="Arial" w:hAnsi="Arial"/>
          <w:sz w:val="20"/>
          <w:szCs w:val="20"/>
          <w:color w:val="auto"/>
        </w:rPr>
      </w:pPr>
      <w:r>
        <w:rPr>
          <w:rFonts w:ascii="Arial" w:cs="Arial" w:eastAsia="Arial" w:hAnsi="Arial"/>
          <w:sz w:val="20"/>
          <w:szCs w:val="20"/>
          <w:b w:val="1"/>
          <w:bCs w:val="1"/>
          <w:i w:val="1"/>
          <w:iCs w:val="1"/>
          <w:color w:val="auto"/>
        </w:rPr>
        <w:t>X-24 Adult Program:</w:t>
      </w:r>
    </w:p>
    <w:p>
      <w:pPr>
        <w:spacing w:after="0" w:line="118" w:lineRule="exact"/>
        <w:rPr>
          <w:rFonts w:ascii="Arial" w:cs="Arial" w:eastAsia="Arial" w:hAnsi="Arial"/>
          <w:sz w:val="20"/>
          <w:szCs w:val="20"/>
          <w:color w:val="auto"/>
        </w:rPr>
      </w:pPr>
    </w:p>
    <w:p>
      <w:pPr>
        <w:ind w:left="1023" w:hanging="509"/>
        <w:spacing w:after="0" w:line="237" w:lineRule="auto"/>
        <w:rPr>
          <w:rFonts w:ascii="Arial" w:cs="Arial" w:eastAsia="Arial" w:hAnsi="Arial"/>
          <w:sz w:val="20"/>
          <w:szCs w:val="20"/>
          <w:color w:val="auto"/>
        </w:rPr>
      </w:pPr>
      <w:r>
        <w:rPr>
          <w:rFonts w:ascii="Arial" w:cs="Arial" w:eastAsia="Arial" w:hAnsi="Arial"/>
          <w:sz w:val="20"/>
          <w:szCs w:val="20"/>
          <w:color w:val="auto"/>
        </w:rPr>
        <w:t>oVAX-24 demonstrated robust opsonophagocytic activity (OPA) and immunoglobulin G (IgG) immune responses for all 24 serotypes at all doses studied (1.1mcg, 2.2mcg, 2.2mcg/4.4mcg), each of which could advance into Phase 3.</w:t>
      </w:r>
    </w:p>
    <w:p>
      <w:pPr>
        <w:spacing w:after="0" w:line="101" w:lineRule="exact"/>
        <w:rPr>
          <w:rFonts w:ascii="Arial" w:cs="Arial" w:eastAsia="Arial" w:hAnsi="Arial"/>
          <w:sz w:val="20"/>
          <w:szCs w:val="20"/>
          <w:color w:val="auto"/>
        </w:rPr>
      </w:pPr>
    </w:p>
    <w:p>
      <w:pPr>
        <w:ind w:left="1023" w:right="440" w:hanging="509"/>
        <w:spacing w:after="0" w:line="246" w:lineRule="auto"/>
        <w:rPr>
          <w:rFonts w:ascii="Arial" w:cs="Arial" w:eastAsia="Arial" w:hAnsi="Arial"/>
          <w:sz w:val="20"/>
          <w:szCs w:val="20"/>
          <w:color w:val="auto"/>
        </w:rPr>
      </w:pPr>
      <w:r>
        <w:rPr>
          <w:rFonts w:ascii="Arial" w:cs="Arial" w:eastAsia="Arial" w:hAnsi="Arial"/>
          <w:sz w:val="20"/>
          <w:szCs w:val="20"/>
          <w:color w:val="auto"/>
        </w:rPr>
        <w:t>oThe VAX-24 2.2mcg dose met or exceeded the established regulatory immunogenicity standards for all 24 serotypes and is the dose the Company expects to advance into Phase 3.</w:t>
      </w:r>
    </w:p>
    <w:p>
      <w:pPr>
        <w:spacing w:after="0" w:line="113" w:lineRule="exact"/>
        <w:rPr>
          <w:rFonts w:ascii="Arial" w:cs="Arial" w:eastAsia="Arial" w:hAnsi="Arial"/>
          <w:sz w:val="20"/>
          <w:szCs w:val="20"/>
          <w:color w:val="auto"/>
        </w:rPr>
      </w:pPr>
    </w:p>
    <w:p>
      <w:pPr>
        <w:ind w:left="1023" w:right="200" w:hanging="509"/>
        <w:spacing w:after="0" w:line="227" w:lineRule="auto"/>
        <w:rPr>
          <w:rFonts w:ascii="Arial" w:cs="Arial" w:eastAsia="Arial" w:hAnsi="Arial"/>
          <w:sz w:val="20"/>
          <w:szCs w:val="20"/>
          <w:color w:val="auto"/>
        </w:rPr>
      </w:pPr>
      <w:r>
        <w:rPr>
          <w:rFonts w:ascii="Arial" w:cs="Arial" w:eastAsia="Arial" w:hAnsi="Arial"/>
          <w:sz w:val="20"/>
          <w:szCs w:val="20"/>
          <w:color w:val="auto"/>
        </w:rPr>
        <w:t>oAt the 2.2mcg dose, VAX-24 met the standard OPA response non-inferiority criteria</w:t>
      </w:r>
      <w:r>
        <w:rPr>
          <w:rFonts w:ascii="Arial" w:cs="Arial" w:eastAsia="Arial" w:hAnsi="Arial"/>
          <w:sz w:val="26"/>
          <w:szCs w:val="26"/>
          <w:color w:val="auto"/>
          <w:vertAlign w:val="superscript"/>
        </w:rPr>
        <w:t>(1)</w:t>
      </w:r>
      <w:r>
        <w:rPr>
          <w:rFonts w:ascii="Arial" w:cs="Arial" w:eastAsia="Arial" w:hAnsi="Arial"/>
          <w:sz w:val="20"/>
          <w:szCs w:val="20"/>
          <w:color w:val="auto"/>
        </w:rPr>
        <w:t>for all 20 serotypes common with PCV20, of which 16 serotypes achieved higher immune responses and four serotypes reached statistical significance for superiority.</w:t>
      </w:r>
    </w:p>
    <w:p>
      <w:pPr>
        <w:spacing w:after="0" w:line="105" w:lineRule="exact"/>
        <w:rPr>
          <w:rFonts w:ascii="Arial" w:cs="Arial" w:eastAsia="Arial" w:hAnsi="Arial"/>
          <w:sz w:val="20"/>
          <w:szCs w:val="20"/>
          <w:color w:val="auto"/>
        </w:rPr>
      </w:pPr>
    </w:p>
    <w:p>
      <w:pPr>
        <w:ind w:left="503"/>
        <w:spacing w:after="0"/>
        <w:rPr>
          <w:rFonts w:ascii="Arial" w:cs="Arial" w:eastAsia="Arial" w:hAnsi="Arial"/>
          <w:sz w:val="20"/>
          <w:szCs w:val="20"/>
          <w:color w:val="auto"/>
        </w:rPr>
      </w:pPr>
      <w:r>
        <w:rPr>
          <w:rFonts w:ascii="Arial" w:cs="Arial" w:eastAsia="Arial" w:hAnsi="Arial"/>
          <w:sz w:val="20"/>
          <w:szCs w:val="20"/>
          <w:color w:val="auto"/>
        </w:rPr>
        <w:t>o</w:t>
      </w:r>
      <w:r>
        <w:rPr>
          <w:rFonts w:ascii="Arial" w:cs="Arial" w:eastAsia="Arial" w:hAnsi="Arial"/>
          <w:sz w:val="19"/>
          <w:szCs w:val="19"/>
          <w:color w:val="auto"/>
        </w:rPr>
        <w:t>At all three doses, VAX-24 met the standard superiority criteria</w:t>
      </w:r>
      <w:r>
        <w:rPr>
          <w:rFonts w:ascii="Arial" w:cs="Arial" w:eastAsia="Arial" w:hAnsi="Arial"/>
          <w:sz w:val="25"/>
          <w:szCs w:val="25"/>
          <w:color w:val="auto"/>
          <w:vertAlign w:val="superscript"/>
        </w:rPr>
        <w:t>(2)</w:t>
      </w:r>
      <w:r>
        <w:rPr>
          <w:rFonts w:ascii="Arial" w:cs="Arial" w:eastAsia="Arial" w:hAnsi="Arial"/>
          <w:sz w:val="19"/>
          <w:szCs w:val="19"/>
          <w:color w:val="auto"/>
        </w:rPr>
        <w:t xml:space="preserve"> for all four serotypes unique to VAX-24.</w:t>
      </w:r>
    </w:p>
    <w:p>
      <w:pPr>
        <w:spacing w:after="0" w:line="263" w:lineRule="exact"/>
        <w:rPr>
          <w:rFonts w:ascii="Arial" w:cs="Arial" w:eastAsia="Arial" w:hAnsi="Arial"/>
          <w:sz w:val="20"/>
          <w:szCs w:val="20"/>
          <w:color w:val="auto"/>
        </w:rPr>
      </w:pPr>
    </w:p>
    <w:p>
      <w:pPr>
        <w:ind w:left="503" w:hanging="503"/>
        <w:spacing w:after="0" w:line="250" w:lineRule="auto"/>
        <w:tabs>
          <w:tab w:leader="none" w:pos="503" w:val="left"/>
        </w:tabs>
        <w:numPr>
          <w:ilvl w:val="0"/>
          <w:numId w:val="6"/>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Received FDA Fast Track Designation for VAX-24 in Adults: </w:t>
      </w:r>
      <w:r>
        <w:rPr>
          <w:rFonts w:ascii="Arial" w:cs="Arial" w:eastAsia="Arial" w:hAnsi="Arial"/>
          <w:sz w:val="20"/>
          <w:szCs w:val="20"/>
          <w:color w:val="auto"/>
        </w:rPr>
        <w:t>In August 2022, the Company announced that the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U.S. Food and Drug Administration (FDA) granted Fast Track designation to VAX-24 in adults ages 18 and older. The Fast Track designation is an FDA process that has been designed to facilitate the development and expedite the review of drugs, including vaccines, that treat or prevent serious conditions and fill an unmet medical need.</w:t>
      </w:r>
    </w:p>
    <w:p>
      <w:pPr>
        <w:spacing w:after="0" w:line="283" w:lineRule="exact"/>
        <w:rPr>
          <w:rFonts w:ascii="Arial" w:cs="Arial" w:eastAsia="Arial" w:hAnsi="Arial"/>
          <w:sz w:val="20"/>
          <w:szCs w:val="20"/>
          <w:color w:val="auto"/>
        </w:rPr>
      </w:pPr>
    </w:p>
    <w:p>
      <w:pPr>
        <w:ind w:left="503" w:right="40" w:hanging="503"/>
        <w:spacing w:after="0" w:line="242" w:lineRule="auto"/>
        <w:tabs>
          <w:tab w:leader="none" w:pos="503" w:val="left"/>
        </w:tabs>
        <w:numPr>
          <w:ilvl w:val="0"/>
          <w:numId w:val="6"/>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Completed Successful Pre-IND Meeting with FDA Regarding VAX-24 Pediatric Program, Supporting Path to Proceed Directly into Infants: </w:t>
      </w:r>
      <w:r>
        <w:rPr>
          <w:rFonts w:ascii="Arial" w:cs="Arial" w:eastAsia="Arial" w:hAnsi="Arial"/>
          <w:sz w:val="20"/>
          <w:szCs w:val="20"/>
          <w:color w:val="auto"/>
        </w:rPr>
        <w:t>In August 2022, Vaxcyte also announced that it had received positive written</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feedback from the FDA supporting the initiation of a pediatric study that proceeds directly into infants, contingent on the satisfactory topline safety, tolerability and immunogenicity results from the VAX-24 Phase 1/2 clinical proof-of-concept study in adults 18 to 64 years of age. This approach provides the Company with an accelerated clinical path to deliver VAX-24 to the pediatric population, which represents the largest portion of the pneumococcal vaccine market in the United States.</w:t>
      </w:r>
    </w:p>
    <w:p>
      <w:pPr>
        <w:spacing w:after="0" w:line="293" w:lineRule="exact"/>
        <w:rPr>
          <w:rFonts w:ascii="Arial" w:cs="Arial" w:eastAsia="Arial" w:hAnsi="Arial"/>
          <w:sz w:val="20"/>
          <w:szCs w:val="20"/>
          <w:color w:val="auto"/>
        </w:rPr>
      </w:pPr>
    </w:p>
    <w:p>
      <w:pPr>
        <w:jc w:val="both"/>
        <w:ind w:left="503" w:right="320" w:hanging="503"/>
        <w:spacing w:after="0" w:line="248" w:lineRule="auto"/>
        <w:tabs>
          <w:tab w:leader="none" w:pos="503" w:val="left"/>
        </w:tabs>
        <w:numPr>
          <w:ilvl w:val="0"/>
          <w:numId w:val="6"/>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Confirmed VAX-XP Serotype Composition and Expected IND Submission Timing: </w:t>
      </w:r>
      <w:r>
        <w:rPr>
          <w:rFonts w:ascii="Arial" w:cs="Arial" w:eastAsia="Arial" w:hAnsi="Arial"/>
          <w:sz w:val="20"/>
          <w:szCs w:val="20"/>
          <w:color w:val="auto"/>
        </w:rPr>
        <w:t>In October 2022, Vaxcyte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unveiled the serotype composition for VAX-XP, the follow-on vaccine in its carrier-sparing PCV franchise, which is designed to contain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-335280</wp:posOffset>
            </wp:positionH>
            <wp:positionV relativeFrom="paragraph">
              <wp:posOffset>177800</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723"/>
          </w:cols>
          <w:pgMar w:left="837" w:top="544" w:right="339" w:bottom="1440" w:gutter="0" w:footer="0" w:header="0"/>
        </w:sectPr>
      </w:pPr>
    </w:p>
    <w:bookmarkStart w:id="5" w:name="page6"/>
    <w:bookmarkEnd w:id="5"/>
    <w:p>
      <w:pPr>
        <w:ind w:left="1020" w:right="20"/>
        <w:spacing w:after="0" w:line="238" w:lineRule="auto"/>
        <w:rPr>
          <w:sz w:val="20"/>
          <w:szCs w:val="20"/>
          <w:color w:val="auto"/>
        </w:rPr>
      </w:pPr>
      <w:r>
        <w:rPr>
          <w:rFonts w:ascii="Arial" w:cs="Arial" w:eastAsia="Arial" w:hAnsi="Arial"/>
          <w:sz w:val="20"/>
          <w:szCs w:val="20"/>
          <w:color w:val="auto"/>
        </w:rPr>
        <w:t>serotypes that collectively cover approximately 95% of the circulating strains causing IPD in adults in the United States. VAX-XP has the potential to become the broadest-spectrum PCV as it is designed to incorporate all 24 strains in VAX-24 along with an additional seven strains (15A, 16F, 23A, 23B, 7C, 31, and 35B) associated with high case-fatality rates, antibiotic resistance and meningitis. Expanding coverage to address newly circulating strains of IPD as well as the strains included in current vaccines, which have documented pathogenicity and propensity for circulation, is vital for the continued prevention of this serious disease and the avoidance of rebound rates that have historically occurred when coverage has been withdrawn.</w:t>
      </w:r>
    </w:p>
    <w:p>
      <w:pPr>
        <w:spacing w:after="0" w:line="310" w:lineRule="exact"/>
        <w:rPr>
          <w:sz w:val="20"/>
          <w:szCs w:val="20"/>
          <w:color w:val="auto"/>
        </w:rPr>
      </w:pPr>
    </w:p>
    <w:p>
      <w:pPr>
        <w:ind w:left="1020" w:right="40" w:hanging="503"/>
        <w:spacing w:after="0" w:line="243" w:lineRule="auto"/>
        <w:tabs>
          <w:tab w:leader="none" w:pos="1020" w:val="left"/>
        </w:tabs>
        <w:numPr>
          <w:ilvl w:val="0"/>
          <w:numId w:val="7"/>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Completed Successful $690 Million Follow-On Offering: </w:t>
      </w:r>
      <w:r>
        <w:rPr>
          <w:rFonts w:ascii="Arial" w:cs="Arial" w:eastAsia="Arial" w:hAnsi="Arial"/>
          <w:sz w:val="20"/>
          <w:szCs w:val="20"/>
          <w:color w:val="auto"/>
        </w:rPr>
        <w:t>In October 2022, Vaxcyte completed an underwritten</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public offering of 17,812,500 shares of common stock, which included the full exercise of the underwriters' option to purchase an additional 2,812,500 shares, at a public offering price of $32.00 per share and pre-funded warrants to purchase 3,750,000 shares of common stock at a public offering price of $31.999 per underlying share. The aggregate net proceeds to Vaxcyte from this offering were approximately $650.7 million after deducting underwriting discounts and commissions and other offering expenses payable by Vaxcyte.</w:t>
      </w:r>
    </w:p>
    <w:p>
      <w:pPr>
        <w:spacing w:after="0" w:line="303" w:lineRule="exact"/>
        <w:rPr>
          <w:rFonts w:ascii="Arial" w:cs="Arial" w:eastAsia="Arial" w:hAnsi="Arial"/>
          <w:sz w:val="20"/>
          <w:szCs w:val="20"/>
          <w:color w:val="auto"/>
        </w:rPr>
      </w:pPr>
    </w:p>
    <w:p>
      <w:pPr>
        <w:jc w:val="both"/>
        <w:ind w:left="1020" w:right="120" w:hanging="503"/>
        <w:spacing w:after="0" w:line="250" w:lineRule="auto"/>
        <w:tabs>
          <w:tab w:leader="none" w:pos="1020" w:val="left"/>
        </w:tabs>
        <w:numPr>
          <w:ilvl w:val="0"/>
          <w:numId w:val="7"/>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Expanded Executive Leadership Team with Key Appointments: </w:t>
      </w:r>
      <w:r>
        <w:rPr>
          <w:rFonts w:ascii="Arial" w:cs="Arial" w:eastAsia="Arial" w:hAnsi="Arial"/>
          <w:sz w:val="20"/>
          <w:szCs w:val="20"/>
          <w:color w:val="auto"/>
        </w:rPr>
        <w:t>In October 2022, the Company announced the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appointment of Mark Wiggins as Chief Business Officer and Jakub Simon, M.D., as Chief Medical Officer. Both Mr. Wiggins and Dr. Simon are accomplished industry leaders who bring vast expertise that will support the continued growth and advancement of the Company.</w:t>
      </w:r>
    </w:p>
    <w:p>
      <w:pPr>
        <w:spacing w:after="0" w:line="39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Anticipated Key Milestones</w:t>
      </w:r>
    </w:p>
    <w:p>
      <w:pPr>
        <w:spacing w:after="0" w:line="324" w:lineRule="exact"/>
        <w:rPr>
          <w:sz w:val="20"/>
          <w:szCs w:val="20"/>
          <w:color w:val="auto"/>
        </w:rPr>
      </w:pPr>
    </w:p>
    <w:p>
      <w:pPr>
        <w:ind w:left="1020" w:hanging="503"/>
        <w:spacing w:after="0"/>
        <w:tabs>
          <w:tab w:leader="none" w:pos="1020" w:val="left"/>
        </w:tabs>
        <w:numPr>
          <w:ilvl w:val="0"/>
          <w:numId w:val="8"/>
        </w:numPr>
        <w:rPr>
          <w:rFonts w:ascii="Arial" w:cs="Arial" w:eastAsia="Arial" w:hAnsi="Arial"/>
          <w:sz w:val="20"/>
          <w:szCs w:val="20"/>
          <w:color w:val="auto"/>
        </w:rPr>
      </w:pPr>
      <w:r>
        <w:rPr>
          <w:rFonts w:ascii="Arial" w:cs="Arial" w:eastAsia="Arial" w:hAnsi="Arial"/>
          <w:sz w:val="20"/>
          <w:szCs w:val="20"/>
          <w:b w:val="1"/>
          <w:bCs w:val="1"/>
          <w:i w:val="1"/>
          <w:iCs w:val="1"/>
          <w:color w:val="auto"/>
        </w:rPr>
        <w:t>VAX-24 Adult Program:</w:t>
      </w:r>
    </w:p>
    <w:p>
      <w:pPr>
        <w:spacing w:after="0" w:line="118" w:lineRule="exact"/>
        <w:rPr>
          <w:rFonts w:ascii="Arial" w:cs="Arial" w:eastAsia="Arial" w:hAnsi="Arial"/>
          <w:sz w:val="20"/>
          <w:szCs w:val="20"/>
          <w:color w:val="auto"/>
        </w:rPr>
      </w:pPr>
    </w:p>
    <w:p>
      <w:pPr>
        <w:ind w:left="1540" w:right="820" w:hanging="509"/>
        <w:spacing w:after="0" w:line="246" w:lineRule="auto"/>
        <w:rPr>
          <w:rFonts w:ascii="Arial" w:cs="Arial" w:eastAsia="Arial" w:hAnsi="Arial"/>
          <w:sz w:val="20"/>
          <w:szCs w:val="20"/>
          <w:color w:val="auto"/>
        </w:rPr>
      </w:pPr>
      <w:r>
        <w:rPr>
          <w:rFonts w:ascii="Arial" w:cs="Arial" w:eastAsia="Arial" w:hAnsi="Arial"/>
          <w:sz w:val="20"/>
          <w:szCs w:val="20"/>
          <w:color w:val="auto"/>
        </w:rPr>
        <w:t>oTopline safety, tolerability and immunogenicity data from the Phase 2 study in adults 65 and older are anticipated in the first half of 2023.</w:t>
      </w:r>
    </w:p>
    <w:p>
      <w:pPr>
        <w:spacing w:after="0" w:line="95" w:lineRule="exact"/>
        <w:rPr>
          <w:rFonts w:ascii="Arial" w:cs="Arial" w:eastAsia="Arial" w:hAnsi="Arial"/>
          <w:sz w:val="20"/>
          <w:szCs w:val="20"/>
          <w:color w:val="auto"/>
        </w:rPr>
      </w:pPr>
    </w:p>
    <w:p>
      <w:pPr>
        <w:ind w:left="1540" w:right="80" w:hanging="509"/>
        <w:spacing w:after="0" w:line="246" w:lineRule="auto"/>
        <w:rPr>
          <w:rFonts w:ascii="Arial" w:cs="Arial" w:eastAsia="Arial" w:hAnsi="Arial"/>
          <w:sz w:val="20"/>
          <w:szCs w:val="20"/>
          <w:color w:val="auto"/>
        </w:rPr>
      </w:pPr>
      <w:r>
        <w:rPr>
          <w:rFonts w:ascii="Arial" w:cs="Arial" w:eastAsia="Arial" w:hAnsi="Arial"/>
          <w:sz w:val="20"/>
          <w:szCs w:val="20"/>
          <w:color w:val="auto"/>
        </w:rPr>
        <w:t>oFinal results with the 6-month safety data from the two Phase 2 adult studies are anticipated in the first half of 2023.</w:t>
      </w:r>
    </w:p>
    <w:p>
      <w:pPr>
        <w:spacing w:after="0" w:line="82" w:lineRule="exact"/>
        <w:rPr>
          <w:rFonts w:ascii="Arial" w:cs="Arial" w:eastAsia="Arial" w:hAnsi="Arial"/>
          <w:sz w:val="20"/>
          <w:szCs w:val="20"/>
          <w:color w:val="auto"/>
        </w:rPr>
      </w:pPr>
    </w:p>
    <w:p>
      <w:pPr>
        <w:ind w:left="1540" w:right="240" w:hanging="509"/>
        <w:spacing w:after="0" w:line="246" w:lineRule="auto"/>
        <w:rPr>
          <w:rFonts w:ascii="Arial" w:cs="Arial" w:eastAsia="Arial" w:hAnsi="Arial"/>
          <w:sz w:val="20"/>
          <w:szCs w:val="20"/>
          <w:color w:val="auto"/>
        </w:rPr>
      </w:pPr>
      <w:r>
        <w:rPr>
          <w:rFonts w:ascii="Arial" w:cs="Arial" w:eastAsia="Arial" w:hAnsi="Arial"/>
          <w:sz w:val="20"/>
          <w:szCs w:val="20"/>
          <w:color w:val="auto"/>
        </w:rPr>
        <w:t>oFollowing the receipt of the final safety reports from the two adult Phase 2 studies, regulatory interactions to inform the Phase 3 program are anticipated in the second half of 2023.</w:t>
      </w:r>
    </w:p>
    <w:p>
      <w:pPr>
        <w:spacing w:after="0" w:line="95" w:lineRule="exact"/>
        <w:rPr>
          <w:rFonts w:ascii="Arial" w:cs="Arial" w:eastAsia="Arial" w:hAnsi="Arial"/>
          <w:sz w:val="20"/>
          <w:szCs w:val="20"/>
          <w:color w:val="auto"/>
        </w:rPr>
      </w:pPr>
    </w:p>
    <w:p>
      <w:pPr>
        <w:ind w:left="1540" w:right="720" w:hanging="509"/>
        <w:spacing w:after="0" w:line="246" w:lineRule="auto"/>
        <w:rPr>
          <w:rFonts w:ascii="Arial" w:cs="Arial" w:eastAsia="Arial" w:hAnsi="Arial"/>
          <w:sz w:val="20"/>
          <w:szCs w:val="20"/>
          <w:color w:val="auto"/>
        </w:rPr>
      </w:pPr>
      <w:r>
        <w:rPr>
          <w:rFonts w:ascii="Arial" w:cs="Arial" w:eastAsia="Arial" w:hAnsi="Arial"/>
          <w:sz w:val="20"/>
          <w:szCs w:val="20"/>
          <w:color w:val="auto"/>
        </w:rPr>
        <w:t>oTopline safety, tolerability and immunogenicity data from the Phase 3 non-inferiority study in adults are expected in 2025.</w:t>
      </w:r>
    </w:p>
    <w:p>
      <w:pPr>
        <w:spacing w:after="0" w:line="314" w:lineRule="exact"/>
        <w:rPr>
          <w:rFonts w:ascii="Arial" w:cs="Arial" w:eastAsia="Arial" w:hAnsi="Arial"/>
          <w:sz w:val="20"/>
          <w:szCs w:val="20"/>
          <w:color w:val="auto"/>
        </w:rPr>
      </w:pPr>
    </w:p>
    <w:p>
      <w:pPr>
        <w:ind w:left="1020" w:hanging="503"/>
        <w:spacing w:after="0"/>
        <w:tabs>
          <w:tab w:leader="none" w:pos="1020" w:val="left"/>
        </w:tabs>
        <w:numPr>
          <w:ilvl w:val="0"/>
          <w:numId w:val="8"/>
        </w:numPr>
        <w:rPr>
          <w:rFonts w:ascii="Arial" w:cs="Arial" w:eastAsia="Arial" w:hAnsi="Arial"/>
          <w:sz w:val="20"/>
          <w:szCs w:val="20"/>
          <w:color w:val="auto"/>
        </w:rPr>
      </w:pPr>
      <w:r>
        <w:rPr>
          <w:rFonts w:ascii="Arial" w:cs="Arial" w:eastAsia="Arial" w:hAnsi="Arial"/>
          <w:sz w:val="20"/>
          <w:szCs w:val="20"/>
          <w:b w:val="1"/>
          <w:bCs w:val="1"/>
          <w:i w:val="1"/>
          <w:iCs w:val="1"/>
          <w:color w:val="auto"/>
        </w:rPr>
        <w:t>VAX-24 Pediatric Program:</w:t>
      </w:r>
    </w:p>
    <w:p>
      <w:pPr>
        <w:spacing w:after="0" w:line="104" w:lineRule="exact"/>
        <w:rPr>
          <w:rFonts w:ascii="Arial" w:cs="Arial" w:eastAsia="Arial" w:hAnsi="Arial"/>
          <w:sz w:val="20"/>
          <w:szCs w:val="20"/>
          <w:color w:val="auto"/>
        </w:rPr>
      </w:pPr>
    </w:p>
    <w:p>
      <w:pPr>
        <w:ind w:left="1020"/>
        <w:spacing w:after="0"/>
        <w:rPr>
          <w:rFonts w:ascii="Arial" w:cs="Arial" w:eastAsia="Arial" w:hAnsi="Arial"/>
          <w:sz w:val="20"/>
          <w:szCs w:val="20"/>
          <w:color w:val="auto"/>
        </w:rPr>
      </w:pPr>
      <w:r>
        <w:rPr>
          <w:rFonts w:ascii="Arial" w:cs="Arial" w:eastAsia="Arial" w:hAnsi="Arial"/>
          <w:sz w:val="20"/>
          <w:szCs w:val="20"/>
          <w:color w:val="auto"/>
        </w:rPr>
        <w:t>o</w:t>
      </w:r>
      <w:r>
        <w:rPr>
          <w:rFonts w:ascii="Arial" w:cs="Arial" w:eastAsia="Arial" w:hAnsi="Arial"/>
          <w:sz w:val="19"/>
          <w:szCs w:val="19"/>
          <w:color w:val="auto"/>
        </w:rPr>
        <w:t>The infant IND application submission and the Phase 2 study initiation are both anticipated in first half of 2023.</w:t>
      </w:r>
    </w:p>
    <w:p>
      <w:pPr>
        <w:spacing w:after="0" w:line="107" w:lineRule="exact"/>
        <w:rPr>
          <w:rFonts w:ascii="Arial" w:cs="Arial" w:eastAsia="Arial" w:hAnsi="Arial"/>
          <w:sz w:val="20"/>
          <w:szCs w:val="20"/>
          <w:color w:val="auto"/>
        </w:rPr>
      </w:pPr>
    </w:p>
    <w:p>
      <w:pPr>
        <w:ind w:left="1540" w:right="40" w:hanging="509"/>
        <w:spacing w:after="0" w:line="243" w:lineRule="auto"/>
        <w:rPr>
          <w:rFonts w:ascii="Arial" w:cs="Arial" w:eastAsia="Arial" w:hAnsi="Arial"/>
          <w:sz w:val="20"/>
          <w:szCs w:val="20"/>
          <w:color w:val="auto"/>
        </w:rPr>
      </w:pPr>
      <w:r>
        <w:rPr>
          <w:rFonts w:ascii="Arial" w:cs="Arial" w:eastAsia="Arial" w:hAnsi="Arial"/>
          <w:sz w:val="20"/>
          <w:szCs w:val="20"/>
          <w:color w:val="auto"/>
        </w:rPr>
        <w:t>oTopline safety, tolerability and immunogenicity data from the infant Phase 2 study following the primary 3-dose immunization series are expected by 2025. The study design will include a primary immunization series consisting of three doses followed by a subsequent booster dose.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334645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446" w:right="399" w:bottom="1440" w:gutter="0" w:footer="0" w:header="0"/>
        </w:sectPr>
      </w:pPr>
    </w:p>
    <w:bookmarkStart w:id="6" w:name="page7"/>
    <w:bookmarkEnd w:id="6"/>
    <w:p>
      <w:pPr>
        <w:ind w:left="1020" w:hanging="503"/>
        <w:spacing w:after="0"/>
        <w:tabs>
          <w:tab w:leader="none" w:pos="1020" w:val="left"/>
        </w:tabs>
        <w:numPr>
          <w:ilvl w:val="0"/>
          <w:numId w:val="9"/>
        </w:numPr>
        <w:rPr>
          <w:rFonts w:ascii="Arial" w:cs="Arial" w:eastAsia="Arial" w:hAnsi="Arial"/>
          <w:sz w:val="20"/>
          <w:szCs w:val="20"/>
          <w:color w:val="auto"/>
        </w:rPr>
      </w:pPr>
      <w:r>
        <w:rPr>
          <w:rFonts w:ascii="Arial" w:cs="Arial" w:eastAsia="Arial" w:hAnsi="Arial"/>
          <w:sz w:val="20"/>
          <w:szCs w:val="20"/>
          <w:b w:val="1"/>
          <w:bCs w:val="1"/>
          <w:i w:val="1"/>
          <w:iCs w:val="1"/>
          <w:color w:val="auto"/>
        </w:rPr>
        <w:t>VAX-XP Adult Program:</w:t>
      </w:r>
    </w:p>
    <w:p>
      <w:pPr>
        <w:spacing w:after="0" w:line="118" w:lineRule="exact"/>
        <w:rPr>
          <w:rFonts w:ascii="Arial" w:cs="Arial" w:eastAsia="Arial" w:hAnsi="Arial"/>
          <w:sz w:val="20"/>
          <w:szCs w:val="20"/>
          <w:color w:val="auto"/>
        </w:rPr>
      </w:pPr>
    </w:p>
    <w:p>
      <w:pPr>
        <w:ind w:left="1020"/>
        <w:spacing w:after="0"/>
        <w:rPr>
          <w:rFonts w:ascii="Arial" w:cs="Arial" w:eastAsia="Arial" w:hAnsi="Arial"/>
          <w:sz w:val="20"/>
          <w:szCs w:val="20"/>
          <w:color w:val="auto"/>
        </w:rPr>
      </w:pPr>
      <w:r>
        <w:rPr>
          <w:rFonts w:ascii="Arial" w:cs="Arial" w:eastAsia="Arial" w:hAnsi="Arial"/>
          <w:sz w:val="20"/>
          <w:szCs w:val="20"/>
          <w:color w:val="auto"/>
        </w:rPr>
        <w:t>o</w:t>
      </w:r>
      <w:r>
        <w:rPr>
          <w:rFonts w:ascii="Arial" w:cs="Arial" w:eastAsia="Arial" w:hAnsi="Arial"/>
          <w:sz w:val="19"/>
          <w:szCs w:val="19"/>
          <w:color w:val="auto"/>
        </w:rPr>
        <w:t>The IND application submission for VAX-XP is anticipated in the second half of 2023.</w:t>
      </w:r>
    </w:p>
    <w:p>
      <w:pPr>
        <w:spacing w:after="0" w:line="107" w:lineRule="exact"/>
        <w:rPr>
          <w:rFonts w:ascii="Arial" w:cs="Arial" w:eastAsia="Arial" w:hAnsi="Arial"/>
          <w:sz w:val="20"/>
          <w:szCs w:val="20"/>
          <w:color w:val="auto"/>
        </w:rPr>
      </w:pPr>
    </w:p>
    <w:p>
      <w:pPr>
        <w:ind w:left="1020"/>
        <w:spacing w:after="0"/>
        <w:rPr>
          <w:rFonts w:ascii="Arial" w:cs="Arial" w:eastAsia="Arial" w:hAnsi="Arial"/>
          <w:sz w:val="20"/>
          <w:szCs w:val="20"/>
          <w:color w:val="auto"/>
        </w:rPr>
      </w:pPr>
      <w:r>
        <w:rPr>
          <w:rFonts w:ascii="Arial" w:cs="Arial" w:eastAsia="Arial" w:hAnsi="Arial"/>
          <w:sz w:val="20"/>
          <w:szCs w:val="20"/>
          <w:color w:val="auto"/>
        </w:rPr>
        <w:t>o</w:t>
      </w:r>
      <w:r>
        <w:rPr>
          <w:rFonts w:ascii="Arial" w:cs="Arial" w:eastAsia="Arial" w:hAnsi="Arial"/>
          <w:sz w:val="19"/>
          <w:szCs w:val="19"/>
          <w:color w:val="auto"/>
        </w:rPr>
        <w:t>Topline safety, tolerability and immunogenicity data from a Phase 1/2 study in adults are expected in 2024.</w:t>
      </w:r>
    </w:p>
    <w:p>
      <w:pPr>
        <w:spacing w:after="0" w:line="326" w:lineRule="exact"/>
        <w:rPr>
          <w:rFonts w:ascii="Arial" w:cs="Arial" w:eastAsia="Arial" w:hAnsi="Arial"/>
          <w:sz w:val="20"/>
          <w:szCs w:val="20"/>
          <w:color w:val="auto"/>
        </w:rPr>
      </w:pPr>
    </w:p>
    <w:p>
      <w:pPr>
        <w:jc w:val="both"/>
        <w:ind w:left="1020" w:right="420" w:hanging="503"/>
        <w:spacing w:after="0" w:line="248" w:lineRule="auto"/>
        <w:tabs>
          <w:tab w:leader="none" w:pos="1020" w:val="left"/>
        </w:tabs>
        <w:numPr>
          <w:ilvl w:val="0"/>
          <w:numId w:val="9"/>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VAX-A1: </w:t>
      </w:r>
      <w:r>
        <w:rPr>
          <w:rFonts w:ascii="Arial" w:cs="Arial" w:eastAsia="Arial" w:hAnsi="Arial"/>
          <w:sz w:val="20"/>
          <w:szCs w:val="20"/>
          <w:color w:val="auto"/>
        </w:rPr>
        <w:t>Vaxcyte continues to advance development of VAX-A1, a novel conjugate vaccine designed to prevent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infections caused by Group A Strep bacteria, and expects to provide guidance for its anticipated IND application submission to the FDA by the end of 2022.</w:t>
      </w:r>
    </w:p>
    <w:p>
      <w:pPr>
        <w:spacing w:after="0" w:line="299" w:lineRule="exact"/>
        <w:rPr>
          <w:rFonts w:ascii="Arial" w:cs="Arial" w:eastAsia="Arial" w:hAnsi="Arial"/>
          <w:sz w:val="20"/>
          <w:szCs w:val="20"/>
          <w:color w:val="auto"/>
        </w:rPr>
      </w:pPr>
    </w:p>
    <w:p>
      <w:pPr>
        <w:ind w:left="1020" w:right="60" w:hanging="503"/>
        <w:spacing w:after="0" w:line="271" w:lineRule="auto"/>
        <w:tabs>
          <w:tab w:leader="none" w:pos="1020" w:val="left"/>
        </w:tabs>
        <w:numPr>
          <w:ilvl w:val="0"/>
          <w:numId w:val="9"/>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VAX-PG: </w:t>
      </w:r>
      <w:r>
        <w:rPr>
          <w:rFonts w:ascii="Arial" w:cs="Arial" w:eastAsia="Arial" w:hAnsi="Arial"/>
          <w:sz w:val="20"/>
          <w:szCs w:val="20"/>
          <w:color w:val="auto"/>
        </w:rPr>
        <w:t>Vaxcyte expects to nominate a final vaccine candidate for VAX-PG, its novel therapeutic vaccine designed</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to treat periodontal disease, by the end of 2022.</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Third Quarter 2022 Financial Results</w:t>
      </w:r>
    </w:p>
    <w:p>
      <w:pPr>
        <w:spacing w:after="0" w:line="229" w:lineRule="exact"/>
        <w:rPr>
          <w:sz w:val="20"/>
          <w:szCs w:val="20"/>
          <w:color w:val="auto"/>
        </w:rPr>
      </w:pPr>
    </w:p>
    <w:p>
      <w:pPr>
        <w:ind w:left="760" w:right="180" w:hanging="378"/>
        <w:spacing w:after="0" w:line="255" w:lineRule="auto"/>
        <w:tabs>
          <w:tab w:leader="none" w:pos="760" w:val="left"/>
        </w:tabs>
        <w:numPr>
          <w:ilvl w:val="0"/>
          <w:numId w:val="10"/>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Cash Position: </w:t>
      </w:r>
      <w:r>
        <w:rPr>
          <w:rFonts w:ascii="Arial" w:cs="Arial" w:eastAsia="Arial" w:hAnsi="Arial"/>
          <w:sz w:val="20"/>
          <w:szCs w:val="20"/>
          <w:color w:val="auto"/>
        </w:rPr>
        <w:t>Cash, cash equivalents and investments were $366.2 million as of September 30, 2022, compared to</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$273.1 million as of December 31, 2021. This amount excludes the approximately $650.7 million in estimated net proceeds from the follow-on offering completed in October 2022.</w:t>
      </w:r>
    </w:p>
    <w:p>
      <w:pPr>
        <w:spacing w:after="0" w:line="171" w:lineRule="exact"/>
        <w:rPr>
          <w:rFonts w:ascii="Arial" w:cs="Arial" w:eastAsia="Arial" w:hAnsi="Arial"/>
          <w:sz w:val="20"/>
          <w:szCs w:val="20"/>
          <w:color w:val="auto"/>
        </w:rPr>
      </w:pPr>
    </w:p>
    <w:p>
      <w:pPr>
        <w:ind w:left="760" w:hanging="378"/>
        <w:spacing w:after="0" w:line="251" w:lineRule="auto"/>
        <w:tabs>
          <w:tab w:leader="none" w:pos="760" w:val="left"/>
        </w:tabs>
        <w:numPr>
          <w:ilvl w:val="0"/>
          <w:numId w:val="10"/>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Research &amp; Development (R&amp;D) Expenses: </w:t>
      </w:r>
      <w:r>
        <w:rPr>
          <w:rFonts w:ascii="Arial" w:cs="Arial" w:eastAsia="Arial" w:hAnsi="Arial"/>
          <w:sz w:val="20"/>
          <w:szCs w:val="20"/>
          <w:color w:val="auto"/>
        </w:rPr>
        <w:t>R&amp;D expenses were $47.7 million for the three months ended</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September 30, 2022 as compared to $20.4 million for the same period in 2021. The increase was due primarily to increases in VAX-24 Phase 3 and VAX-XP IND readiness activities; the initiations of the VAX-24 Phase 1/2 clinical proof-of-concept study in adults 18-64 years of age and VAX-24 Phase 2 clinical study in adults 65 years and older; and increases in personnel-related expenses and facility-related and other allocated expenses.</w:t>
      </w:r>
    </w:p>
    <w:p>
      <w:pPr>
        <w:spacing w:after="0" w:line="187" w:lineRule="exact"/>
        <w:rPr>
          <w:rFonts w:ascii="Arial" w:cs="Arial" w:eastAsia="Arial" w:hAnsi="Arial"/>
          <w:sz w:val="20"/>
          <w:szCs w:val="20"/>
          <w:color w:val="auto"/>
        </w:rPr>
      </w:pPr>
    </w:p>
    <w:p>
      <w:pPr>
        <w:ind w:left="760" w:right="380" w:hanging="378"/>
        <w:spacing w:after="0" w:line="255" w:lineRule="auto"/>
        <w:tabs>
          <w:tab w:leader="none" w:pos="760" w:val="left"/>
        </w:tabs>
        <w:numPr>
          <w:ilvl w:val="0"/>
          <w:numId w:val="10"/>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General &amp; Administrative (G&amp;A) Expenses: </w:t>
      </w:r>
      <w:r>
        <w:rPr>
          <w:rFonts w:ascii="Arial" w:cs="Arial" w:eastAsia="Arial" w:hAnsi="Arial"/>
          <w:sz w:val="20"/>
          <w:szCs w:val="20"/>
          <w:color w:val="auto"/>
        </w:rPr>
        <w:t>G&amp;A expenses were $10.9 million for the three months ended</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September 30, 2022 as compared to $6.5 million for the same period in 2021. The increase was due primarily to an increase in personnel-related expenses.</w:t>
      </w:r>
    </w:p>
    <w:p>
      <w:pPr>
        <w:spacing w:after="0" w:line="157" w:lineRule="exact"/>
        <w:rPr>
          <w:rFonts w:ascii="Arial" w:cs="Arial" w:eastAsia="Arial" w:hAnsi="Arial"/>
          <w:sz w:val="20"/>
          <w:szCs w:val="20"/>
          <w:color w:val="auto"/>
        </w:rPr>
      </w:pPr>
    </w:p>
    <w:p>
      <w:pPr>
        <w:ind w:left="760" w:right="140" w:hanging="378"/>
        <w:spacing w:after="0" w:line="271" w:lineRule="auto"/>
        <w:tabs>
          <w:tab w:leader="none" w:pos="760" w:val="left"/>
        </w:tabs>
        <w:numPr>
          <w:ilvl w:val="0"/>
          <w:numId w:val="10"/>
        </w:numPr>
        <w:rPr>
          <w:rFonts w:ascii="Arial" w:cs="Arial" w:eastAsia="Arial" w:hAnsi="Arial"/>
          <w:sz w:val="20"/>
          <w:szCs w:val="20"/>
          <w:color w:val="auto"/>
        </w:rPr>
      </w:pPr>
      <w:r>
        <w:rPr>
          <w:rFonts w:ascii="Arial" w:cs="Arial" w:eastAsia="Arial" w:hAnsi="Arial"/>
          <w:sz w:val="20"/>
          <w:szCs w:val="20"/>
          <w:b w:val="1"/>
          <w:bCs w:val="1"/>
          <w:i w:val="1"/>
          <w:iCs w:val="1"/>
          <w:color w:val="auto"/>
        </w:rPr>
        <w:t xml:space="preserve">Net Loss: </w:t>
      </w:r>
      <w:r>
        <w:rPr>
          <w:rFonts w:ascii="Arial" w:cs="Arial" w:eastAsia="Arial" w:hAnsi="Arial"/>
          <w:sz w:val="20"/>
          <w:szCs w:val="20"/>
          <w:color w:val="auto"/>
        </w:rPr>
        <w:t>For the three months ended September 30, 2022, the net loss was $57.9 million, compared to $26.6 million</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for the same period in 2021.</w:t>
      </w:r>
    </w:p>
    <w:p>
      <w:pPr>
        <w:spacing w:after="0" w:line="15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Vaxcyte</w:t>
      </w:r>
    </w:p>
    <w:p>
      <w:pPr>
        <w:spacing w:after="0" w:line="24" w:lineRule="exact"/>
        <w:rPr>
          <w:sz w:val="20"/>
          <w:szCs w:val="20"/>
          <w:color w:val="auto"/>
        </w:rPr>
      </w:pPr>
    </w:p>
    <w:p>
      <w:pPr>
        <w:ind w:right="20"/>
        <w:spacing w:after="0" w:line="244" w:lineRule="auto"/>
        <w:rPr>
          <w:sz w:val="20"/>
          <w:szCs w:val="20"/>
          <w:color w:val="auto"/>
        </w:rPr>
      </w:pPr>
      <w:r>
        <w:rPr>
          <w:rFonts w:ascii="Arial" w:cs="Arial" w:eastAsia="Arial" w:hAnsi="Arial"/>
          <w:sz w:val="19"/>
          <w:szCs w:val="19"/>
          <w:color w:val="auto"/>
        </w:rPr>
        <w:t>Vaxcyte is a vaccine innovation company engineering high-fidelity vaccines to protect humankind from the consequences of bacterial diseases. The Company is developing broad-spectrum conjugate and novel protein vaccines to prevent or treat bacterial infectious diseases. Vaxcyte’s lead candidate, VAX-24, is a 24-valent, broad-spectrum, carrier-sparring pneumococcal conjugate vaccine being developed for the prevention of IPD. Vaxcyte is re-engineering the way highly complex vaccines are made through modern synthetic techniques, including advanced chemistry and the XpressCF</w:t>
      </w:r>
      <w:r>
        <w:rPr>
          <w:rFonts w:ascii="Arial" w:cs="Arial" w:eastAsia="Arial" w:hAnsi="Arial"/>
          <w:sz w:val="25"/>
          <w:szCs w:val="25"/>
          <w:color w:val="auto"/>
          <w:vertAlign w:val="superscript"/>
        </w:rPr>
        <w:t>TM</w:t>
      </w:r>
      <w:r>
        <w:rPr>
          <w:rFonts w:ascii="Arial" w:cs="Arial" w:eastAsia="Arial" w:hAnsi="Arial"/>
          <w:sz w:val="19"/>
          <w:szCs w:val="19"/>
          <w:color w:val="auto"/>
        </w:rPr>
        <w:t>cell-free protein synthesis platform, exclusively licensed from Sutro Biopharma, Inc. Unlike conventional cell-based approaches, the Company’s system for producing difficult-to-make proteins and antigens is intended to accelerate its ability to efficiently create and deliver high-fidelity vaccines with enhanced immunological benefits. Vaxcyte’s pipeline also includes VAX-XP, a PCV with coverage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179705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22" w:right="359" w:bottom="1440" w:gutter="0" w:footer="0" w:header="0"/>
        </w:sectPr>
      </w:pPr>
    </w:p>
    <w:bookmarkStart w:id="7" w:name="page8"/>
    <w:bookmarkEnd w:id="7"/>
    <w:p>
      <w:pPr>
        <w:ind w:right="300"/>
        <w:spacing w:after="0" w:line="241" w:lineRule="auto"/>
        <w:rPr>
          <w:sz w:val="20"/>
          <w:szCs w:val="20"/>
          <w:color w:val="auto"/>
        </w:rPr>
      </w:pPr>
      <w:r>
        <w:rPr>
          <w:rFonts w:ascii="Arial" w:cs="Arial" w:eastAsia="Arial" w:hAnsi="Arial"/>
          <w:sz w:val="20"/>
          <w:szCs w:val="20"/>
          <w:color w:val="auto"/>
        </w:rPr>
        <w:t>strains; VAX-A1, a prophylactic vaccine candidate designed to prevent Group A Strep infections; and VAX-PG, a therapeutic vaccine candidate designed to slow or stop the progression of periodontal disease. Vaxcyte is driven to eradicate or treat invasive bacterial infections, which have serious and costly health consequences when left unchecked. For more information, visit www.vaxcyte.com.</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Forward-Looking Statements</w:t>
      </w:r>
    </w:p>
    <w:p>
      <w:pPr>
        <w:spacing w:after="0" w:line="10" w:lineRule="exact"/>
        <w:rPr>
          <w:sz w:val="20"/>
          <w:szCs w:val="20"/>
          <w:color w:val="auto"/>
        </w:rPr>
      </w:pPr>
    </w:p>
    <w:p>
      <w:pPr>
        <w:spacing w:after="0" w:line="237" w:lineRule="auto"/>
        <w:rPr>
          <w:sz w:val="20"/>
          <w:szCs w:val="20"/>
          <w:color w:val="auto"/>
        </w:rPr>
      </w:pPr>
      <w:r>
        <w:rPr>
          <w:rFonts w:ascii="Arial" w:cs="Arial" w:eastAsia="Arial" w:hAnsi="Arial"/>
          <w:sz w:val="20"/>
          <w:szCs w:val="20"/>
          <w:color w:val="auto"/>
        </w:rPr>
        <w:t>This press release contains forward-looking statements within the meaning of The Private Securities Litigation Reform Act of 1995. These statements include, but are not limited to, statements related to the potential benefits of VAX-24, including breadth of coverage, the ability to deliver a potentially best-in-class PCV and the improvement upon the standard-of-care; the process and timing of anticipated future development of Vaxcyte’s vaccine candidates; the timing and availability of data for the VAX-24 Phase 2 and Phase 3 studies and related regulatory interactions; the timing and submission of an IND application for the VAX-24 Phase 2 infant study and the availability of Phase 2 topline results; the timing and submission of an IND application for the VAX-XP adult program and the timing and availability of the Phase 1/2 topline data for such program; the potential for VAX-XP to become the broadest-spectrum PCV; the timing of guidance for an IND application for VAX-A1; the timing of a nomination of a final vaccine candidate for VAX-PG; the demand for Vaxcyte’s vaccine candidates; and other statements that are not historical fact. The words “anticipate,” “believe,” “could,” “expect,” “intend,” “potential,” “should,” “would” and similar expressions (as well as other words or expressions referencing future events, conditions or circumstances) convey uncertainty of future events or outcomes and are intended to identify forward-looking statements, although not all forward-looking statements contain these identifying words. These forward-looking statements are based on Vaxcyte’s current expectations and actual results and timing of events could differ materially from those anticipated in such forward-looking statements as a result of risks and uncertainties, including, without limitation, risks related to Vaxcyte’s product development programs, including development timelines, success and timing of chemistry, manufacturing and controls and related manufacturing activities, potential delays or inability to obtain and maintain required regulatory approvals for its vaccine candidates, and the risks and uncertainties inherent with preclinical and clinical development processes; the success, cost and timing of all development activities and clinical trials; impacts of COVID-19; and sufficiency of cash and other funding to support Vaxcyte’s development programs and other operating expenses. These and other risks are described more fully in Vaxcyte’s filings with the Securities and Exchange Commission (SEC), including, without limitation, its Quarterly Report on Form 10-Q filed with the SEC on November 7, 2022 or in other documents Vaxcyte subsequently files with or furnishes to the SEC. All forward-looking statements contained in this press release speak only as of the date on which they were made and are based on management’s assumptions and estimates as of such date, and readers should not rely upon the information in this press release as current or accurate after its publication date. Vaxcyte undertakes no duty or obligation to update any forward-looking statements contained in this release as a result of new information, future events or changes in its expectations.</w:t>
      </w:r>
    </w:p>
    <w:p>
      <w:pPr>
        <w:spacing w:after="0" w:line="200" w:lineRule="exact"/>
        <w:rPr>
          <w:sz w:val="20"/>
          <w:szCs w:val="20"/>
          <w:color w:val="auto"/>
        </w:rPr>
      </w:pPr>
    </w:p>
    <w:p>
      <w:pPr>
        <w:spacing w:after="0" w:line="230" w:lineRule="exact"/>
        <w:rPr>
          <w:sz w:val="20"/>
          <w:szCs w:val="20"/>
          <w:color w:val="auto"/>
        </w:rPr>
      </w:pPr>
    </w:p>
    <w:p>
      <w:pPr>
        <w:ind w:left="220" w:hanging="212"/>
        <w:spacing w:after="0"/>
        <w:tabs>
          <w:tab w:leader="none" w:pos="220" w:val="left"/>
        </w:tabs>
        <w:numPr>
          <w:ilvl w:val="0"/>
          <w:numId w:val="11"/>
        </w:numPr>
        <w:rPr>
          <w:rFonts w:ascii="Arial" w:cs="Arial" w:eastAsia="Arial" w:hAnsi="Arial"/>
          <w:sz w:val="25"/>
          <w:szCs w:val="25"/>
          <w:color w:val="auto"/>
          <w:vertAlign w:val="superscript"/>
        </w:rPr>
      </w:pPr>
      <w:r>
        <w:rPr>
          <w:rFonts w:ascii="Arial" w:cs="Arial" w:eastAsia="Arial" w:hAnsi="Arial"/>
          <w:sz w:val="19"/>
          <w:szCs w:val="19"/>
          <w:color w:val="auto"/>
        </w:rPr>
        <w:t>Lower bound of the 2-sided 95% confidence interval of the OPA geometric mean titer ratio is greater than 0.5.</w:t>
      </w:r>
    </w:p>
    <w:p>
      <w:pPr>
        <w:spacing w:after="0" w:line="5" w:lineRule="exact"/>
        <w:rPr>
          <w:rFonts w:ascii="Arial" w:cs="Arial" w:eastAsia="Arial" w:hAnsi="Arial"/>
          <w:sz w:val="25"/>
          <w:szCs w:val="25"/>
          <w:color w:val="auto"/>
          <w:vertAlign w:val="superscript"/>
        </w:rPr>
      </w:pPr>
    </w:p>
    <w:p>
      <w:pPr>
        <w:jc w:val="both"/>
        <w:ind w:right="80" w:firstLine="8"/>
        <w:spacing w:after="0" w:line="230" w:lineRule="auto"/>
        <w:tabs>
          <w:tab w:leader="none" w:pos="217" w:val="left"/>
        </w:tabs>
        <w:numPr>
          <w:ilvl w:val="0"/>
          <w:numId w:val="11"/>
        </w:numPr>
        <w:rPr>
          <w:rFonts w:ascii="Arial" w:cs="Arial" w:eastAsia="Arial" w:hAnsi="Arial"/>
          <w:sz w:val="25"/>
          <w:szCs w:val="25"/>
          <w:color w:val="auto"/>
          <w:vertAlign w:val="superscript"/>
        </w:rPr>
      </w:pPr>
      <w:r>
        <w:rPr>
          <w:rFonts w:ascii="Arial" w:cs="Arial" w:eastAsia="Arial" w:hAnsi="Arial"/>
          <w:sz w:val="19"/>
          <w:szCs w:val="19"/>
          <w:color w:val="auto"/>
        </w:rPr>
        <w:t>Lower bound of the 2-sided 95% confidence interval of the difference in the proportions of participants with a ≥4-fold increase from Day 1 to Day 29 is greater than 10%, and lower bound of the 2-sided 95% confidence interval of the OPA geometric mean titer ratio is greater than 2.0.</w:t>
      </w:r>
    </w:p>
    <w:p>
      <w:pPr>
        <w:spacing w:after="0" w:line="210" w:lineRule="exact"/>
        <w:rPr>
          <w:rFonts w:ascii="Arial" w:cs="Arial" w:eastAsia="Arial" w:hAnsi="Arial"/>
          <w:sz w:val="25"/>
          <w:szCs w:val="25"/>
          <w:color w:val="auto"/>
          <w:vertAlign w:val="superscript"/>
        </w:rPr>
      </w:pPr>
    </w:p>
    <w:p>
      <w:pPr>
        <w:ind w:left="5560" w:hanging="156"/>
        <w:spacing w:after="0"/>
        <w:tabs>
          <w:tab w:leader="none" w:pos="5560" w:val="left"/>
        </w:tabs>
        <w:numPr>
          <w:ilvl w:val="1"/>
          <w:numId w:val="11"/>
        </w:numPr>
        <w:rPr>
          <w:rFonts w:ascii="Arial" w:cs="Arial" w:eastAsia="Arial" w:hAnsi="Arial"/>
          <w:sz w:val="20"/>
          <w:szCs w:val="20"/>
          <w:color w:val="auto"/>
        </w:rPr>
      </w:pPr>
      <w:r>
        <w:rPr>
          <w:rFonts w:ascii="Arial" w:cs="Arial" w:eastAsia="Arial" w:hAnsi="Arial"/>
          <w:sz w:val="20"/>
          <w:szCs w:val="20"/>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478155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38" w:right="339" w:bottom="1440" w:gutter="0" w:footer="0" w:header="0"/>
        </w:sectPr>
      </w:pPr>
    </w:p>
    <w:bookmarkStart w:id="8" w:name="page9"/>
    <w:bookmarkEnd w:id="8"/>
    <w:p>
      <w:pPr>
        <w:spacing w:after="0"/>
        <w:rPr>
          <w:sz w:val="20"/>
          <w:szCs w:val="20"/>
          <w:color w:val="auto"/>
        </w:rPr>
      </w:pPr>
      <w:r>
        <w:rPr>
          <w:rFonts w:ascii="Arial" w:cs="Arial" w:eastAsia="Arial" w:hAnsi="Arial"/>
          <w:sz w:val="20"/>
          <w:szCs w:val="20"/>
          <w:b w:val="1"/>
          <w:bCs w:val="1"/>
          <w:color w:val="auto"/>
        </w:rPr>
        <w:t>Contacts:</w:t>
      </w:r>
    </w:p>
    <w:p>
      <w:pPr>
        <w:spacing w:after="0" w:line="24" w:lineRule="exact"/>
        <w:rPr>
          <w:sz w:val="20"/>
          <w:szCs w:val="20"/>
          <w:color w:val="auto"/>
        </w:rPr>
      </w:pPr>
    </w:p>
    <w:p>
      <w:pPr>
        <w:ind w:right="4939"/>
        <w:spacing w:after="0" w:line="239" w:lineRule="auto"/>
        <w:rPr>
          <w:sz w:val="20"/>
          <w:szCs w:val="20"/>
          <w:color w:val="auto"/>
        </w:rPr>
      </w:pPr>
      <w:r>
        <w:rPr>
          <w:rFonts w:ascii="Arial" w:cs="Arial" w:eastAsia="Arial" w:hAnsi="Arial"/>
          <w:sz w:val="20"/>
          <w:szCs w:val="20"/>
          <w:color w:val="auto"/>
        </w:rPr>
        <w:t>Andrew Guggenhime, President and Chief Financial Officer Vaxcyte, Inc.</w:t>
      </w:r>
    </w:p>
    <w:p>
      <w:pPr>
        <w:spacing w:after="0"/>
        <w:rPr>
          <w:sz w:val="20"/>
          <w:szCs w:val="20"/>
          <w:color w:val="auto"/>
        </w:rPr>
      </w:pPr>
      <w:r>
        <w:rPr>
          <w:rFonts w:ascii="Arial" w:cs="Arial" w:eastAsia="Arial" w:hAnsi="Arial"/>
          <w:sz w:val="20"/>
          <w:szCs w:val="20"/>
          <w:color w:val="auto"/>
        </w:rPr>
        <w:t>650-837-0111</w:t>
      </w:r>
    </w:p>
    <w:p>
      <w:pPr>
        <w:spacing w:after="0"/>
        <w:rPr>
          <w:sz w:val="20"/>
          <w:szCs w:val="20"/>
          <w:color w:val="auto"/>
        </w:rPr>
      </w:pPr>
      <w:r>
        <w:rPr>
          <w:rFonts w:ascii="Arial" w:cs="Arial" w:eastAsia="Arial" w:hAnsi="Arial"/>
          <w:sz w:val="20"/>
          <w:szCs w:val="20"/>
          <w:u w:val="single" w:color="auto"/>
          <w:color w:val="auto"/>
        </w:rPr>
        <w:t>investors@vaxcyte.com</w:t>
      </w:r>
    </w:p>
    <w:p>
      <w:pPr>
        <w:spacing w:after="0" w:line="216" w:lineRule="exact"/>
        <w:rPr>
          <w:sz w:val="20"/>
          <w:szCs w:val="20"/>
          <w:color w:val="auto"/>
        </w:rPr>
      </w:pPr>
    </w:p>
    <w:p>
      <w:pPr>
        <w:ind w:right="2859"/>
        <w:spacing w:after="0" w:line="239" w:lineRule="auto"/>
        <w:rPr>
          <w:sz w:val="20"/>
          <w:szCs w:val="20"/>
          <w:color w:val="auto"/>
        </w:rPr>
      </w:pPr>
      <w:r>
        <w:rPr>
          <w:rFonts w:ascii="Arial" w:cs="Arial" w:eastAsia="Arial" w:hAnsi="Arial"/>
          <w:sz w:val="20"/>
          <w:szCs w:val="20"/>
          <w:color w:val="auto"/>
        </w:rPr>
        <w:t>Janet Graesser, Vice President, Corporate Communications and Investor Relations Vaxcyte, Inc.</w:t>
      </w:r>
    </w:p>
    <w:p>
      <w:pPr>
        <w:spacing w:after="0"/>
        <w:rPr>
          <w:sz w:val="20"/>
          <w:szCs w:val="20"/>
          <w:color w:val="auto"/>
        </w:rPr>
      </w:pPr>
      <w:r>
        <w:rPr>
          <w:rFonts w:ascii="Arial" w:cs="Arial" w:eastAsia="Arial" w:hAnsi="Arial"/>
          <w:sz w:val="20"/>
          <w:szCs w:val="20"/>
          <w:color w:val="auto"/>
        </w:rPr>
        <w:t>917-685-8799</w:t>
      </w:r>
    </w:p>
    <w:p>
      <w:pPr>
        <w:spacing w:after="0"/>
        <w:rPr>
          <w:sz w:val="20"/>
          <w:szCs w:val="20"/>
          <w:color w:val="auto"/>
        </w:rPr>
      </w:pPr>
      <w:r>
        <w:rPr>
          <w:rFonts w:ascii="Arial" w:cs="Arial" w:eastAsia="Arial" w:hAnsi="Arial"/>
          <w:sz w:val="20"/>
          <w:szCs w:val="20"/>
          <w:u w:val="single" w:color="auto"/>
          <w:color w:val="auto"/>
        </w:rPr>
        <w:t>media@vaxcyte.com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880745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39"/>
          </w:cols>
          <w:pgMar w:left="320" w:top="314" w:right="1440" w:bottom="1440" w:gutter="0" w:footer="0" w:header="0"/>
        </w:sectPr>
      </w:pPr>
    </w:p>
    <w:bookmarkStart w:id="9" w:name="page10"/>
    <w:bookmarkEnd w:id="9"/>
    <w:p>
      <w:pPr>
        <w:jc w:val="center"/>
        <w:ind w:right="100"/>
        <w:spacing w:after="0"/>
        <w:rPr>
          <w:sz w:val="20"/>
          <w:szCs w:val="20"/>
          <w:color w:val="auto"/>
        </w:rPr>
      </w:pPr>
      <w:r>
        <w:rPr>
          <w:rFonts w:ascii="Arial" w:cs="Arial" w:eastAsia="Arial" w:hAnsi="Arial"/>
          <w:sz w:val="18"/>
          <w:szCs w:val="18"/>
          <w:b w:val="1"/>
          <w:bCs w:val="1"/>
          <w:color w:val="auto"/>
        </w:rPr>
        <w:t>Vaxcyte, Inc.</w:t>
      </w:r>
    </w:p>
    <w:p>
      <w:pPr>
        <w:spacing w:after="0" w:line="31"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Condensed Statements of Operations</w:t>
      </w:r>
    </w:p>
    <w:p>
      <w:pPr>
        <w:spacing w:after="0" w:line="9"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340" w:type="dxa"/>
            <w:vAlign w:val="bottom"/>
            <w:gridSpan w:val="6"/>
          </w:tcPr>
          <w:p>
            <w:pPr>
              <w:jc w:val="right"/>
              <w:ind w:right="560"/>
              <w:spacing w:after="0"/>
              <w:rPr>
                <w:sz w:val="20"/>
                <w:szCs w:val="20"/>
                <w:color w:val="auto"/>
              </w:rPr>
            </w:pPr>
            <w:r>
              <w:rPr>
                <w:rFonts w:ascii="Arial" w:cs="Arial" w:eastAsia="Arial" w:hAnsi="Arial"/>
                <w:sz w:val="18"/>
                <w:szCs w:val="18"/>
                <w:b w:val="1"/>
                <w:bCs w:val="1"/>
                <w:color w:val="auto"/>
                <w:w w:val="99"/>
              </w:rPr>
              <w:t>Three Months Ended September</w:t>
            </w:r>
          </w:p>
        </w:tc>
        <w:tc>
          <w:tcPr>
            <w:tcW w:w="3100" w:type="dxa"/>
            <w:vAlign w:val="bottom"/>
            <w:gridSpan w:val="6"/>
            <w:vMerge w:val="restart"/>
          </w:tcPr>
          <w:p>
            <w:pPr>
              <w:ind w:left="20"/>
              <w:spacing w:after="0"/>
              <w:rPr>
                <w:sz w:val="20"/>
                <w:szCs w:val="20"/>
                <w:color w:val="auto"/>
              </w:rPr>
            </w:pPr>
            <w:r>
              <w:rPr>
                <w:rFonts w:ascii="Arial" w:cs="Arial" w:eastAsia="Arial" w:hAnsi="Arial"/>
                <w:sz w:val="18"/>
                <w:szCs w:val="18"/>
                <w:b w:val="1"/>
                <w:bCs w:val="1"/>
                <w:color w:val="auto"/>
              </w:rPr>
              <w:t>Nine Months Ended September 30,</w:t>
            </w:r>
          </w:p>
        </w:tc>
        <w:tc>
          <w:tcPr>
            <w:tcW w:w="0" w:type="dxa"/>
            <w:vAlign w:val="bottom"/>
          </w:tcPr>
          <w:p>
            <w:pPr>
              <w:spacing w:after="0"/>
              <w:rPr>
                <w:sz w:val="1"/>
                <w:szCs w:val="1"/>
                <w:color w:val="auto"/>
              </w:rPr>
            </w:pPr>
          </w:p>
        </w:tc>
      </w:tr>
      <w:tr>
        <w:trPr>
          <w:trHeight w:val="239"/>
        </w:trPr>
        <w:tc>
          <w:tcPr>
            <w:tcW w:w="4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jc w:val="right"/>
              <w:ind w:right="10"/>
              <w:spacing w:after="0"/>
              <w:rPr>
                <w:sz w:val="20"/>
                <w:szCs w:val="20"/>
                <w:color w:val="auto"/>
              </w:rPr>
            </w:pPr>
            <w:r>
              <w:rPr>
                <w:rFonts w:ascii="Arial" w:cs="Arial" w:eastAsia="Arial" w:hAnsi="Arial"/>
                <w:sz w:val="18"/>
                <w:szCs w:val="18"/>
                <w:b w:val="1"/>
                <w:bCs w:val="1"/>
                <w:color w:val="auto"/>
                <w:w w:val="87"/>
              </w:rPr>
              <w:t>30,</w:t>
            </w:r>
          </w:p>
        </w:tc>
        <w:tc>
          <w:tcPr>
            <w:tcW w:w="2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100" w:type="dxa"/>
            <w:vAlign w:val="bottom"/>
            <w:gridSpan w:val="6"/>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70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2022</w:t>
            </w:r>
          </w:p>
        </w:tc>
        <w:tc>
          <w:tcPr>
            <w:tcW w:w="8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2021</w:t>
            </w:r>
          </w:p>
        </w:tc>
        <w:tc>
          <w:tcPr>
            <w:tcW w:w="40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2022</w:t>
            </w:r>
          </w:p>
        </w:tc>
        <w:tc>
          <w:tcPr>
            <w:tcW w:w="360" w:type="dxa"/>
            <w:vAlign w:val="bottom"/>
            <w:tcBorders>
              <w:top w:val="single" w:sz="8" w:color="auto"/>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700" w:type="dxa"/>
            <w:vAlign w:val="bottom"/>
            <w:shd w:val="clear" w:color="auto" w:fill="CFF0FC"/>
          </w:tcPr>
          <w:p>
            <w:pPr>
              <w:ind w:left="20"/>
              <w:spacing w:after="0"/>
              <w:rPr>
                <w:sz w:val="20"/>
                <w:szCs w:val="20"/>
                <w:color w:val="auto"/>
              </w:rPr>
            </w:pPr>
            <w:r>
              <w:rPr>
                <w:rFonts w:ascii="Arial" w:cs="Arial" w:eastAsia="Arial" w:hAnsi="Arial"/>
                <w:sz w:val="18"/>
                <w:szCs w:val="18"/>
                <w:color w:val="auto"/>
              </w:rPr>
              <w:t>Operating expenses:</w:t>
            </w:r>
          </w:p>
        </w:tc>
        <w:tc>
          <w:tcPr>
            <w:tcW w:w="100" w:type="dxa"/>
            <w:vAlign w:val="bottom"/>
            <w:shd w:val="clear" w:color="auto" w:fill="CFF0FC"/>
          </w:tcPr>
          <w:p>
            <w:pPr>
              <w:spacing w:after="0"/>
              <w:rPr>
                <w:sz w:val="18"/>
                <w:szCs w:val="18"/>
                <w:color w:val="auto"/>
              </w:rPr>
            </w:pPr>
          </w:p>
        </w:tc>
        <w:tc>
          <w:tcPr>
            <w:tcW w:w="1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tcPr>
          <w:p>
            <w:pPr>
              <w:ind w:left="140"/>
              <w:spacing w:after="0" w:line="216" w:lineRule="exact"/>
              <w:rPr>
                <w:sz w:val="20"/>
                <w:szCs w:val="20"/>
                <w:color w:val="auto"/>
              </w:rPr>
            </w:pPr>
            <w:r>
              <w:rPr>
                <w:rFonts w:ascii="Arial" w:cs="Arial" w:eastAsia="Arial" w:hAnsi="Arial"/>
                <w:sz w:val="18"/>
                <w:szCs w:val="18"/>
                <w:color w:val="auto"/>
              </w:rPr>
              <w:t xml:space="preserve">Research and development </w:t>
            </w:r>
            <w:r>
              <w:rPr>
                <w:rFonts w:ascii="Arial" w:cs="Arial" w:eastAsia="Arial" w:hAnsi="Arial"/>
                <w:sz w:val="24"/>
                <w:szCs w:val="24"/>
                <w:color w:val="auto"/>
                <w:vertAlign w:val="superscript"/>
              </w:rPr>
              <w:t>(1)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47,679</w:t>
            </w:r>
          </w:p>
        </w:tc>
        <w:tc>
          <w:tcPr>
            <w:tcW w:w="80" w:type="dxa"/>
            <w:vAlign w:val="bottom"/>
          </w:tcPr>
          <w:p>
            <w:pPr>
              <w:spacing w:after="0"/>
              <w:rPr>
                <w:sz w:val="18"/>
                <w:szCs w:val="18"/>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20,428</w:t>
            </w:r>
          </w:p>
        </w:tc>
        <w:tc>
          <w:tcPr>
            <w:tcW w:w="400" w:type="dxa"/>
            <w:vAlign w:val="bottom"/>
          </w:tcPr>
          <w:p>
            <w:pPr>
              <w:spacing w:after="0"/>
              <w:rPr>
                <w:sz w:val="18"/>
                <w:szCs w:val="18"/>
                <w:color w:val="auto"/>
              </w:rPr>
            </w:pP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117,825</w:t>
            </w:r>
          </w:p>
        </w:tc>
        <w:tc>
          <w:tcPr>
            <w:tcW w:w="360" w:type="dxa"/>
            <w:vAlign w:val="bottom"/>
          </w:tcPr>
          <w:p>
            <w:pPr>
              <w:spacing w:after="0"/>
              <w:rPr>
                <w:sz w:val="18"/>
                <w:szCs w:val="18"/>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55,337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tcBorders>
              <w:bottom w:val="single" w:sz="8" w:color="CFF0FC"/>
            </w:tcBorders>
            <w:shd w:val="clear" w:color="auto" w:fill="CFF0FC"/>
          </w:tcPr>
          <w:p>
            <w:pPr>
              <w:ind w:left="140"/>
              <w:spacing w:after="0" w:line="216" w:lineRule="exact"/>
              <w:rPr>
                <w:sz w:val="20"/>
                <w:szCs w:val="20"/>
                <w:color w:val="auto"/>
              </w:rPr>
            </w:pPr>
            <w:r>
              <w:rPr>
                <w:rFonts w:ascii="Arial" w:cs="Arial" w:eastAsia="Arial" w:hAnsi="Arial"/>
                <w:sz w:val="18"/>
                <w:szCs w:val="18"/>
                <w:color w:val="auto"/>
              </w:rPr>
              <w:t xml:space="preserve">General and administrative </w:t>
            </w:r>
            <w:r>
              <w:rPr>
                <w:rFonts w:ascii="Arial" w:cs="Arial" w:eastAsia="Arial" w:hAnsi="Arial"/>
                <w:sz w:val="24"/>
                <w:szCs w:val="24"/>
                <w:color w:val="auto"/>
                <w:vertAlign w:val="superscript"/>
              </w:rPr>
              <w:t>(1)</w:t>
            </w:r>
          </w:p>
        </w:tc>
        <w:tc>
          <w:tcPr>
            <w:tcW w:w="100" w:type="dxa"/>
            <w:vAlign w:val="bottom"/>
            <w:tcBorders>
              <w:bottom w:val="single" w:sz="8" w:color="auto"/>
            </w:tcBorders>
            <w:shd w:val="clear" w:color="auto" w:fill="CFF0FC"/>
          </w:tcPr>
          <w:p>
            <w:pPr>
              <w:spacing w:after="0"/>
              <w:rPr>
                <w:sz w:val="18"/>
                <w:szCs w:val="18"/>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10,898</w:t>
            </w:r>
          </w:p>
        </w:tc>
        <w:tc>
          <w:tcPr>
            <w:tcW w:w="80" w:type="dxa"/>
            <w:vAlign w:val="bottom"/>
            <w:tcBorders>
              <w:bottom w:val="single" w:sz="8" w:color="CFF0FC"/>
            </w:tcBorders>
            <w:shd w:val="clear" w:color="auto" w:fill="CFF0FC"/>
          </w:tcPr>
          <w:p>
            <w:pPr>
              <w:spacing w:after="0"/>
              <w:rPr>
                <w:sz w:val="18"/>
                <w:szCs w:val="18"/>
                <w:color w:val="auto"/>
              </w:rPr>
            </w:pPr>
          </w:p>
        </w:tc>
        <w:tc>
          <w:tcPr>
            <w:tcW w:w="3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6,523</w:t>
            </w:r>
          </w:p>
        </w:tc>
        <w:tc>
          <w:tcPr>
            <w:tcW w:w="40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27,858</w:t>
            </w:r>
          </w:p>
        </w:tc>
        <w:tc>
          <w:tcPr>
            <w:tcW w:w="360" w:type="dxa"/>
            <w:vAlign w:val="bottom"/>
            <w:tcBorders>
              <w:bottom w:val="single" w:sz="8" w:color="CFF0FC"/>
            </w:tcBorders>
            <w:shd w:val="clear" w:color="auto" w:fill="CFF0FC"/>
          </w:tcPr>
          <w:p>
            <w:pPr>
              <w:spacing w:after="0"/>
              <w:rPr>
                <w:sz w:val="18"/>
                <w:szCs w:val="18"/>
                <w:color w:val="auto"/>
              </w:rPr>
            </w:pPr>
          </w:p>
        </w:tc>
        <w:tc>
          <w:tcPr>
            <w:tcW w:w="280" w:type="dxa"/>
            <w:vAlign w:val="bottom"/>
            <w:tcBorders>
              <w:bottom w:val="single" w:sz="8" w:color="auto"/>
            </w:tcBorders>
            <w:shd w:val="clear" w:color="auto" w:fill="CFF0FC"/>
          </w:tcPr>
          <w:p>
            <w:pPr>
              <w:spacing w:after="0"/>
              <w:rPr>
                <w:sz w:val="18"/>
                <w:szCs w:val="18"/>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18,487</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00" w:type="dxa"/>
            <w:vAlign w:val="bottom"/>
          </w:tcPr>
          <w:p>
            <w:pPr>
              <w:ind w:left="400"/>
              <w:spacing w:after="0"/>
              <w:rPr>
                <w:sz w:val="20"/>
                <w:szCs w:val="20"/>
                <w:color w:val="auto"/>
              </w:rPr>
            </w:pPr>
            <w:r>
              <w:rPr>
                <w:rFonts w:ascii="Arial" w:cs="Arial" w:eastAsia="Arial" w:hAnsi="Arial"/>
                <w:sz w:val="18"/>
                <w:szCs w:val="18"/>
                <w:color w:val="auto"/>
              </w:rPr>
              <w:t>Total operating expenses</w:t>
            </w:r>
          </w:p>
        </w:tc>
        <w:tc>
          <w:tcPr>
            <w:tcW w:w="10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58,577</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26,951</w:t>
            </w:r>
          </w:p>
        </w:tc>
        <w:tc>
          <w:tcPr>
            <w:tcW w:w="4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145,683</w:t>
            </w:r>
          </w:p>
        </w:tc>
        <w:tc>
          <w:tcPr>
            <w:tcW w:w="36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73,824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spacing w:after="0"/>
              <w:rPr>
                <w:sz w:val="18"/>
                <w:szCs w:val="18"/>
                <w:color w:val="auto"/>
              </w:rPr>
            </w:pPr>
          </w:p>
        </w:tc>
        <w:tc>
          <w:tcPr>
            <w:tcW w:w="280" w:type="dxa"/>
            <w:vAlign w:val="bottom"/>
          </w:tcPr>
          <w:p>
            <w:pPr>
              <w:spacing w:after="0"/>
              <w:rPr>
                <w:sz w:val="18"/>
                <w:szCs w:val="18"/>
                <w:color w:val="auto"/>
              </w:rPr>
            </w:pPr>
          </w:p>
        </w:tc>
        <w:tc>
          <w:tcPr>
            <w:tcW w:w="11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FF0FC"/>
          </w:tcPr>
          <w:p>
            <w:pPr>
              <w:ind w:left="20"/>
              <w:spacing w:after="0"/>
              <w:rPr>
                <w:sz w:val="20"/>
                <w:szCs w:val="20"/>
                <w:color w:val="auto"/>
              </w:rPr>
            </w:pPr>
            <w:r>
              <w:rPr>
                <w:rFonts w:ascii="Arial" w:cs="Arial" w:eastAsia="Arial" w:hAnsi="Arial"/>
                <w:sz w:val="18"/>
                <w:szCs w:val="18"/>
                <w:color w:val="auto"/>
              </w:rPr>
              <w:t>Loss from operations</w:t>
            </w:r>
          </w:p>
        </w:tc>
        <w:tc>
          <w:tcPr>
            <w:tcW w:w="100" w:type="dxa"/>
            <w:vAlign w:val="bottom"/>
            <w:shd w:val="clear" w:color="auto" w:fill="CFF0FC"/>
          </w:tcPr>
          <w:p>
            <w:pPr>
              <w:spacing w:after="0"/>
              <w:rPr>
                <w:sz w:val="18"/>
                <w:szCs w:val="18"/>
                <w:color w:val="auto"/>
              </w:rPr>
            </w:pPr>
          </w:p>
        </w:tc>
        <w:tc>
          <w:tcPr>
            <w:tcW w:w="13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(58,577 )</w:t>
            </w:r>
          </w:p>
        </w:tc>
        <w:tc>
          <w:tcPr>
            <w:tcW w:w="3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320"/>
              <w:spacing w:after="0"/>
              <w:rPr>
                <w:sz w:val="20"/>
                <w:szCs w:val="20"/>
                <w:color w:val="auto"/>
              </w:rPr>
            </w:pPr>
            <w:r>
              <w:rPr>
                <w:rFonts w:ascii="Arial" w:cs="Arial" w:eastAsia="Arial" w:hAnsi="Arial"/>
                <w:sz w:val="18"/>
                <w:szCs w:val="18"/>
                <w:color w:val="auto"/>
              </w:rPr>
              <w:t>(26,951 )</w:t>
            </w:r>
          </w:p>
        </w:tc>
        <w:tc>
          <w:tcPr>
            <w:tcW w:w="240" w:type="dxa"/>
            <w:vAlign w:val="bottom"/>
            <w:shd w:val="clear" w:color="auto" w:fill="CFF0FC"/>
          </w:tcPr>
          <w:p>
            <w:pPr>
              <w:spacing w:after="0"/>
              <w:rPr>
                <w:sz w:val="18"/>
                <w:szCs w:val="18"/>
                <w:color w:val="auto"/>
              </w:rPr>
            </w:pPr>
          </w:p>
        </w:tc>
        <w:tc>
          <w:tcPr>
            <w:tcW w:w="142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(145,683 )</w:t>
            </w:r>
          </w:p>
        </w:tc>
        <w:tc>
          <w:tcPr>
            <w:tcW w:w="280" w:type="dxa"/>
            <w:vAlign w:val="bottom"/>
            <w:shd w:val="clear" w:color="auto" w:fill="CFF0FC"/>
          </w:tcPr>
          <w:p>
            <w:pPr>
              <w:spacing w:after="0"/>
              <w:rPr>
                <w:sz w:val="18"/>
                <w:szCs w:val="18"/>
                <w:color w:val="auto"/>
              </w:rPr>
            </w:pPr>
          </w:p>
        </w:tc>
        <w:tc>
          <w:tcPr>
            <w:tcW w:w="11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(73,824 )</w:t>
            </w:r>
          </w:p>
        </w:tc>
        <w:tc>
          <w:tcPr>
            <w:tcW w:w="0" w:type="dxa"/>
            <w:vAlign w:val="bottom"/>
          </w:tcPr>
          <w:p>
            <w:pPr>
              <w:spacing w:after="0"/>
              <w:rPr>
                <w:sz w:val="1"/>
                <w:szCs w:val="1"/>
                <w:color w:val="auto"/>
              </w:rPr>
            </w:pPr>
          </w:p>
        </w:tc>
      </w:tr>
      <w:tr>
        <w:trPr>
          <w:trHeight w:val="216"/>
        </w:trPr>
        <w:tc>
          <w:tcPr>
            <w:tcW w:w="4700" w:type="dxa"/>
            <w:vAlign w:val="bottom"/>
          </w:tcPr>
          <w:p>
            <w:pPr>
              <w:ind w:left="20"/>
              <w:spacing w:after="0"/>
              <w:rPr>
                <w:sz w:val="20"/>
                <w:szCs w:val="20"/>
                <w:color w:val="auto"/>
              </w:rPr>
            </w:pPr>
            <w:r>
              <w:rPr>
                <w:rFonts w:ascii="Arial" w:cs="Arial" w:eastAsia="Arial" w:hAnsi="Arial"/>
                <w:sz w:val="18"/>
                <w:szCs w:val="18"/>
                <w:color w:val="auto"/>
              </w:rPr>
              <w:t>Other income (expense), net:</w:t>
            </w:r>
          </w:p>
        </w:tc>
        <w:tc>
          <w:tcPr>
            <w:tcW w:w="1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Interest expense</w:t>
            </w:r>
          </w:p>
        </w:tc>
        <w:tc>
          <w:tcPr>
            <w:tcW w:w="100" w:type="dxa"/>
            <w:vAlign w:val="bottom"/>
            <w:shd w:val="clear" w:color="auto" w:fill="CFF0FC"/>
          </w:tcPr>
          <w:p>
            <w:pPr>
              <w:spacing w:after="0"/>
              <w:rPr>
                <w:sz w:val="18"/>
                <w:szCs w:val="18"/>
                <w:color w:val="auto"/>
              </w:rPr>
            </w:pPr>
          </w:p>
        </w:tc>
        <w:tc>
          <w:tcPr>
            <w:tcW w:w="13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4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8"/>
                <w:szCs w:val="18"/>
                <w:color w:val="auto"/>
              </w:rPr>
            </w:pPr>
          </w:p>
        </w:tc>
        <w:tc>
          <w:tcPr>
            <w:tcW w:w="142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(2 )</w:t>
            </w:r>
          </w:p>
        </w:tc>
        <w:tc>
          <w:tcPr>
            <w:tcW w:w="280" w:type="dxa"/>
            <w:vAlign w:val="bottom"/>
            <w:shd w:val="clear" w:color="auto" w:fill="CFF0FC"/>
          </w:tcPr>
          <w:p>
            <w:pPr>
              <w:spacing w:after="0"/>
              <w:rPr>
                <w:sz w:val="18"/>
                <w:szCs w:val="18"/>
                <w:color w:val="auto"/>
              </w:rPr>
            </w:pPr>
          </w:p>
        </w:tc>
        <w:tc>
          <w:tcPr>
            <w:tcW w:w="11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(7 )</w:t>
            </w:r>
          </w:p>
        </w:tc>
        <w:tc>
          <w:tcPr>
            <w:tcW w:w="0" w:type="dxa"/>
            <w:vAlign w:val="bottom"/>
          </w:tcPr>
          <w:p>
            <w:pPr>
              <w:spacing w:after="0"/>
              <w:rPr>
                <w:sz w:val="1"/>
                <w:szCs w:val="1"/>
                <w:color w:val="auto"/>
              </w:rPr>
            </w:pPr>
          </w:p>
        </w:tc>
      </w:tr>
      <w:tr>
        <w:trPr>
          <w:trHeight w:val="216"/>
        </w:trPr>
        <w:tc>
          <w:tcPr>
            <w:tcW w:w="4700" w:type="dxa"/>
            <w:vAlign w:val="bottom"/>
          </w:tcPr>
          <w:p>
            <w:pPr>
              <w:ind w:left="140"/>
              <w:spacing w:after="0"/>
              <w:rPr>
                <w:sz w:val="20"/>
                <w:szCs w:val="20"/>
                <w:color w:val="auto"/>
              </w:rPr>
            </w:pPr>
            <w:r>
              <w:rPr>
                <w:rFonts w:ascii="Arial" w:cs="Arial" w:eastAsia="Arial" w:hAnsi="Arial"/>
                <w:sz w:val="18"/>
                <w:szCs w:val="18"/>
                <w:color w:val="auto"/>
              </w:rPr>
              <w:t>Interest income</w:t>
            </w:r>
          </w:p>
        </w:tc>
        <w:tc>
          <w:tcPr>
            <w:tcW w:w="1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1,190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90</w:t>
            </w: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1,723</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245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Grant income</w:t>
            </w:r>
          </w:p>
        </w:tc>
        <w:tc>
          <w:tcPr>
            <w:tcW w:w="100" w:type="dxa"/>
            <w:vAlign w:val="bottom"/>
            <w:shd w:val="clear" w:color="auto" w:fill="CFF0FC"/>
          </w:tcPr>
          <w:p>
            <w:pPr>
              <w:spacing w:after="0"/>
              <w:rPr>
                <w:sz w:val="18"/>
                <w:szCs w:val="18"/>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157</w:t>
            </w:r>
          </w:p>
        </w:tc>
        <w:tc>
          <w:tcPr>
            <w:tcW w:w="8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299</w:t>
            </w:r>
          </w:p>
        </w:tc>
        <w:tc>
          <w:tcPr>
            <w:tcW w:w="4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1,006</w:t>
            </w:r>
          </w:p>
        </w:tc>
        <w:tc>
          <w:tcPr>
            <w:tcW w:w="36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677</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tcPr>
          <w:p>
            <w:pPr>
              <w:ind w:left="140"/>
              <w:spacing w:after="0"/>
              <w:rPr>
                <w:sz w:val="20"/>
                <w:szCs w:val="20"/>
                <w:color w:val="auto"/>
              </w:rPr>
            </w:pPr>
            <w:r>
              <w:rPr>
                <w:rFonts w:ascii="Arial" w:cs="Arial" w:eastAsia="Arial" w:hAnsi="Arial"/>
                <w:sz w:val="18"/>
                <w:szCs w:val="18"/>
                <w:color w:val="auto"/>
              </w:rPr>
              <w:t>Realized gain on marketable securities</w:t>
            </w:r>
          </w:p>
        </w:tc>
        <w:tc>
          <w:tcPr>
            <w:tcW w:w="100" w:type="dxa"/>
            <w:vAlign w:val="bottom"/>
          </w:tcPr>
          <w:p>
            <w:pPr>
              <w:spacing w:after="0"/>
              <w:rPr>
                <w:sz w:val="18"/>
                <w:szCs w:val="18"/>
                <w:color w:val="auto"/>
              </w:rPr>
            </w:pPr>
          </w:p>
        </w:tc>
        <w:tc>
          <w:tcPr>
            <w:tcW w:w="1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w:t>
            </w: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Foreign currency transaction gains (losses)</w:t>
            </w:r>
          </w:p>
        </w:tc>
        <w:tc>
          <w:tcPr>
            <w:tcW w:w="100" w:type="dxa"/>
            <w:vAlign w:val="bottom"/>
            <w:shd w:val="clear" w:color="auto" w:fill="CFF0FC"/>
          </w:tcPr>
          <w:p>
            <w:pPr>
              <w:spacing w:after="0"/>
              <w:rPr>
                <w:sz w:val="18"/>
                <w:szCs w:val="18"/>
                <w:color w:val="auto"/>
              </w:rPr>
            </w:pPr>
          </w:p>
        </w:tc>
        <w:tc>
          <w:tcPr>
            <w:tcW w:w="13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(687 )</w:t>
            </w:r>
          </w:p>
        </w:tc>
        <w:tc>
          <w:tcPr>
            <w:tcW w:w="3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60" w:type="dxa"/>
            <w:vAlign w:val="bottom"/>
            <w:gridSpan w:val="2"/>
            <w:shd w:val="clear" w:color="auto" w:fill="CFF0FC"/>
          </w:tcPr>
          <w:p>
            <w:pPr>
              <w:jc w:val="right"/>
              <w:ind w:right="320"/>
              <w:spacing w:after="0"/>
              <w:rPr>
                <w:sz w:val="20"/>
                <w:szCs w:val="20"/>
                <w:color w:val="auto"/>
              </w:rPr>
            </w:pPr>
            <w:r>
              <w:rPr>
                <w:rFonts w:ascii="Arial" w:cs="Arial" w:eastAsia="Arial" w:hAnsi="Arial"/>
                <w:sz w:val="18"/>
                <w:szCs w:val="18"/>
                <w:color w:val="auto"/>
              </w:rPr>
              <w:t>(54 )</w:t>
            </w:r>
          </w:p>
        </w:tc>
        <w:tc>
          <w:tcPr>
            <w:tcW w:w="240" w:type="dxa"/>
            <w:vAlign w:val="bottom"/>
            <w:shd w:val="clear" w:color="auto" w:fill="CFF0FC"/>
          </w:tcPr>
          <w:p>
            <w:pPr>
              <w:spacing w:after="0"/>
              <w:rPr>
                <w:sz w:val="18"/>
                <w:szCs w:val="18"/>
                <w:color w:val="auto"/>
              </w:rPr>
            </w:pPr>
          </w:p>
        </w:tc>
        <w:tc>
          <w:tcPr>
            <w:tcW w:w="142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(2,479 )</w:t>
            </w:r>
          </w:p>
        </w:tc>
        <w:tc>
          <w:tcPr>
            <w:tcW w:w="280" w:type="dxa"/>
            <w:vAlign w:val="bottom"/>
            <w:shd w:val="clear" w:color="auto" w:fill="CFF0FC"/>
          </w:tcPr>
          <w:p>
            <w:pPr>
              <w:spacing w:after="0"/>
              <w:rPr>
                <w:sz w:val="18"/>
                <w:szCs w:val="18"/>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1,393</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00" w:type="dxa"/>
            <w:vAlign w:val="bottom"/>
            <w:tcBorders>
              <w:top w:val="single" w:sz="8" w:color="CFF0FC"/>
            </w:tcBorders>
          </w:tcPr>
          <w:p>
            <w:pPr>
              <w:ind w:left="400"/>
              <w:spacing w:after="0"/>
              <w:rPr>
                <w:sz w:val="20"/>
                <w:szCs w:val="20"/>
                <w:color w:val="auto"/>
              </w:rPr>
            </w:pPr>
            <w:r>
              <w:rPr>
                <w:rFonts w:ascii="Arial" w:cs="Arial" w:eastAsia="Arial" w:hAnsi="Arial"/>
                <w:sz w:val="18"/>
                <w:szCs w:val="18"/>
                <w:color w:val="auto"/>
              </w:rPr>
              <w:t>Total other income (expense), net</w:t>
            </w:r>
          </w:p>
        </w:tc>
        <w:tc>
          <w:tcPr>
            <w:tcW w:w="10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660</w:t>
            </w:r>
          </w:p>
        </w:tc>
        <w:tc>
          <w:tcPr>
            <w:tcW w:w="80" w:type="dxa"/>
            <w:vAlign w:val="bottom"/>
            <w:tcBorders>
              <w:top w:val="single" w:sz="8" w:color="CFF0FC"/>
            </w:tcBorders>
          </w:tcPr>
          <w:p>
            <w:pPr>
              <w:spacing w:after="0"/>
              <w:rPr>
                <w:sz w:val="18"/>
                <w:szCs w:val="18"/>
                <w:color w:val="auto"/>
              </w:rPr>
            </w:pPr>
          </w:p>
        </w:tc>
        <w:tc>
          <w:tcPr>
            <w:tcW w:w="340" w:type="dxa"/>
            <w:vAlign w:val="bottom"/>
            <w:tcBorders>
              <w:top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336</w:t>
            </w:r>
          </w:p>
        </w:tc>
        <w:tc>
          <w:tcPr>
            <w:tcW w:w="400" w:type="dxa"/>
            <w:vAlign w:val="bottom"/>
            <w:tcBorders>
              <w:top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248</w:t>
            </w:r>
          </w:p>
        </w:tc>
        <w:tc>
          <w:tcPr>
            <w:tcW w:w="360" w:type="dxa"/>
            <w:vAlign w:val="bottom"/>
            <w:tcBorders>
              <w:top w:val="single" w:sz="8" w:color="CFF0F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2,310</w:t>
            </w:r>
          </w:p>
        </w:tc>
        <w:tc>
          <w:tcPr>
            <w:tcW w:w="100" w:type="dxa"/>
            <w:vAlign w:val="bottom"/>
            <w:tcBorders>
              <w:top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spacing w:after="0"/>
              <w:rPr>
                <w:sz w:val="18"/>
                <w:szCs w:val="18"/>
                <w:color w:val="auto"/>
              </w:rPr>
            </w:pPr>
          </w:p>
        </w:tc>
        <w:tc>
          <w:tcPr>
            <w:tcW w:w="580" w:type="dxa"/>
            <w:vAlign w:val="bottom"/>
            <w:gridSpan w:val="2"/>
          </w:tcPr>
          <w:p>
            <w:pPr>
              <w:spacing w:after="0"/>
              <w:rPr>
                <w:sz w:val="18"/>
                <w:szCs w:val="18"/>
                <w:color w:val="auto"/>
              </w:rPr>
            </w:pPr>
          </w:p>
        </w:tc>
        <w:tc>
          <w:tcPr>
            <w:tcW w:w="1460" w:type="dxa"/>
            <w:vAlign w:val="bottom"/>
            <w:gridSpan w:val="2"/>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spacing w:after="0"/>
              <w:rPr>
                <w:sz w:val="18"/>
                <w:szCs w:val="18"/>
                <w:color w:val="auto"/>
              </w:rPr>
            </w:pPr>
          </w:p>
        </w:tc>
        <w:tc>
          <w:tcPr>
            <w:tcW w:w="280" w:type="dxa"/>
            <w:vAlign w:val="bottom"/>
          </w:tcPr>
          <w:p>
            <w:pPr>
              <w:spacing w:after="0"/>
              <w:rPr>
                <w:sz w:val="18"/>
                <w:szCs w:val="18"/>
                <w:color w:val="auto"/>
              </w:rPr>
            </w:pPr>
          </w:p>
        </w:tc>
        <w:tc>
          <w:tcPr>
            <w:tcW w:w="11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4700" w:type="dxa"/>
            <w:vAlign w:val="bottom"/>
            <w:shd w:val="clear" w:color="auto" w:fill="CFF0FC"/>
          </w:tcPr>
          <w:p>
            <w:pPr>
              <w:ind w:left="20"/>
              <w:spacing w:after="0"/>
              <w:rPr>
                <w:sz w:val="20"/>
                <w:szCs w:val="20"/>
                <w:color w:val="auto"/>
              </w:rPr>
            </w:pPr>
            <w:r>
              <w:rPr>
                <w:rFonts w:ascii="Arial" w:cs="Arial" w:eastAsia="Arial" w:hAnsi="Arial"/>
                <w:sz w:val="18"/>
                <w:szCs w:val="18"/>
                <w:color w:val="auto"/>
              </w:rPr>
              <w:t>Net loss</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(57,917 )</w:t>
            </w:r>
          </w:p>
        </w:tc>
        <w:tc>
          <w:tcPr>
            <w:tcW w:w="5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CFF0FC"/>
          </w:tcPr>
          <w:p>
            <w:pPr>
              <w:jc w:val="right"/>
              <w:ind w:right="320"/>
              <w:spacing w:after="0"/>
              <w:rPr>
                <w:sz w:val="20"/>
                <w:szCs w:val="20"/>
                <w:color w:val="auto"/>
              </w:rPr>
            </w:pPr>
            <w:r>
              <w:rPr>
                <w:rFonts w:ascii="Arial" w:cs="Arial" w:eastAsia="Arial" w:hAnsi="Arial"/>
                <w:sz w:val="18"/>
                <w:szCs w:val="18"/>
                <w:color w:val="auto"/>
              </w:rPr>
              <w:t>(26,615 )</w:t>
            </w:r>
          </w:p>
        </w:tc>
        <w:tc>
          <w:tcPr>
            <w:tcW w:w="24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(145,435 )</w:t>
            </w:r>
          </w:p>
        </w:tc>
        <w:tc>
          <w:tcPr>
            <w:tcW w:w="28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(71,514 )</w:t>
            </w:r>
          </w:p>
        </w:tc>
        <w:tc>
          <w:tcPr>
            <w:tcW w:w="0" w:type="dxa"/>
            <w:vAlign w:val="bottom"/>
          </w:tcPr>
          <w:p>
            <w:pPr>
              <w:spacing w:after="0"/>
              <w:rPr>
                <w:sz w:val="1"/>
                <w:szCs w:val="1"/>
                <w:color w:val="auto"/>
              </w:rPr>
            </w:pPr>
          </w:p>
        </w:tc>
      </w:tr>
      <w:tr>
        <w:trPr>
          <w:trHeight w:val="20"/>
        </w:trPr>
        <w:tc>
          <w:tcPr>
            <w:tcW w:w="470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22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FF0FC"/>
            </w:tcBorders>
            <w:shd w:val="clear" w:color="auto" w:fill="CFF0FC"/>
          </w:tcPr>
          <w:p>
            <w:pPr>
              <w:spacing w:after="0" w:line="20" w:lineRule="exact"/>
              <w:rPr>
                <w:sz w:val="1"/>
                <w:szCs w:val="1"/>
                <w:color w:val="auto"/>
              </w:rPr>
            </w:pPr>
          </w:p>
        </w:tc>
        <w:tc>
          <w:tcPr>
            <w:tcW w:w="34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360" w:type="dxa"/>
            <w:vAlign w:val="bottom"/>
            <w:tcBorders>
              <w:top w:val="single" w:sz="8" w:color="CFF0FC"/>
            </w:tcBorders>
            <w:shd w:val="clear" w:color="auto" w:fill="CFF0FC"/>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4700" w:type="dxa"/>
            <w:vAlign w:val="bottom"/>
          </w:tcPr>
          <w:p>
            <w:pPr>
              <w:ind w:left="20"/>
              <w:spacing w:after="0"/>
              <w:rPr>
                <w:sz w:val="20"/>
                <w:szCs w:val="20"/>
                <w:color w:val="auto"/>
              </w:rPr>
            </w:pPr>
            <w:r>
              <w:rPr>
                <w:rFonts w:ascii="Arial" w:cs="Arial" w:eastAsia="Arial" w:hAnsi="Arial"/>
                <w:sz w:val="18"/>
                <w:szCs w:val="18"/>
                <w:color w:val="auto"/>
              </w:rPr>
              <w:t>Net loss per share, basic and diluted</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(0.93 )</w:t>
            </w:r>
          </w:p>
        </w:tc>
        <w:tc>
          <w:tcPr>
            <w:tcW w:w="5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320"/>
              <w:spacing w:after="0"/>
              <w:rPr>
                <w:sz w:val="20"/>
                <w:szCs w:val="20"/>
                <w:color w:val="auto"/>
              </w:rPr>
            </w:pPr>
            <w:r>
              <w:rPr>
                <w:rFonts w:ascii="Arial" w:cs="Arial" w:eastAsia="Arial" w:hAnsi="Arial"/>
                <w:sz w:val="18"/>
                <w:szCs w:val="18"/>
                <w:color w:val="auto"/>
              </w:rPr>
              <w:t>(0.51 )</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300"/>
              <w:spacing w:after="0"/>
              <w:rPr>
                <w:sz w:val="20"/>
                <w:szCs w:val="20"/>
                <w:color w:val="auto"/>
              </w:rPr>
            </w:pPr>
            <w:r>
              <w:rPr>
                <w:rFonts w:ascii="Arial" w:cs="Arial" w:eastAsia="Arial" w:hAnsi="Arial"/>
                <w:sz w:val="18"/>
                <w:szCs w:val="18"/>
                <w:color w:val="auto"/>
              </w:rPr>
              <w:t>(2.42 )</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(1.39 )</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8"/>
        </w:trPr>
        <w:tc>
          <w:tcPr>
            <w:tcW w:w="4700" w:type="dxa"/>
            <w:vAlign w:val="bottom"/>
            <w:shd w:val="clear" w:color="auto" w:fill="CFF0FC"/>
          </w:tcPr>
          <w:p>
            <w:pPr>
              <w:ind w:left="20"/>
              <w:spacing w:after="0" w:line="189" w:lineRule="exact"/>
              <w:rPr>
                <w:sz w:val="20"/>
                <w:szCs w:val="20"/>
                <w:color w:val="auto"/>
              </w:rPr>
            </w:pPr>
            <w:r>
              <w:rPr>
                <w:rFonts w:ascii="Arial" w:cs="Arial" w:eastAsia="Arial" w:hAnsi="Arial"/>
                <w:sz w:val="18"/>
                <w:szCs w:val="18"/>
                <w:color w:val="auto"/>
              </w:rPr>
              <w:t>Weighted-average shares outstanding, basic and</w:t>
            </w:r>
          </w:p>
        </w:tc>
        <w:tc>
          <w:tcPr>
            <w:tcW w:w="100" w:type="dxa"/>
            <w:vAlign w:val="bottom"/>
            <w:shd w:val="clear" w:color="auto" w:fill="CFF0FC"/>
          </w:tcPr>
          <w:p>
            <w:pPr>
              <w:spacing w:after="0"/>
              <w:rPr>
                <w:sz w:val="16"/>
                <w:szCs w:val="16"/>
                <w:color w:val="auto"/>
              </w:rPr>
            </w:pPr>
          </w:p>
        </w:tc>
        <w:tc>
          <w:tcPr>
            <w:tcW w:w="122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61,989,347</w:t>
            </w:r>
          </w:p>
        </w:tc>
        <w:tc>
          <w:tcPr>
            <w:tcW w:w="80" w:type="dxa"/>
            <w:vAlign w:val="bottom"/>
            <w:shd w:val="clear" w:color="auto" w:fill="CFF0FC"/>
          </w:tcPr>
          <w:p>
            <w:pPr>
              <w:spacing w:after="0"/>
              <w:rPr>
                <w:sz w:val="16"/>
                <w:szCs w:val="16"/>
                <w:color w:val="auto"/>
              </w:rPr>
            </w:pPr>
          </w:p>
        </w:tc>
        <w:tc>
          <w:tcPr>
            <w:tcW w:w="340" w:type="dxa"/>
            <w:vAlign w:val="bottom"/>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6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52,187,303</w:t>
            </w:r>
          </w:p>
        </w:tc>
        <w:tc>
          <w:tcPr>
            <w:tcW w:w="400" w:type="dxa"/>
            <w:vAlign w:val="bottom"/>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6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60,166,583</w:t>
            </w:r>
          </w:p>
        </w:tc>
        <w:tc>
          <w:tcPr>
            <w:tcW w:w="360" w:type="dxa"/>
            <w:vAlign w:val="bottom"/>
            <w:shd w:val="clear" w:color="auto" w:fill="CFF0FC"/>
          </w:tcPr>
          <w:p>
            <w:pPr>
              <w:spacing w:after="0"/>
              <w:rPr>
                <w:sz w:val="16"/>
                <w:szCs w:val="16"/>
                <w:color w:val="auto"/>
              </w:rPr>
            </w:pPr>
          </w:p>
        </w:tc>
        <w:tc>
          <w:tcPr>
            <w:tcW w:w="280" w:type="dxa"/>
            <w:vAlign w:val="bottom"/>
            <w:shd w:val="clear" w:color="auto" w:fill="CFF0FC"/>
          </w:tcPr>
          <w:p>
            <w:pPr>
              <w:spacing w:after="0"/>
              <w:rPr>
                <w:sz w:val="16"/>
                <w:szCs w:val="16"/>
                <w:color w:val="auto"/>
              </w:rPr>
            </w:pPr>
          </w:p>
        </w:tc>
        <w:tc>
          <w:tcPr>
            <w:tcW w:w="106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51,627,249</w:t>
            </w: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700" w:type="dxa"/>
            <w:vAlign w:val="bottom"/>
            <w:tcBorders>
              <w:bottom w:val="single" w:sz="8" w:color="CFF0FC"/>
            </w:tcBorders>
            <w:shd w:val="clear" w:color="auto" w:fill="CFF0FC"/>
          </w:tcPr>
          <w:p>
            <w:pPr>
              <w:ind w:left="20"/>
              <w:spacing w:after="0" w:line="176" w:lineRule="exact"/>
              <w:rPr>
                <w:sz w:val="20"/>
                <w:szCs w:val="20"/>
                <w:color w:val="auto"/>
              </w:rPr>
            </w:pPr>
            <w:r>
              <w:rPr>
                <w:rFonts w:ascii="Arial" w:cs="Arial" w:eastAsia="Arial" w:hAnsi="Arial"/>
                <w:sz w:val="18"/>
                <w:szCs w:val="18"/>
                <w:color w:val="auto"/>
              </w:rPr>
              <w:t>diluted</w:t>
            </w:r>
          </w:p>
        </w:tc>
        <w:tc>
          <w:tcPr>
            <w:tcW w:w="100" w:type="dxa"/>
            <w:vAlign w:val="bottom"/>
            <w:tcBorders>
              <w:bottom w:val="single" w:sz="8" w:color="auto"/>
            </w:tcBorders>
            <w:shd w:val="clear" w:color="auto" w:fill="CFF0FC"/>
          </w:tcPr>
          <w:p>
            <w:pPr>
              <w:spacing w:after="0"/>
              <w:rPr>
                <w:sz w:val="18"/>
                <w:szCs w:val="18"/>
                <w:color w:val="auto"/>
              </w:rPr>
            </w:pPr>
          </w:p>
        </w:tc>
        <w:tc>
          <w:tcPr>
            <w:tcW w:w="1220" w:type="dxa"/>
            <w:vAlign w:val="bottom"/>
            <w:tcBorders>
              <w:bottom w:val="single" w:sz="8" w:color="auto"/>
            </w:tcBorders>
            <w:vMerge w:val="continue"/>
            <w:shd w:val="clear" w:color="auto" w:fill="CFF0FC"/>
          </w:tcPr>
          <w:p>
            <w:pPr>
              <w:spacing w:after="0"/>
              <w:rPr>
                <w:sz w:val="18"/>
                <w:szCs w:val="18"/>
                <w:color w:val="auto"/>
              </w:rPr>
            </w:pPr>
          </w:p>
        </w:tc>
        <w:tc>
          <w:tcPr>
            <w:tcW w:w="80" w:type="dxa"/>
            <w:vAlign w:val="bottom"/>
            <w:tcBorders>
              <w:bottom w:val="single" w:sz="8" w:color="CFF0FC"/>
            </w:tcBorders>
            <w:shd w:val="clear" w:color="auto" w:fill="CFF0FC"/>
          </w:tcPr>
          <w:p>
            <w:pPr>
              <w:spacing w:after="0"/>
              <w:rPr>
                <w:sz w:val="18"/>
                <w:szCs w:val="18"/>
                <w:color w:val="auto"/>
              </w:rPr>
            </w:pPr>
          </w:p>
        </w:tc>
        <w:tc>
          <w:tcPr>
            <w:tcW w:w="3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060" w:type="dxa"/>
            <w:vAlign w:val="bottom"/>
            <w:tcBorders>
              <w:bottom w:val="single" w:sz="8" w:color="auto"/>
            </w:tcBorders>
            <w:vMerge w:val="continue"/>
            <w:shd w:val="clear" w:color="auto" w:fill="CFF0FC"/>
          </w:tcPr>
          <w:p>
            <w:pPr>
              <w:spacing w:after="0"/>
              <w:rPr>
                <w:sz w:val="18"/>
                <w:szCs w:val="18"/>
                <w:color w:val="auto"/>
              </w:rPr>
            </w:pPr>
          </w:p>
        </w:tc>
        <w:tc>
          <w:tcPr>
            <w:tcW w:w="40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060" w:type="dxa"/>
            <w:vAlign w:val="bottom"/>
            <w:tcBorders>
              <w:bottom w:val="single" w:sz="8" w:color="auto"/>
            </w:tcBorders>
            <w:vMerge w:val="continue"/>
            <w:shd w:val="clear" w:color="auto" w:fill="CFF0FC"/>
          </w:tcPr>
          <w:p>
            <w:pPr>
              <w:spacing w:after="0"/>
              <w:rPr>
                <w:sz w:val="18"/>
                <w:szCs w:val="18"/>
                <w:color w:val="auto"/>
              </w:rPr>
            </w:pPr>
          </w:p>
        </w:tc>
        <w:tc>
          <w:tcPr>
            <w:tcW w:w="360" w:type="dxa"/>
            <w:vAlign w:val="bottom"/>
            <w:tcBorders>
              <w:bottom w:val="single" w:sz="8" w:color="CFF0FC"/>
            </w:tcBorders>
            <w:shd w:val="clear" w:color="auto" w:fill="CFF0FC"/>
          </w:tcPr>
          <w:p>
            <w:pPr>
              <w:spacing w:after="0"/>
              <w:rPr>
                <w:sz w:val="18"/>
                <w:szCs w:val="18"/>
                <w:color w:val="auto"/>
              </w:rPr>
            </w:pPr>
          </w:p>
        </w:tc>
        <w:tc>
          <w:tcPr>
            <w:tcW w:w="280" w:type="dxa"/>
            <w:vAlign w:val="bottom"/>
            <w:tcBorders>
              <w:bottom w:val="single" w:sz="8" w:color="auto"/>
            </w:tcBorders>
            <w:shd w:val="clear" w:color="auto" w:fill="CFF0FC"/>
          </w:tcPr>
          <w:p>
            <w:pPr>
              <w:spacing w:after="0"/>
              <w:rPr>
                <w:sz w:val="18"/>
                <w:szCs w:val="18"/>
                <w:color w:val="auto"/>
              </w:rPr>
            </w:pPr>
          </w:p>
        </w:tc>
        <w:tc>
          <w:tcPr>
            <w:tcW w:w="1060" w:type="dxa"/>
            <w:vAlign w:val="bottom"/>
            <w:tcBorders>
              <w:bottom w:val="single" w:sz="8" w:color="auto"/>
            </w:tcBorders>
            <w:vMerge w:val="continue"/>
            <w:shd w:val="clear" w:color="auto" w:fill="CFF0FC"/>
          </w:tcPr>
          <w:p>
            <w:pPr>
              <w:spacing w:after="0"/>
              <w:rPr>
                <w:sz w:val="18"/>
                <w:szCs w:val="18"/>
                <w:color w:val="auto"/>
              </w:rPr>
            </w:pP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3819525</wp:posOffset>
            </wp:positionH>
            <wp:positionV relativeFrom="paragraph">
              <wp:posOffset>-2399665</wp:posOffset>
            </wp:positionV>
            <wp:extent cx="77470" cy="29146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7470" cy="291465"/>
                    </a:xfrm>
                    <a:prstGeom prst="rect">
                      <a:avLst/>
                    </a:prstGeom>
                    <a:noFill/>
                  </pic:spPr>
                </pic:pic>
              </a:graphicData>
            </a:graphic>
          </wp:anchor>
        </w:drawing>
        <w:drawing>
          <wp:anchor simplePos="0" relativeHeight="251657728" behindDoc="1" locked="0" layoutInCell="0" allowOverlap="1">
            <wp:simplePos x="0" y="0"/>
            <wp:positionH relativeFrom="column">
              <wp:posOffset>4916805</wp:posOffset>
            </wp:positionH>
            <wp:positionV relativeFrom="paragraph">
              <wp:posOffset>-2399665</wp:posOffset>
            </wp:positionV>
            <wp:extent cx="68580" cy="2914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580" cy="291465"/>
                    </a:xfrm>
                    <a:prstGeom prst="rect">
                      <a:avLst/>
                    </a:prstGeom>
                    <a:noFill/>
                  </pic:spPr>
                </pic:pic>
              </a:graphicData>
            </a:graphic>
          </wp:anchor>
        </w:drawing>
        <w:drawing>
          <wp:anchor simplePos="0" relativeHeight="251657728" behindDoc="1" locked="0" layoutInCell="0" allowOverlap="1">
            <wp:simplePos x="0" y="0"/>
            <wp:positionH relativeFrom="column">
              <wp:posOffset>5988685</wp:posOffset>
            </wp:positionH>
            <wp:positionV relativeFrom="paragraph">
              <wp:posOffset>-2399665</wp:posOffset>
            </wp:positionV>
            <wp:extent cx="68580" cy="29146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580" cy="29146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-2399665</wp:posOffset>
            </wp:positionV>
            <wp:extent cx="68580" cy="29146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8580" cy="291465"/>
                    </a:xfrm>
                    <a:prstGeom prst="rect">
                      <a:avLst/>
                    </a:prstGeom>
                    <a:noFill/>
                  </pic:spPr>
                </pic:pic>
              </a:graphicData>
            </a:graphic>
          </wp:anchor>
        </w:drawing>
        <w:drawing>
          <wp:anchor simplePos="0" relativeHeight="251657728" behindDoc="1" locked="0" layoutInCell="0" allowOverlap="1">
            <wp:simplePos x="0" y="0"/>
            <wp:positionH relativeFrom="column">
              <wp:posOffset>3819525</wp:posOffset>
            </wp:positionH>
            <wp:positionV relativeFrom="paragraph">
              <wp:posOffset>-1148080</wp:posOffset>
            </wp:positionV>
            <wp:extent cx="77470" cy="2914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7470" cy="291465"/>
                    </a:xfrm>
                    <a:prstGeom prst="rect">
                      <a:avLst/>
                    </a:prstGeom>
                    <a:noFill/>
                  </pic:spPr>
                </pic:pic>
              </a:graphicData>
            </a:graphic>
          </wp:anchor>
        </w:drawing>
        <w:drawing>
          <wp:anchor simplePos="0" relativeHeight="251657728" behindDoc="1" locked="0" layoutInCell="0" allowOverlap="1">
            <wp:simplePos x="0" y="0"/>
            <wp:positionH relativeFrom="column">
              <wp:posOffset>4916805</wp:posOffset>
            </wp:positionH>
            <wp:positionV relativeFrom="paragraph">
              <wp:posOffset>-1148080</wp:posOffset>
            </wp:positionV>
            <wp:extent cx="68580" cy="29146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8580" cy="291465"/>
                    </a:xfrm>
                    <a:prstGeom prst="rect">
                      <a:avLst/>
                    </a:prstGeom>
                    <a:noFill/>
                  </pic:spPr>
                </pic:pic>
              </a:graphicData>
            </a:graphic>
          </wp:anchor>
        </w:drawing>
        <w:drawing>
          <wp:anchor simplePos="0" relativeHeight="251657728" behindDoc="1" locked="0" layoutInCell="0" allowOverlap="1">
            <wp:simplePos x="0" y="0"/>
            <wp:positionH relativeFrom="column">
              <wp:posOffset>5988685</wp:posOffset>
            </wp:positionH>
            <wp:positionV relativeFrom="paragraph">
              <wp:posOffset>-1148080</wp:posOffset>
            </wp:positionV>
            <wp:extent cx="68580" cy="29146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8580" cy="29146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-1148080</wp:posOffset>
            </wp:positionV>
            <wp:extent cx="68580" cy="29146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8580" cy="291465"/>
                    </a:xfrm>
                    <a:prstGeom prst="rect">
                      <a:avLst/>
                    </a:prstGeom>
                    <a:noFill/>
                  </pic:spPr>
                </pic:pic>
              </a:graphicData>
            </a:graphic>
          </wp:anchor>
        </w:drawing>
        <w:drawing>
          <wp:anchor simplePos="0" relativeHeight="251657728" behindDoc="1" locked="0" layoutInCell="0" allowOverlap="1">
            <wp:simplePos x="0" y="0"/>
            <wp:positionH relativeFrom="column">
              <wp:posOffset>3819525</wp:posOffset>
            </wp:positionH>
            <wp:positionV relativeFrom="paragraph">
              <wp:posOffset>-719455</wp:posOffset>
            </wp:positionV>
            <wp:extent cx="3317240" cy="4629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317240" cy="4629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-25400</wp:posOffset>
            </wp:positionV>
            <wp:extent cx="7132320" cy="58293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582930"/>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p>
      <w:pPr>
        <w:ind w:left="20"/>
        <w:spacing w:after="0"/>
        <w:rPr>
          <w:sz w:val="20"/>
          <w:szCs w:val="20"/>
          <w:color w:val="auto"/>
        </w:rPr>
      </w:pPr>
      <w:r>
        <w:rPr>
          <w:rFonts w:ascii="Arial" w:cs="Arial" w:eastAsia="Arial" w:hAnsi="Arial"/>
          <w:sz w:val="18"/>
          <w:szCs w:val="18"/>
          <w:color w:val="auto"/>
        </w:rPr>
        <w:t>(1) Amounts include stock-based compensation expense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4000" w:type="dxa"/>
            <w:vAlign w:val="bottom"/>
            <w:shd w:val="clear" w:color="auto" w:fill="CFF0FC"/>
          </w:tcPr>
          <w:p>
            <w:pPr>
              <w:ind w:left="20"/>
              <w:spacing w:after="0"/>
              <w:rPr>
                <w:sz w:val="20"/>
                <w:szCs w:val="20"/>
                <w:color w:val="auto"/>
              </w:rPr>
            </w:pPr>
            <w:r>
              <w:rPr>
                <w:rFonts w:ascii="Arial" w:cs="Arial" w:eastAsia="Arial" w:hAnsi="Arial"/>
                <w:sz w:val="18"/>
                <w:szCs w:val="18"/>
                <w:color w:val="auto"/>
              </w:rPr>
              <w:t>Research and development</w:t>
            </w:r>
          </w:p>
        </w:tc>
        <w:tc>
          <w:tcPr>
            <w:tcW w:w="8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2,682</w:t>
            </w:r>
          </w:p>
        </w:tc>
        <w:tc>
          <w:tcPr>
            <w:tcW w:w="420" w:type="dxa"/>
            <w:vAlign w:val="bottom"/>
            <w:shd w:val="clear" w:color="auto" w:fill="CFF0FC"/>
          </w:tcPr>
          <w:p>
            <w:pPr>
              <w:spacing w:after="0"/>
              <w:rPr>
                <w:sz w:val="18"/>
                <w:szCs w:val="18"/>
                <w:color w:val="auto"/>
              </w:rPr>
            </w:pPr>
          </w:p>
        </w:tc>
        <w:tc>
          <w:tcPr>
            <w:tcW w:w="420" w:type="dxa"/>
            <w:vAlign w:val="bottom"/>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1,023</w:t>
            </w:r>
          </w:p>
        </w:tc>
        <w:tc>
          <w:tcPr>
            <w:tcW w:w="120" w:type="dxa"/>
            <w:vAlign w:val="bottom"/>
            <w:shd w:val="clear" w:color="auto" w:fill="CFF0FC"/>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6,804</w:t>
            </w:r>
          </w:p>
        </w:tc>
        <w:tc>
          <w:tcPr>
            <w:tcW w:w="860" w:type="dxa"/>
            <w:vAlign w:val="bottom"/>
            <w:gridSpan w:val="2"/>
            <w:shd w:val="clear" w:color="auto" w:fill="CFF0FC"/>
          </w:tcPr>
          <w:p>
            <w:pPr>
              <w:jc w:val="right"/>
              <w:ind w:right="290"/>
              <w:spacing w:after="0"/>
              <w:rPr>
                <w:sz w:val="20"/>
                <w:szCs w:val="20"/>
                <w:color w:val="auto"/>
              </w:rPr>
            </w:pPr>
            <w:r>
              <w:rPr>
                <w:rFonts w:ascii="Arial" w:cs="Arial" w:eastAsia="Arial" w:hAnsi="Arial"/>
                <w:sz w:val="18"/>
                <w:szCs w:val="18"/>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2,688</w:t>
            </w:r>
          </w:p>
        </w:tc>
        <w:tc>
          <w:tcPr>
            <w:tcW w:w="100" w:type="dxa"/>
            <w:vAlign w:val="bottom"/>
            <w:shd w:val="clear" w:color="auto" w:fill="CFF0FC"/>
          </w:tcPr>
          <w:p>
            <w:pPr>
              <w:spacing w:after="0"/>
              <w:rPr>
                <w:sz w:val="18"/>
                <w:szCs w:val="18"/>
                <w:color w:val="auto"/>
              </w:rPr>
            </w:pPr>
          </w:p>
        </w:tc>
      </w:tr>
      <w:tr>
        <w:trPr>
          <w:trHeight w:val="216"/>
        </w:trPr>
        <w:tc>
          <w:tcPr>
            <w:tcW w:w="4000" w:type="dxa"/>
            <w:vAlign w:val="bottom"/>
          </w:tcPr>
          <w:p>
            <w:pPr>
              <w:ind w:left="20"/>
              <w:spacing w:after="0"/>
              <w:rPr>
                <w:sz w:val="20"/>
                <w:szCs w:val="20"/>
                <w:color w:val="auto"/>
              </w:rPr>
            </w:pPr>
            <w:r>
              <w:rPr>
                <w:rFonts w:ascii="Arial" w:cs="Arial" w:eastAsia="Arial" w:hAnsi="Arial"/>
                <w:sz w:val="18"/>
                <w:szCs w:val="18"/>
                <w:color w:val="auto"/>
              </w:rPr>
              <w:t>General and administrative</w:t>
            </w:r>
          </w:p>
        </w:tc>
        <w:tc>
          <w:tcPr>
            <w:tcW w:w="7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3,966</w:t>
            </w:r>
          </w:p>
        </w:tc>
        <w:tc>
          <w:tcPr>
            <w:tcW w:w="42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1,914</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9,837</w:t>
            </w:r>
          </w:p>
        </w:tc>
        <w:tc>
          <w:tcPr>
            <w:tcW w:w="360" w:type="dxa"/>
            <w:vAlign w:val="bottom"/>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4,883</w:t>
            </w:r>
          </w:p>
        </w:tc>
        <w:tc>
          <w:tcPr>
            <w:tcW w:w="100" w:type="dxa"/>
            <w:vAlign w:val="bottom"/>
          </w:tcPr>
          <w:p>
            <w:pPr>
              <w:spacing w:after="0"/>
              <w:rPr>
                <w:sz w:val="18"/>
                <w:szCs w:val="18"/>
                <w:color w:val="auto"/>
              </w:rPr>
            </w:pPr>
          </w:p>
        </w:tc>
      </w:tr>
      <w:tr>
        <w:trPr>
          <w:trHeight w:val="249"/>
        </w:trPr>
        <w:tc>
          <w:tcPr>
            <w:tcW w:w="4000" w:type="dxa"/>
            <w:vAlign w:val="bottom"/>
            <w:tcBorders>
              <w:bottom w:val="single" w:sz="8" w:color="CFF0FC"/>
            </w:tcBorders>
            <w:shd w:val="clear" w:color="auto" w:fill="CFF0FC"/>
          </w:tcPr>
          <w:p>
            <w:pPr>
              <w:ind w:left="400"/>
              <w:spacing w:after="0"/>
              <w:rPr>
                <w:sz w:val="20"/>
                <w:szCs w:val="20"/>
                <w:color w:val="auto"/>
              </w:rPr>
            </w:pPr>
            <w:r>
              <w:rPr>
                <w:rFonts w:ascii="Arial" w:cs="Arial" w:eastAsia="Arial" w:hAnsi="Arial"/>
                <w:sz w:val="18"/>
                <w:szCs w:val="18"/>
                <w:color w:val="auto"/>
              </w:rPr>
              <w:t>Total stock-based compensation expense</w:t>
            </w:r>
          </w:p>
        </w:tc>
        <w:tc>
          <w:tcPr>
            <w:tcW w:w="70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6,648</w:t>
            </w:r>
          </w:p>
        </w:tc>
        <w:tc>
          <w:tcPr>
            <w:tcW w:w="420" w:type="dxa"/>
            <w:vAlign w:val="bottom"/>
            <w:tcBorders>
              <w:bottom w:val="single" w:sz="8" w:color="CFF0FC"/>
            </w:tcBorders>
            <w:shd w:val="clear" w:color="auto" w:fill="CFF0FC"/>
          </w:tcPr>
          <w:p>
            <w:pPr>
              <w:spacing w:after="0"/>
              <w:rPr>
                <w:sz w:val="21"/>
                <w:szCs w:val="21"/>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2,937</w:t>
            </w:r>
          </w:p>
        </w:tc>
        <w:tc>
          <w:tcPr>
            <w:tcW w:w="120" w:type="dxa"/>
            <w:vAlign w:val="bottom"/>
            <w:tcBorders>
              <w:bottom w:val="single" w:sz="8" w:color="CFF0FC"/>
            </w:tcBorders>
            <w:shd w:val="clear" w:color="auto" w:fill="CFF0FC"/>
          </w:tcPr>
          <w:p>
            <w:pPr>
              <w:spacing w:after="0"/>
              <w:rPr>
                <w:sz w:val="21"/>
                <w:szCs w:val="21"/>
                <w:color w:val="auto"/>
              </w:rPr>
            </w:pPr>
          </w:p>
        </w:tc>
        <w:tc>
          <w:tcPr>
            <w:tcW w:w="280" w:type="dxa"/>
            <w:vAlign w:val="bottom"/>
          </w:tcPr>
          <w:p>
            <w:pPr>
              <w:spacing w:after="0"/>
              <w:rPr>
                <w:sz w:val="21"/>
                <w:szCs w:val="21"/>
                <w:color w:val="auto"/>
              </w:rPr>
            </w:pPr>
          </w:p>
        </w:tc>
        <w:tc>
          <w:tcPr>
            <w:tcW w:w="420" w:type="dxa"/>
            <w:vAlign w:val="bottom"/>
            <w:tcBorders>
              <w:bottom w:val="single" w:sz="8" w:color="auto"/>
            </w:tcBorders>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16,641</w:t>
            </w:r>
          </w:p>
        </w:tc>
        <w:tc>
          <w:tcPr>
            <w:tcW w:w="360" w:type="dxa"/>
            <w:vAlign w:val="bottom"/>
            <w:tcBorders>
              <w:bottom w:val="single" w:sz="8" w:color="CFF0FC"/>
            </w:tcBorders>
            <w:shd w:val="clear" w:color="auto" w:fill="CFF0FC"/>
          </w:tcPr>
          <w:p>
            <w:pPr>
              <w:spacing w:after="0"/>
              <w:rPr>
                <w:sz w:val="21"/>
                <w:szCs w:val="21"/>
                <w:color w:val="auto"/>
              </w:rPr>
            </w:pPr>
          </w:p>
        </w:tc>
        <w:tc>
          <w:tcPr>
            <w:tcW w:w="500" w:type="dxa"/>
            <w:vAlign w:val="bottom"/>
            <w:tcBorders>
              <w:bottom w:val="single" w:sz="8" w:color="auto"/>
            </w:tcBorders>
            <w:shd w:val="clear" w:color="auto" w:fill="CFF0FC"/>
          </w:tcPr>
          <w:p>
            <w:pPr>
              <w:jc w:val="right"/>
              <w:ind w:right="29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7,571</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390"/>
        </w:trPr>
        <w:tc>
          <w:tcPr>
            <w:tcW w:w="4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6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rPr>
              <w:t>Vaxcyte, Inc.</w:t>
            </w:r>
          </w:p>
        </w:tc>
        <w:tc>
          <w:tcPr>
            <w:tcW w:w="4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4000" w:type="dxa"/>
            <w:vAlign w:val="bottom"/>
          </w:tcPr>
          <w:p>
            <w:pPr>
              <w:spacing w:after="0"/>
              <w:rPr>
                <w:sz w:val="18"/>
                <w:szCs w:val="18"/>
                <w:color w:val="auto"/>
              </w:rPr>
            </w:pPr>
          </w:p>
        </w:tc>
        <w:tc>
          <w:tcPr>
            <w:tcW w:w="2860" w:type="dxa"/>
            <w:vAlign w:val="bottom"/>
            <w:gridSpan w:val="5"/>
          </w:tcPr>
          <w:p>
            <w:pPr>
              <w:jc w:val="center"/>
              <w:ind w:left="190"/>
              <w:spacing w:after="0"/>
              <w:rPr>
                <w:sz w:val="20"/>
                <w:szCs w:val="20"/>
                <w:color w:val="auto"/>
              </w:rPr>
            </w:pPr>
            <w:r>
              <w:rPr>
                <w:rFonts w:ascii="Arial" w:cs="Arial" w:eastAsia="Arial" w:hAnsi="Arial"/>
                <w:sz w:val="18"/>
                <w:szCs w:val="18"/>
                <w:b w:val="1"/>
                <w:bCs w:val="1"/>
                <w:color w:val="auto"/>
                <w:w w:val="99"/>
              </w:rPr>
              <w:t>Summary Balance Sheet Data</w:t>
            </w: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9"/>
        </w:trPr>
        <w:tc>
          <w:tcPr>
            <w:tcW w:w="40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6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98"/>
              </w:rPr>
              <w:t>(in thousands)</w:t>
            </w:r>
          </w:p>
        </w:tc>
        <w:tc>
          <w:tcPr>
            <w:tcW w:w="4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09"/>
        </w:trPr>
        <w:tc>
          <w:tcPr>
            <w:tcW w:w="4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740" w:type="dxa"/>
            <w:vAlign w:val="bottom"/>
            <w:gridSpan w:val="3"/>
          </w:tcPr>
          <w:p>
            <w:pPr>
              <w:ind w:left="40"/>
              <w:spacing w:after="0"/>
              <w:rPr>
                <w:sz w:val="20"/>
                <w:szCs w:val="20"/>
                <w:color w:val="auto"/>
              </w:rPr>
            </w:pPr>
            <w:r>
              <w:rPr>
                <w:rFonts w:ascii="Arial" w:cs="Arial" w:eastAsia="Arial" w:hAnsi="Arial"/>
                <w:sz w:val="18"/>
                <w:szCs w:val="18"/>
                <w:b w:val="1"/>
                <w:bCs w:val="1"/>
                <w:color w:val="auto"/>
              </w:rPr>
              <w:t>September 30,</w:t>
            </w:r>
          </w:p>
        </w:tc>
        <w:tc>
          <w:tcPr>
            <w:tcW w:w="1420" w:type="dxa"/>
            <w:vAlign w:val="bottom"/>
            <w:gridSpan w:val="3"/>
          </w:tcPr>
          <w:p>
            <w:pPr>
              <w:ind w:left="60"/>
              <w:spacing w:after="0"/>
              <w:rPr>
                <w:sz w:val="20"/>
                <w:szCs w:val="20"/>
                <w:color w:val="auto"/>
              </w:rPr>
            </w:pPr>
            <w:r>
              <w:rPr>
                <w:rFonts w:ascii="Arial" w:cs="Arial" w:eastAsia="Arial" w:hAnsi="Arial"/>
                <w:sz w:val="18"/>
                <w:szCs w:val="18"/>
                <w:b w:val="1"/>
                <w:bCs w:val="1"/>
                <w:color w:val="auto"/>
              </w:rPr>
              <w:t>December 31,</w:t>
            </w: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39"/>
        </w:trPr>
        <w:tc>
          <w:tcPr>
            <w:tcW w:w="40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2022</w:t>
            </w:r>
          </w:p>
        </w:tc>
        <w:tc>
          <w:tcPr>
            <w:tcW w:w="42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99"/>
              </w:rPr>
              <w:t>2021</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4000" w:type="dxa"/>
            <w:vAlign w:val="bottom"/>
            <w:shd w:val="clear" w:color="auto" w:fill="CFF0FC"/>
          </w:tcPr>
          <w:p>
            <w:pPr>
              <w:ind w:left="20"/>
              <w:spacing w:after="0"/>
              <w:rPr>
                <w:sz w:val="20"/>
                <w:szCs w:val="20"/>
                <w:color w:val="auto"/>
              </w:rPr>
            </w:pPr>
            <w:r>
              <w:rPr>
                <w:rFonts w:ascii="Arial" w:cs="Arial" w:eastAsia="Arial" w:hAnsi="Arial"/>
                <w:sz w:val="18"/>
                <w:szCs w:val="18"/>
                <w:color w:val="auto"/>
              </w:rPr>
              <w:t>Cash, cash equivalents and investments</w:t>
            </w:r>
          </w:p>
        </w:tc>
        <w:tc>
          <w:tcPr>
            <w:tcW w:w="700" w:type="dxa"/>
            <w:vAlign w:val="bottom"/>
            <w:shd w:val="clear" w:color="auto" w:fill="CFF0FC"/>
          </w:tcPr>
          <w:p>
            <w:pPr>
              <w:spacing w:after="0"/>
              <w:rPr>
                <w:sz w:val="18"/>
                <w:szCs w:val="18"/>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366,203</w:t>
            </w:r>
          </w:p>
        </w:tc>
        <w:tc>
          <w:tcPr>
            <w:tcW w:w="420" w:type="dxa"/>
            <w:vAlign w:val="bottom"/>
            <w:shd w:val="clear" w:color="auto" w:fill="CFF0FC"/>
          </w:tcPr>
          <w:p>
            <w:pPr>
              <w:spacing w:after="0"/>
              <w:rPr>
                <w:sz w:val="18"/>
                <w:szCs w:val="18"/>
                <w:color w:val="auto"/>
              </w:rPr>
            </w:pPr>
          </w:p>
        </w:tc>
        <w:tc>
          <w:tcPr>
            <w:tcW w:w="420" w:type="dxa"/>
            <w:vAlign w:val="bottom"/>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273,087</w:t>
            </w:r>
          </w:p>
        </w:tc>
        <w:tc>
          <w:tcPr>
            <w:tcW w:w="120" w:type="dxa"/>
            <w:vAlign w:val="bottom"/>
            <w:shd w:val="clear" w:color="auto" w:fill="CFF0FC"/>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00" w:type="dxa"/>
            <w:vAlign w:val="bottom"/>
          </w:tcPr>
          <w:p>
            <w:pPr>
              <w:ind w:left="20"/>
              <w:spacing w:after="0"/>
              <w:rPr>
                <w:sz w:val="20"/>
                <w:szCs w:val="20"/>
                <w:color w:val="auto"/>
              </w:rPr>
            </w:pPr>
            <w:r>
              <w:rPr>
                <w:rFonts w:ascii="Arial" w:cs="Arial" w:eastAsia="Arial" w:hAnsi="Arial"/>
                <w:sz w:val="18"/>
                <w:szCs w:val="18"/>
                <w:color w:val="auto"/>
              </w:rPr>
              <w:t>Total assets</w:t>
            </w: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412,065</w:t>
            </w:r>
          </w:p>
        </w:tc>
        <w:tc>
          <w:tcPr>
            <w:tcW w:w="4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324,337</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00" w:type="dxa"/>
            <w:vAlign w:val="bottom"/>
            <w:shd w:val="clear" w:color="auto" w:fill="CFF0FC"/>
          </w:tcPr>
          <w:p>
            <w:pPr>
              <w:ind w:left="20"/>
              <w:spacing w:after="0"/>
              <w:rPr>
                <w:sz w:val="20"/>
                <w:szCs w:val="20"/>
                <w:color w:val="auto"/>
              </w:rPr>
            </w:pPr>
            <w:r>
              <w:rPr>
                <w:rFonts w:ascii="Arial" w:cs="Arial" w:eastAsia="Arial" w:hAnsi="Arial"/>
                <w:sz w:val="18"/>
                <w:szCs w:val="18"/>
                <w:color w:val="auto"/>
              </w:rPr>
              <w:t>Total stockholders' equity</w:t>
            </w:r>
          </w:p>
        </w:tc>
        <w:tc>
          <w:tcPr>
            <w:tcW w:w="7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359,311</w:t>
            </w:r>
          </w:p>
        </w:tc>
        <w:tc>
          <w:tcPr>
            <w:tcW w:w="42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284,018</w:t>
            </w:r>
          </w:p>
        </w:tc>
        <w:tc>
          <w:tcPr>
            <w:tcW w:w="120" w:type="dxa"/>
            <w:vAlign w:val="bottom"/>
            <w:shd w:val="clear" w:color="auto" w:fill="CFF0FC"/>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533"/>
        </w:trPr>
        <w:tc>
          <w:tcPr>
            <w:tcW w:w="4000" w:type="dxa"/>
            <w:vAlign w:val="bottom"/>
            <w:tcBorders>
              <w:bottom w:val="single" w:sz="8" w:color="9A9A9A"/>
            </w:tcBorders>
          </w:tcPr>
          <w:p>
            <w:pPr>
              <w:spacing w:after="0"/>
              <w:rPr>
                <w:sz w:val="24"/>
                <w:szCs w:val="24"/>
                <w:color w:val="auto"/>
              </w:rPr>
            </w:pPr>
          </w:p>
        </w:tc>
        <w:tc>
          <w:tcPr>
            <w:tcW w:w="70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114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c>
          <w:tcPr>
            <w:tcW w:w="500" w:type="dxa"/>
            <w:vAlign w:val="bottom"/>
            <w:tcBorders>
              <w:bottom w:val="single" w:sz="8" w:color="9A9A9A"/>
            </w:tcBorders>
          </w:tcPr>
          <w:p>
            <w:pPr>
              <w:spacing w:after="0"/>
              <w:rPr>
                <w:sz w:val="24"/>
                <w:szCs w:val="24"/>
                <w:color w:val="auto"/>
              </w:rPr>
            </w:pPr>
          </w:p>
        </w:tc>
        <w:tc>
          <w:tcPr>
            <w:tcW w:w="84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3819525</wp:posOffset>
            </wp:positionH>
            <wp:positionV relativeFrom="paragraph">
              <wp:posOffset>-1757045</wp:posOffset>
            </wp:positionV>
            <wp:extent cx="3317240" cy="1405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317240" cy="1405890"/>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10" w:name="page11"/>
    <w:bookmarkEnd w:id="10"/>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
      <w:numFmt w:val="bullet"/>
      <w:start w:val="1"/>
    </w:lvl>
  </w:abstractNum>
  <w:abstractNum w:abstractNumId="3">
    <w:nsid w:val="79E2A9E3"/>
    <w:multiLevelType w:val="hybridMultilevel"/>
    <w:lvl w:ilvl="0">
      <w:lvlJc w:val="left"/>
      <w:lvlText w:val="•"/>
      <w:numFmt w:val="bullet"/>
      <w:start w:val="1"/>
    </w:lvl>
  </w:abstractNum>
  <w:abstractNum w:abstractNumId="4">
    <w:nsid w:val="7545E146"/>
    <w:multiLevelType w:val="hybridMultilevel"/>
    <w:lvl w:ilvl="0">
      <w:lvlJc w:val="left"/>
      <w:lvlText w:val="o"/>
      <w:numFmt w:val="bullet"/>
      <w:start w:val="1"/>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
      <w:numFmt w:val="bullet"/>
      <w:start w:val="1"/>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1)"/>
      <w:numFmt w:val="decimal"/>
      <w:start w:val="1"/>
    </w:lvl>
    <w:lvl w:ilvl="1">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2022-11-07T16:07:20Z</dcterms:created>
  <dcterms:modified xsi:type="dcterms:W3CDTF">2022-11-07T16:07:20Z</dcterms:modified>
</cp:coreProperties>
</file>