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-609600</wp:posOffset>
            </wp:positionV>
            <wp:extent cx="8255" cy="610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-617855</wp:posOffset>
            </wp:positionV>
            <wp:extent cx="825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4042410</wp:posOffset>
            </wp:positionH>
            <wp:positionV relativeFrom="paragraph">
              <wp:posOffset>-593090</wp:posOffset>
            </wp:positionV>
            <wp:extent cx="1270000" cy="56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36830</wp:posOffset>
            </wp:positionV>
            <wp:extent cx="6967220" cy="1756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Sauer Paul</w:t>
        </w:r>
      </w:hyperlink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VAXCYTE, INC.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PCVX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01/11/2021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3" w:right="600" w:firstLine="3"/>
        <w:spacing w:after="0" w:line="260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ind w:left="197"/>
        <w:spacing w:after="0"/>
        <w:tabs>
          <w:tab w:leader="none" w:pos="497" w:val="left"/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0000FF"/>
          <w:vertAlign w:val="subscript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Process Dev, Manufacturing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16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6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01/11/2021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2,500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1.79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80,399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5"/>
                <w:vertAlign w:val="superscript"/>
              </w:rPr>
              <w:t>(1)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01/11/2021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w w:val="90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0"/>
              </w:rPr>
              <w:t>(2)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973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25.38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(3)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79,426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01/11/2021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w w:val="90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0"/>
              </w:rPr>
              <w:t>(2)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1,527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26.74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(4)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77,899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7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jc w:val="center"/>
              <w:ind w:lef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01/11/2021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2,500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05/17/2027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2,500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26,426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-3578860</wp:posOffset>
            </wp:positionV>
            <wp:extent cx="7033260" cy="37185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1,284 shares acquired under the Employee Stock Purchase Plan on November 17, 2020.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280" w:firstLine="3"/>
        <w:spacing w:after="0" w:line="258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price reported is a weighted-average price. The shares were sold at prices ranging from $25.08 to $25.95. The reporting person will provide upon request to the SEC, the issuer or security holder of the issuer, full information regarding the number of shares sold at each separate price.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280" w:firstLine="3"/>
        <w:spacing w:after="0" w:line="258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price reported is a weighted-average price. The shares were sold at prices ranging from $26.35 to $27.06. The reporting person will provide upon request to the SEC, the issuer or security holder of the issuer, full information regarding the number of shares sold at each separate price.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1/4 of the shares subject to the option vested on March 4, 2018, and 1/48 of the shares vest monthly thereafter.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/s/ Winston Macaraeg,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01/12/2021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13796" TargetMode="External"/><Relationship Id="rId14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2021-01-12T20:44:50Z</dcterms:created>
  <dcterms:modified xsi:type="dcterms:W3CDTF">2021-01-12T20:44:50Z</dcterms:modified>
</cp:coreProperties>
</file>