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left w:val="single" w:sz="8" w:space="0" w:color="000000"/>
              <w:bottom w:val="doub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December 18, 2025</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Vaxcyte,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5864" w:type="dxa"/>
        <w:jc w:val="left"/>
        <w:tblInd w:w="0" w:type="dxa"/>
        <w:tblLayout w:type="fixed"/>
        <w:tblCellMar>
          <w:top w:w="28" w:type="dxa"/>
          <w:left w:w="28" w:type="dxa"/>
          <w:bottom w:w="28" w:type="dxa"/>
          <w:right w:w="28" w:type="dxa"/>
        </w:tblCellMar>
      </w:tblPr>
      <w:tblGrid>
        <w:gridCol w:w="970"/>
        <w:gridCol w:w="852"/>
        <w:gridCol w:w="863"/>
        <w:gridCol w:w="612"/>
        <w:gridCol w:w="612"/>
        <w:gridCol w:w="620"/>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01-39323</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46-4233385</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825 Industrial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Suite 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San Carlos , California </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94070</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837-0111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PCVX</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9"/>
        <w:gridCol w:w="262"/>
        <w:gridCol w:w="265"/>
        <w:gridCol w:w="2746"/>
        <w:gridCol w:w="2746"/>
        <w:gridCol w:w="3887"/>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3887"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Departure of Directors or Certain Officers; Election of Directors; Appointment of Certain Officers; Compensatory Arrangements of Certain Officers. </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Amendments to Executive Change in Control and Severance Agreements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December 18, 2025, Vaxcyte, Inc. (the “Company”) amended existing Executive Change in Control and Severance Agreements (the “Severance Agreements”) with (i) Grant Pickering, Chief Executive Officer and member of the Company’s Board of Directors, dated as of June 12, 2020, (ii) Andrew Guggenhime, President and Chief Financial Officer, dated as of June 12, 2020, (iii) Jim Wassil, Executive Vice President and Chief Operating Officer, dated as of June 12, 2020, and (iv) Harpreet Dhaliwal, Chief Technical Operations Officer, dated as of October 21, 2021 (such executives, the “Executives,” and such amendments, the “Severance Agreement Amendments”). The Company and the Executives entered into the Severance Agreement Amendments following approval by the Compensation Committee (the “Compensation Committee”) of the Board of Directors of the Company. In approving the Severance Agreement Amendments, the Compensation Committee, in connection with its standard annual compensation review and planning process, determined that it was in the best interests of the Company and its stockholders to adjust certain compensation severance components in the Severance Agreements to better align with peer group levels. All capitalized terms in this Current Report on Form 8-K shall have the meanings ascribed to them in the Severance Agreements, except as otherwise defined herein.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Severance Agreement Amendments provide that, effective December 31, 2025, (i) the base salary severance multiplier and COBRA severance multiplier in the event of a Qualifying Termination will be increased to (a) 1.5x for Mr. Pickering, from 1.0x, and (b) 1.0x for Messrs. Guggenhime, Wassil and Dhaliwal, from 0.75x in the case of Messrs. Guggenhime and Wassil, and from 0.5x, in the case of Mr. Dhaliwal; and (ii) the base salary severance multiplier, target annual bonus severance multiplier and COBRA severance multiplier in the event of a CIC Qualifying Termination will be increased to (a) 2.0x for Mr. Pickering, from 1.5x, and (b) 1.5x for Messrs. Guggenhime, Wassil and Dhaliwal, from 1.0x in the case of Messrs. Guggenhime and Wassil, and from 0.75x, in the case of Mr. Dhaliwal.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terms of the Severance Agreement Amendments does not purport to be complete and is subject to, and qualified in its entirety by reference to, the complete text of the Form of Severance Agreement Amendment, a copy of which is filed as Exhibit 10.1 herewith and is incorporated by reference herein. </w:t>
      </w:r>
    </w:p>
    <w:p>
      <w:pPr>
        <w:pStyle w:val="TextBody"/>
        <w:bidi w:val="0"/>
        <w:spacing w:before="240" w:after="283"/>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5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59"/>
        <w:gridCol w:w="1959"/>
        <w:gridCol w:w="280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1-formamendmentno.htm">
              <w:r>
                <w:rPr>
                  <w:rStyle w:val="InternetLink"/>
                  <w:rFonts w:ascii="Times New Roman;serif" w:hAnsi="Times New Roman;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formamendmentno.htm">
              <w:r>
                <w:rPr>
                  <w:rStyle w:val="InternetLink"/>
                  <w:rFonts w:ascii="Times New Roman;serif" w:hAnsi="Times New Roman;serif"/>
                  <w:b w:val="false"/>
                  <w:color w:val="0000FF"/>
                  <w:sz w:val="20"/>
                  <w:u w:val="single"/>
                </w:rPr>
                <w:t>Form of Amendment to Executive Change in Control and Severance Agreements.</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7186" w:type="dxa"/>
        <w:jc w:val="left"/>
        <w:tblInd w:w="0" w:type="dxa"/>
        <w:tblLayout w:type="fixed"/>
        <w:tblCellMar>
          <w:top w:w="28" w:type="dxa"/>
          <w:left w:w="28" w:type="dxa"/>
          <w:bottom w:w="28" w:type="dxa"/>
          <w:right w:w="28" w:type="dxa"/>
        </w:tblCellMar>
      </w:tblPr>
      <w:tblGrid>
        <w:gridCol w:w="786"/>
        <w:gridCol w:w="692"/>
        <w:gridCol w:w="696"/>
        <w:gridCol w:w="109"/>
        <w:gridCol w:w="109"/>
        <w:gridCol w:w="109"/>
        <w:gridCol w:w="109"/>
        <w:gridCol w:w="109"/>
        <w:gridCol w:w="109"/>
        <w:gridCol w:w="109"/>
        <w:gridCol w:w="109"/>
        <w:gridCol w:w="109"/>
        <w:gridCol w:w="134"/>
        <w:gridCol w:w="134"/>
        <w:gridCol w:w="136"/>
        <w:gridCol w:w="109"/>
        <w:gridCol w:w="109"/>
        <w:gridCol w:w="109"/>
        <w:gridCol w:w="966"/>
        <w:gridCol w:w="966"/>
        <w:gridCol w:w="1368"/>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VAXCYTE, INC.</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December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Andrew Guggenhime</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President and 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 xml:space="preserve">FIRST AMENDMENT TO </w:t>
        <w:br/>
        <w:t>EXECUTIVE CHANGE IN CONTROL AND SEVERANCE AGREEMENT</w:t>
      </w:r>
    </w:p>
    <w:p>
      <w:pPr>
        <w:pStyle w:val="TextBody"/>
        <w:bidi w:val="0"/>
        <w:spacing w:lineRule="auto" w:line="321" w:before="0" w:after="160"/>
        <w:jc w:val="both"/>
        <w:rPr/>
      </w:pPr>
      <w:r>
        <w:rPr>
          <w:rFonts w:ascii="Times New Roman;serif" w:hAnsi="Times New Roman;serif"/>
          <w:b w:val="false"/>
          <w:color w:val="000000"/>
          <w:sz w:val="22"/>
        </w:rPr>
        <w:br/>
        <w:t>    This First Amendment to Executive Change in Control and Severance Agreement (the “</w:t>
      </w:r>
      <w:r>
        <w:rPr>
          <w:rFonts w:ascii="Times New Roman;serif" w:hAnsi="Times New Roman;serif"/>
          <w:b/>
          <w:i/>
          <w:color w:val="000000"/>
          <w:sz w:val="22"/>
        </w:rPr>
        <w:t>Amendment</w:t>
      </w:r>
      <w:r>
        <w:rPr>
          <w:color w:val="000000"/>
        </w:rPr>
        <w:t>”</w:t>
      </w:r>
      <w:r>
        <w:rPr>
          <w:rFonts w:ascii="Times New Roman;serif" w:hAnsi="Times New Roman;serif"/>
          <w:b w:val="false"/>
          <w:color w:val="000000"/>
          <w:sz w:val="22"/>
        </w:rPr>
        <w:t>) is effective as of December 31, 2025, by and between [•] (the “</w:t>
      </w:r>
      <w:r>
        <w:rPr>
          <w:rFonts w:ascii="Times New Roman;serif" w:hAnsi="Times New Roman;serif"/>
          <w:b/>
          <w:i/>
          <w:color w:val="000000"/>
          <w:sz w:val="22"/>
        </w:rPr>
        <w:t>Executive</w:t>
      </w:r>
      <w:r>
        <w:rPr>
          <w:color w:val="000000"/>
        </w:rPr>
        <w:t>”</w:t>
      </w:r>
      <w:r>
        <w:rPr>
          <w:rFonts w:ascii="Times New Roman;serif" w:hAnsi="Times New Roman;serif"/>
          <w:b w:val="false"/>
          <w:color w:val="000000"/>
          <w:sz w:val="22"/>
        </w:rPr>
        <w:t>) and Vaxcyte,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w:t>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321" w:before="0" w:after="0"/>
        <w:ind w:left="0" w:right="0" w:hanging="360"/>
        <w:jc w:val="both"/>
        <w:rPr/>
      </w:pPr>
      <w:r>
        <w:rPr>
          <w:rFonts w:ascii="Times New Roman;serif" w:hAnsi="Times New Roman;serif"/>
          <w:b w:val="false"/>
          <w:color w:val="000000"/>
          <w:sz w:val="22"/>
        </w:rPr>
        <w:t>A.The Company and Executive are parties to a certain Executive Change in Control and Severance Agreement dated as of [•]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2"/>
        </w:rPr>
        <w:t>B.The Compensation Committee of the Board of Directors of the Company (the “</w:t>
      </w:r>
      <w:r>
        <w:rPr>
          <w:rFonts w:ascii="Times New Roman;serif" w:hAnsi="Times New Roman;serif"/>
          <w:b/>
          <w:i/>
          <w:color w:val="000000"/>
          <w:sz w:val="22"/>
        </w:rPr>
        <w:t>Compensation Committee</w:t>
      </w:r>
      <w:r>
        <w:rPr>
          <w:color w:val="000000"/>
        </w:rPr>
        <w:t>”</w:t>
      </w:r>
      <w:r>
        <w:rPr>
          <w:rFonts w:ascii="Times New Roman;serif" w:hAnsi="Times New Roman;serif"/>
          <w:b w:val="false"/>
          <w:color w:val="000000"/>
          <w:sz w:val="22"/>
        </w:rPr>
        <w:t xml:space="preserve">) has determined that it is in the best interests of the Company and its stockholders to increase certain compensation severance components in the Agreement to better align with peer group levels and to maintain competitiveness and consistency across the Company’s leadership team; and </w:t>
      </w:r>
    </w:p>
    <w:p>
      <w:pPr>
        <w:pStyle w:val="TextBody"/>
        <w:bidi w:val="0"/>
        <w:spacing w:before="0" w:after="0"/>
        <w:jc w:val="left"/>
        <w:rPr/>
      </w:pPr>
      <w:r>
        <w:rPr/>
      </w:r>
    </w:p>
    <w:p>
      <w:pPr>
        <w:pStyle w:val="TextBody"/>
        <w:bidi w:val="0"/>
        <w:spacing w:lineRule="auto" w:line="321"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C.The Company and Executive desire to enter into this Amendment in order to provide for increased compensation severance components as approved by the Compensation Committee. </w:t>
      </w:r>
    </w:p>
    <w:p>
      <w:pPr>
        <w:pStyle w:val="TextBody"/>
        <w:bidi w:val="0"/>
        <w:spacing w:lineRule="auto" w:line="321" w:before="0" w:after="160"/>
        <w:jc w:val="both"/>
        <w:rPr>
          <w:color w:val="000000"/>
        </w:rPr>
      </w:pPr>
      <w:r>
        <w:rPr>
          <w:color w:val="000000"/>
        </w:rPr>
        <w:t>    </w:t>
      </w:r>
      <w:r>
        <w:rPr>
          <w:rFonts w:ascii="Times New Roman;serif" w:hAnsi="Times New Roman;serif"/>
          <w:b w:val="false"/>
          <w:color w:val="000000"/>
          <w:sz w:val="22"/>
        </w:rPr>
        <w:t xml:space="preserve">Now, therefore, in consideration of the mutual promises, covenants and agreements contained herein, and in consideration of the continuing employment of Executive by the Company, the parties hereto agree as follows: </w:t>
      </w:r>
    </w:p>
    <w:p>
      <w:pPr>
        <w:pStyle w:val="TextBody"/>
        <w:bidi w:val="0"/>
        <w:spacing w:lineRule="auto" w:line="321"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1.References to “[•] months” in Section 2(a)(i) and “[•]-month” in Section 2(b) of the Agreement are hereby deleted in their entirety and replaced with “[•] months” and “[•]-month”, respectively. </w:t>
      </w:r>
    </w:p>
    <w:p>
      <w:pPr>
        <w:pStyle w:val="TextBody"/>
        <w:bidi w:val="0"/>
        <w:spacing w:before="0" w:after="0"/>
        <w:jc w:val="both"/>
        <w:rPr/>
      </w:pPr>
      <w:r>
        <w:rPr/>
      </w:r>
    </w:p>
    <w:p>
      <w:pPr>
        <w:pStyle w:val="TextBody"/>
        <w:bidi w:val="0"/>
        <w:spacing w:lineRule="auto" w:line="321"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2.References to “[•] months” in Section 3(a)(i) and “[•] month” in Section 3(c) of the Agreement are hereby deleted in their entirety and replaced with “[•] months” and “[•]-month”, respectively. </w:t>
      </w:r>
    </w:p>
    <w:p>
      <w:pPr>
        <w:pStyle w:val="TextBody"/>
        <w:bidi w:val="0"/>
        <w:spacing w:before="0" w:after="0"/>
        <w:jc w:val="left"/>
        <w:rPr/>
      </w:pPr>
      <w:r>
        <w:rPr/>
      </w:r>
    </w:p>
    <w:p>
      <w:pPr>
        <w:pStyle w:val="TextBody"/>
        <w:bidi w:val="0"/>
        <w:spacing w:lineRule="auto" w:line="321"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3.Section 3(a)(ii) of the Agreement is hereby deleted in its entirety and replaced with “(ii) [•]% of Executive’s then current target annual bonus, each at the rate in effect immediately prior to the actions that resulted in the Qualifying Termination and”. </w: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2"/>
        </w:rPr>
        <w:t>4.</w:t>
      </w:r>
      <w:r>
        <w:rPr>
          <w:rFonts w:ascii="Times New Roman;serif" w:hAnsi="Times New Roman;serif"/>
          <w:b/>
          <w:color w:val="000000"/>
          <w:sz w:val="22"/>
        </w:rPr>
        <w:t>Conflicts, Use of Terms</w:t>
      </w:r>
      <w:r>
        <w:rPr>
          <w:rFonts w:ascii="Times New Roman;serif" w:hAnsi="Times New Roman;serif"/>
          <w:b w:val="false"/>
          <w:color w:val="000000"/>
          <w:sz w:val="22"/>
        </w:rPr>
        <w:t xml:space="preserve">. In the event of a conflict between the terms and conditions of the Agreement and the terms and conditions of this Amendment, the terms and conditions of this Amendment shall control. </w:t>
      </w:r>
    </w:p>
    <w:p>
      <w:pPr>
        <w:pStyle w:val="TextBody"/>
        <w:bidi w:val="0"/>
        <w:spacing w:before="0" w:after="0"/>
        <w:jc w:val="both"/>
        <w:rPr/>
      </w:pPr>
      <w:r>
        <w:rPr/>
      </w:r>
    </w:p>
    <w:p>
      <w:pPr>
        <w:pStyle w:val="TextBody"/>
        <w:bidi w:val="0"/>
        <w:spacing w:lineRule="auto" w:line="321" w:before="0" w:after="160"/>
        <w:ind w:left="0" w:right="0" w:hanging="360"/>
        <w:jc w:val="both"/>
        <w:rPr/>
      </w:pPr>
      <w:r>
        <w:rPr>
          <w:rFonts w:ascii="Times New Roman;serif" w:hAnsi="Times New Roman;serif"/>
          <w:b w:val="false"/>
          <w:color w:val="000000"/>
          <w:sz w:val="22"/>
        </w:rPr>
        <w:t>5.</w:t>
      </w:r>
      <w:r>
        <w:rPr>
          <w:rFonts w:ascii="Times New Roman;serif" w:hAnsi="Times New Roman;serif"/>
          <w:b/>
          <w:color w:val="000000"/>
          <w:sz w:val="22"/>
        </w:rPr>
        <w:t xml:space="preserve">No Other Modification. </w:t>
      </w:r>
      <w:r>
        <w:rPr>
          <w:rFonts w:ascii="Times New Roman;serif" w:hAnsi="Times New Roman;serif"/>
          <w:b w:val="false"/>
          <w:color w:val="000000"/>
          <w:sz w:val="22"/>
        </w:rPr>
        <w:t>Except as otherwise provided herein, all other terms and conditions as set forth in the Agreement shall remain the same.</w:t>
      </w:r>
    </w:p>
    <w:p>
      <w:pPr>
        <w:pStyle w:val="TextBody"/>
        <w:bidi w:val="0"/>
        <w:spacing w:lineRule="auto" w:line="321" w:before="0" w:after="160"/>
        <w:ind w:left="0" w:right="0" w:firstLine="720"/>
        <w:jc w:val="center"/>
        <w:rPr>
          <w:rFonts w:ascii="Times New Roman;serif" w:hAnsi="Times New Roman;serif"/>
          <w:b/>
          <w:i/>
          <w:color w:val="000000"/>
          <w:sz w:val="22"/>
        </w:rPr>
      </w:pPr>
      <w:r>
        <w:rPr>
          <w:rFonts w:ascii="Times New Roman;serif" w:hAnsi="Times New Roman;serif"/>
          <w:b/>
          <w:i/>
          <w:color w:val="000000"/>
          <w:sz w:val="22"/>
        </w:rPr>
        <w:br/>
        <w:t>[Signature Page Follows]</w:t>
      </w: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parties has executed this Amendment, in the case of the Company by its duly authorized officer, as of the date of the last signature below. This Amendment may be signed, electronically and in two or more counterparts, each of which shall be deemed an original and all of which together shall constitute one and the same instrument.</w:t>
      </w:r>
    </w:p>
    <w:p>
      <w:pPr>
        <w:pStyle w:val="TextBody"/>
        <w:bidi w:val="0"/>
        <w:spacing w:before="0" w:after="160"/>
        <w:jc w:val="both"/>
        <w:rPr/>
      </w:pPr>
      <w:r>
        <w:rPr/>
      </w:r>
    </w:p>
    <w:tbl>
      <w:tblPr>
        <w:tblW w:w="3732" w:type="dxa"/>
        <w:jc w:val="left"/>
        <w:tblInd w:w="0" w:type="dxa"/>
        <w:tblLayout w:type="fixed"/>
        <w:tblCellMar>
          <w:top w:w="28" w:type="dxa"/>
          <w:left w:w="28" w:type="dxa"/>
          <w:bottom w:w="28" w:type="dxa"/>
          <w:right w:w="28" w:type="dxa"/>
        </w:tblCellMar>
      </w:tblPr>
      <w:tblGrid>
        <w:gridCol w:w="533"/>
        <w:gridCol w:w="468"/>
        <w:gridCol w:w="470"/>
        <w:gridCol w:w="109"/>
        <w:gridCol w:w="109"/>
        <w:gridCol w:w="109"/>
        <w:gridCol w:w="566"/>
        <w:gridCol w:w="566"/>
        <w:gridCol w:w="802"/>
      </w:tblGrid>
      <w:tr>
        <w:trPr/>
        <w:tc>
          <w:tcPr>
            <w:tcW w:w="5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Times New Roman;serif" w:hAnsi="Times New Roman;serif"/>
                <w:b/>
                <w:color w:val="000000"/>
                <w:sz w:val="22"/>
              </w:rPr>
            </w:pPr>
            <w:r>
              <w:rPr>
                <w:rFonts w:ascii="Times New Roman;serif" w:hAnsi="Times New Roman;serif"/>
                <w:b/>
                <w:color w:val="000000"/>
                <w:sz w:val="22"/>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Times New Roman;serif" w:hAnsi="Times New Roman;serif"/>
                <w:b/>
                <w:color w:val="000000"/>
                <w:sz w:val="22"/>
              </w:rPr>
            </w:pPr>
            <w:r>
              <w:rPr>
                <w:rFonts w:ascii="Times New Roman;serif" w:hAnsi="Times New Roman;serif"/>
                <w:b/>
                <w:color w:val="000000"/>
                <w:sz w:val="22"/>
              </w:rPr>
              <w:t xml:space="preserve">VAXCYTE, INC. </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283"/>
              <w:jc w:val="both"/>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1471"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Times New Roman;serif" w:hAnsi="Times New Roman;serif"/>
                <w:b w:val="false"/>
                <w:color w:val="000000"/>
                <w:sz w:val="22"/>
              </w:rPr>
            </w:pPr>
            <w:r>
              <w:rPr>
                <w:rFonts w:ascii="Times New Roman;serif" w:hAnsi="Times New Roman;serif"/>
                <w:b w:val="false"/>
                <w:color w:val="000000"/>
                <w:sz w:val="22"/>
              </w:rPr>
              <w:t>Title:</w:t>
            </w:r>
          </w:p>
        </w:tc>
      </w:tr>
      <w:tr>
        <w:trPr/>
        <w:tc>
          <w:tcPr>
            <w:tcW w:w="1471"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321"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Date: </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center"/>
        <w:rPr/>
      </w:pPr>
      <w:r>
        <w:rPr/>
      </w:r>
    </w:p>
    <w:p>
      <w:pPr>
        <w:pStyle w:val="TextBody"/>
        <w:bidi w:val="0"/>
        <w:spacing w:lineRule="auto" w:line="321" w:before="0" w:after="160"/>
        <w:jc w:val="center"/>
        <w:rPr>
          <w:rFonts w:ascii="Times New Roman;serif" w:hAnsi="Times New Roman;serif"/>
          <w:b/>
          <w:color w:val="000000"/>
          <w:sz w:val="22"/>
        </w:rPr>
      </w:pPr>
      <w:r>
        <w:rPr>
          <w:rFonts w:ascii="Times New Roman;serif" w:hAnsi="Times New Roman;serif"/>
          <w:b/>
          <w:color w:val="000000"/>
          <w:sz w:val="22"/>
        </w:rPr>
        <w:t>[Signature Page to First Amendment to Executive Change in Control and Severance Agreement]</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1235</Words>
  <Characters>7042</Characters>
  <CharactersWithSpaces>8213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