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2025</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May 1, 2025, upon recommendation of the Nominating and Corporate Governance Committee, the Board of Directors (the “Board”) of Vaxcyte, Inc. (the “Company”) appointed Dr. Olivier Brandicourt to the Board as a Class III director, which appointment became effective immediately. Dr. Brandicourt’s term will expire at the Company’s annual meeting of stockholders in 2026.</w:t>
      </w:r>
    </w:p>
    <w:p>
      <w:pPr>
        <w:spacing w:after="0" w:line="190" w:lineRule="exact"/>
        <w:rPr>
          <w:sz w:val="20"/>
          <w:szCs w:val="20"/>
          <w:color w:val="auto"/>
        </w:rPr>
      </w:pPr>
    </w:p>
    <w:p>
      <w:pPr>
        <w:ind w:right="60" w:firstLine="441"/>
        <w:spacing w:after="0" w:line="245" w:lineRule="auto"/>
        <w:rPr>
          <w:sz w:val="20"/>
          <w:szCs w:val="20"/>
          <w:color w:val="auto"/>
        </w:rPr>
      </w:pPr>
      <w:r>
        <w:rPr>
          <w:rFonts w:ascii="Times New Roman" w:cs="Times New Roman" w:eastAsia="Times New Roman" w:hAnsi="Times New Roman"/>
          <w:sz w:val="18"/>
          <w:szCs w:val="18"/>
          <w:color w:val="auto"/>
        </w:rPr>
        <w:t>There are no arrangements or understandings between Dr. Brandicourt and any other persons pursuant to which he was selected as a director. The Board has determined that Dr. Brandicourt qualifies as an independent director under the independence requirements set forth under Rule 5605(a)(2) of the Nasdaq Rules and listing standards. Additionally, there are no transactions involving the Company and Dr. Brandicourt that the Company would be required to report pursuant to Item 404(a) of Regulation S-K.</w:t>
      </w:r>
    </w:p>
    <w:p>
      <w:pPr>
        <w:spacing w:after="0" w:line="208"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In connection with his appointment to the Board and pursuant to the Company’s non-employee director compensation program as currently in effect (the “Director Compensation Program”), Dr. Brandicourt will receive an initial equity award of a nonstatutory stock option to purchase shares of the Company’s common stock with an equivalent value of $800,000 (the “Initial Grant”). The Initial Grant will vest over 36 months, 1/3 of which will vest on the anniversary date on which Dr. Brandicourt was appointed to the Board and 1/36 of which will vest monthly thereafter, subject to Dr. Brandicourt’s continuous service to the Company through each such date. The Initial Grant is subject to the terms and conditions of the Company’s 2020 Equity Incentive Plan and its related agreements.</w:t>
      </w:r>
    </w:p>
    <w:p>
      <w:pPr>
        <w:spacing w:after="0" w:line="211" w:lineRule="exact"/>
        <w:rPr>
          <w:sz w:val="20"/>
          <w:szCs w:val="20"/>
          <w:color w:val="auto"/>
        </w:rPr>
      </w:pPr>
    </w:p>
    <w:p>
      <w:pPr>
        <w:ind w:right="20" w:firstLine="441"/>
        <w:spacing w:after="0" w:line="237" w:lineRule="auto"/>
        <w:rPr>
          <w:sz w:val="20"/>
          <w:szCs w:val="20"/>
          <w:color w:val="auto"/>
        </w:rPr>
      </w:pPr>
      <w:r>
        <w:rPr>
          <w:rFonts w:ascii="Times New Roman" w:cs="Times New Roman" w:eastAsia="Times New Roman" w:hAnsi="Times New Roman"/>
          <w:sz w:val="18"/>
          <w:szCs w:val="18"/>
          <w:color w:val="auto"/>
        </w:rPr>
        <w:t>Pursuant to the Director Compensation Program, Dr. Brandicourt will also receive an equity award on the date of each annual meeting of stockholders, which is currently comprised of an equity award with an equivalent value of $450,000, 75% of which shall be a nonstatutory stock option to purchase shares of the Company’s common stock (the “Annual Option Grant”) and 25% of which shall be restricted stock units (the “Annual RSU Grant” and together with the Annual Option Grant, the “Annual Grant”). The Annual Option Grant will vest monthly and fully vest on the earlier of the first anniversary of the grant date or the day prior to the next annual meeting of stockholders, and the Annual RSU Grant will fully vest on the earlier of the first anniversary of the grant date or the day prior to the next annual meeting of stockholders, subject to Dr. Brandicourt’s continuous service to the Company through each such date. The Annual Grant would become fully vested upon a change in control, subject to Dr. Brandicourt’s continuous service to the Company through such date.</w:t>
      </w:r>
    </w:p>
    <w:p>
      <w:pPr>
        <w:spacing w:after="0" w:line="214"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the Director Compensation Program, Dr. Brandicourt will also receive an annual cash retainer for his service as a Board member, which is currently set at $50,000 per year, with payment pro-rated for any partial period of service.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entered into its standard form of indemnification agreement with Dr.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24" w:lineRule="exact"/>
        <w:rPr>
          <w:sz w:val="20"/>
          <w:szCs w:val="20"/>
          <w:color w:val="auto"/>
        </w:rPr>
      </w:pPr>
    </w:p>
    <w:p>
      <w:pPr>
        <w:ind w:left="20"/>
        <w:spacing w:after="0"/>
        <w:tabs>
          <w:tab w:leader="none" w:pos="680" w:val="left"/>
          <w:tab w:leader="none" w:pos="5560" w:val="left"/>
          <w:tab w:leader="none" w:pos="7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sectPr>
      <w:pgSz w:w="11900" w:h="16838" w:orient="portrait"/>
      <w:cols w:equalWidth="0" w:num="1">
        <w:col w:w="11200"/>
      </w:cols>
      <w:pgMar w:left="320" w:top="10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2025-05-01T07:22:11Z</dcterms:created>
  <dcterms:modified xsi:type="dcterms:W3CDTF">2025-05-01T07:22:11Z</dcterms:modified>
</cp:coreProperties>
</file>