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158750</wp:posOffset>
            </wp:positionV>
            <wp:extent cx="142303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364"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178435</wp:posOffset>
            </wp:positionV>
            <wp:extent cx="142303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09"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15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6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November 12,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180340</wp:posOffset>
            </wp:positionV>
            <wp:extent cx="142303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396"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VAXCYTE,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161290</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32" w:lineRule="exact"/>
        <w:rPr>
          <w:sz w:val="24"/>
          <w:szCs w:val="24"/>
          <w:color w:val="auto"/>
        </w:rPr>
      </w:pPr>
    </w:p>
    <w:tbl>
      <w:tblPr>
        <w:tblLayout w:type="fixed"/>
        <w:tblInd w:w="720" w:type="dxa"/>
        <w:tblCellMar>
          <w:top w:w="0" w:type="dxa"/>
          <w:left w:w="0" w:type="dxa"/>
          <w:bottom w:w="0" w:type="dxa"/>
          <w:right w:w="0" w:type="dxa"/>
        </w:tblCellMar>
      </w:tblPr>
      <w:tr>
        <w:trPr>
          <w:trHeight w:val="222"/>
        </w:trPr>
        <w:tc>
          <w:tcPr>
            <w:tcW w:w="3220" w:type="dxa"/>
            <w:vAlign w:val="bottom"/>
          </w:tcPr>
          <w:p>
            <w:pPr>
              <w:jc w:val="center"/>
              <w:ind w:right="821"/>
              <w:spacing w:after="0"/>
              <w:rPr>
                <w:sz w:val="20"/>
                <w:szCs w:val="20"/>
                <w:color w:val="auto"/>
              </w:rPr>
            </w:pPr>
            <w:r>
              <w:rPr>
                <w:rFonts w:ascii="Arial" w:cs="Arial" w:eastAsia="Arial" w:hAnsi="Arial"/>
                <w:sz w:val="18"/>
                <w:szCs w:val="18"/>
                <w:b w:val="1"/>
                <w:bCs w:val="1"/>
                <w:color w:val="auto"/>
                <w:w w:val="91"/>
              </w:rPr>
              <w:t>Delaware</w:t>
            </w:r>
          </w:p>
        </w:tc>
        <w:tc>
          <w:tcPr>
            <w:tcW w:w="3680" w:type="dxa"/>
            <w:vAlign w:val="bottom"/>
          </w:tcPr>
          <w:p>
            <w:pPr>
              <w:jc w:val="right"/>
              <w:ind w:right="1541"/>
              <w:spacing w:after="0"/>
              <w:rPr>
                <w:sz w:val="20"/>
                <w:szCs w:val="20"/>
                <w:color w:val="auto"/>
              </w:rPr>
            </w:pPr>
            <w:r>
              <w:rPr>
                <w:rFonts w:ascii="Arial" w:cs="Arial" w:eastAsia="Arial" w:hAnsi="Arial"/>
                <w:sz w:val="18"/>
                <w:szCs w:val="18"/>
                <w:b w:val="1"/>
                <w:bCs w:val="1"/>
                <w:color w:val="auto"/>
              </w:rPr>
              <w:t>001-39323</w:t>
            </w:r>
          </w:p>
        </w:tc>
        <w:tc>
          <w:tcPr>
            <w:tcW w:w="2280" w:type="dxa"/>
            <w:vAlign w:val="bottom"/>
          </w:tcPr>
          <w:p>
            <w:pPr>
              <w:jc w:val="right"/>
              <w:ind w:right="24"/>
              <w:spacing w:after="0"/>
              <w:rPr>
                <w:sz w:val="20"/>
                <w:szCs w:val="20"/>
                <w:color w:val="auto"/>
              </w:rPr>
            </w:pPr>
            <w:r>
              <w:rPr>
                <w:rFonts w:ascii="Arial" w:cs="Arial" w:eastAsia="Arial" w:hAnsi="Arial"/>
                <w:sz w:val="18"/>
                <w:szCs w:val="18"/>
                <w:b w:val="1"/>
                <w:bCs w:val="1"/>
                <w:color w:val="auto"/>
              </w:rPr>
              <w:t>46-4233385</w:t>
            </w:r>
          </w:p>
        </w:tc>
      </w:tr>
      <w:tr>
        <w:trPr>
          <w:trHeight w:val="148"/>
        </w:trPr>
        <w:tc>
          <w:tcPr>
            <w:tcW w:w="3220" w:type="dxa"/>
            <w:vAlign w:val="bottom"/>
          </w:tcPr>
          <w:p>
            <w:pPr>
              <w:jc w:val="center"/>
              <w:ind w:right="821"/>
              <w:spacing w:after="0"/>
              <w:rPr>
                <w:sz w:val="20"/>
                <w:szCs w:val="20"/>
                <w:color w:val="auto"/>
              </w:rPr>
            </w:pPr>
            <w:r>
              <w:rPr>
                <w:rFonts w:ascii="Arial" w:cs="Arial" w:eastAsia="Arial" w:hAnsi="Arial"/>
                <w:sz w:val="13"/>
                <w:szCs w:val="13"/>
                <w:b w:val="1"/>
                <w:bCs w:val="1"/>
                <w:color w:val="auto"/>
                <w:w w:val="95"/>
              </w:rPr>
              <w:t>(State or Other Jurisdiction</w:t>
            </w:r>
          </w:p>
        </w:tc>
        <w:tc>
          <w:tcPr>
            <w:tcW w:w="3680" w:type="dxa"/>
            <w:vAlign w:val="bottom"/>
          </w:tcPr>
          <w:p>
            <w:pPr>
              <w:spacing w:after="0"/>
              <w:rPr>
                <w:sz w:val="12"/>
                <w:szCs w:val="12"/>
                <w:color w:val="auto"/>
              </w:rPr>
            </w:pPr>
          </w:p>
        </w:tc>
        <w:tc>
          <w:tcPr>
            <w:tcW w:w="2280" w:type="dxa"/>
            <w:vAlign w:val="bottom"/>
          </w:tcPr>
          <w:p>
            <w:pPr>
              <w:jc w:val="center"/>
              <w:ind w:left="1124"/>
              <w:spacing w:after="0"/>
              <w:rPr>
                <w:sz w:val="20"/>
                <w:szCs w:val="20"/>
                <w:color w:val="auto"/>
              </w:rPr>
            </w:pPr>
            <w:r>
              <w:rPr>
                <w:rFonts w:ascii="Arial" w:cs="Arial" w:eastAsia="Arial" w:hAnsi="Arial"/>
                <w:sz w:val="13"/>
                <w:szCs w:val="13"/>
                <w:b w:val="1"/>
                <w:bCs w:val="1"/>
                <w:color w:val="auto"/>
                <w:w w:val="98"/>
              </w:rPr>
              <w:t>(IRS Employer</w:t>
            </w:r>
          </w:p>
        </w:tc>
      </w:tr>
      <w:tr>
        <w:trPr>
          <w:trHeight w:val="174"/>
        </w:trPr>
        <w:tc>
          <w:tcPr>
            <w:tcW w:w="3220" w:type="dxa"/>
            <w:vAlign w:val="bottom"/>
          </w:tcPr>
          <w:p>
            <w:pPr>
              <w:jc w:val="center"/>
              <w:ind w:right="821"/>
              <w:spacing w:after="0"/>
              <w:rPr>
                <w:sz w:val="20"/>
                <w:szCs w:val="20"/>
                <w:color w:val="auto"/>
              </w:rPr>
            </w:pPr>
            <w:r>
              <w:rPr>
                <w:rFonts w:ascii="Arial" w:cs="Arial" w:eastAsia="Arial" w:hAnsi="Arial"/>
                <w:sz w:val="13"/>
                <w:szCs w:val="13"/>
                <w:b w:val="1"/>
                <w:bCs w:val="1"/>
                <w:color w:val="auto"/>
                <w:w w:val="96"/>
              </w:rPr>
              <w:t>of Incorporation)</w:t>
            </w:r>
          </w:p>
        </w:tc>
        <w:tc>
          <w:tcPr>
            <w:tcW w:w="3680" w:type="dxa"/>
            <w:vAlign w:val="bottom"/>
          </w:tcPr>
          <w:p>
            <w:pPr>
              <w:jc w:val="center"/>
              <w:ind w:right="241"/>
              <w:spacing w:after="0"/>
              <w:rPr>
                <w:sz w:val="20"/>
                <w:szCs w:val="20"/>
                <w:color w:val="auto"/>
              </w:rPr>
            </w:pPr>
            <w:r>
              <w:rPr>
                <w:rFonts w:ascii="Arial" w:cs="Arial" w:eastAsia="Arial" w:hAnsi="Arial"/>
                <w:sz w:val="13"/>
                <w:szCs w:val="13"/>
                <w:b w:val="1"/>
                <w:bCs w:val="1"/>
                <w:color w:val="auto"/>
                <w:w w:val="94"/>
              </w:rPr>
              <w:t>(Commission File Number)</w:t>
            </w:r>
          </w:p>
        </w:tc>
        <w:tc>
          <w:tcPr>
            <w:tcW w:w="2280" w:type="dxa"/>
            <w:vAlign w:val="bottom"/>
          </w:tcPr>
          <w:p>
            <w:pPr>
              <w:jc w:val="center"/>
              <w:ind w:left="1144"/>
              <w:spacing w:after="0"/>
              <w:rPr>
                <w:sz w:val="20"/>
                <w:szCs w:val="20"/>
                <w:color w:val="auto"/>
              </w:rPr>
            </w:pPr>
            <w:r>
              <w:rPr>
                <w:rFonts w:ascii="Arial" w:cs="Arial" w:eastAsia="Arial" w:hAnsi="Arial"/>
                <w:sz w:val="13"/>
                <w:szCs w:val="13"/>
                <w:b w:val="1"/>
                <w:bCs w:val="1"/>
                <w:color w:val="auto"/>
                <w:w w:val="96"/>
              </w:rPr>
              <w:t>Identification No.)</w:t>
            </w:r>
          </w:p>
        </w:tc>
      </w:tr>
      <w:tr>
        <w:trPr>
          <w:trHeight w:val="333"/>
        </w:trPr>
        <w:tc>
          <w:tcPr>
            <w:tcW w:w="3220" w:type="dxa"/>
            <w:vAlign w:val="bottom"/>
          </w:tcPr>
          <w:p>
            <w:pPr>
              <w:jc w:val="center"/>
              <w:ind w:right="841"/>
              <w:spacing w:after="0"/>
              <w:rPr>
                <w:sz w:val="20"/>
                <w:szCs w:val="20"/>
                <w:color w:val="auto"/>
              </w:rPr>
            </w:pPr>
            <w:r>
              <w:rPr>
                <w:rFonts w:ascii="Arial" w:cs="Arial" w:eastAsia="Arial" w:hAnsi="Arial"/>
                <w:sz w:val="18"/>
                <w:szCs w:val="18"/>
                <w:b w:val="1"/>
                <w:bCs w:val="1"/>
                <w:color w:val="auto"/>
                <w:w w:val="93"/>
              </w:rPr>
              <w:t>353 Hatch Drive</w:t>
            </w:r>
          </w:p>
        </w:tc>
        <w:tc>
          <w:tcPr>
            <w:tcW w:w="368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222"/>
        </w:trPr>
        <w:tc>
          <w:tcPr>
            <w:tcW w:w="3220" w:type="dxa"/>
            <w:vAlign w:val="bottom"/>
          </w:tcPr>
          <w:p>
            <w:pPr>
              <w:jc w:val="center"/>
              <w:ind w:right="821"/>
              <w:spacing w:after="0"/>
              <w:rPr>
                <w:sz w:val="20"/>
                <w:szCs w:val="20"/>
                <w:color w:val="auto"/>
              </w:rPr>
            </w:pPr>
            <w:r>
              <w:rPr>
                <w:rFonts w:ascii="Arial" w:cs="Arial" w:eastAsia="Arial" w:hAnsi="Arial"/>
                <w:sz w:val="18"/>
                <w:szCs w:val="18"/>
                <w:b w:val="1"/>
                <w:bCs w:val="1"/>
                <w:color w:val="auto"/>
                <w:w w:val="91"/>
              </w:rPr>
              <w:t>Foster City, California</w:t>
            </w:r>
          </w:p>
        </w:tc>
        <w:tc>
          <w:tcPr>
            <w:tcW w:w="3680" w:type="dxa"/>
            <w:vAlign w:val="bottom"/>
          </w:tcPr>
          <w:p>
            <w:pPr>
              <w:spacing w:after="0"/>
              <w:rPr>
                <w:sz w:val="19"/>
                <w:szCs w:val="19"/>
                <w:color w:val="auto"/>
              </w:rPr>
            </w:pPr>
          </w:p>
        </w:tc>
        <w:tc>
          <w:tcPr>
            <w:tcW w:w="2280" w:type="dxa"/>
            <w:vAlign w:val="bottom"/>
          </w:tcPr>
          <w:p>
            <w:pPr>
              <w:jc w:val="right"/>
              <w:ind w:right="244"/>
              <w:spacing w:after="0"/>
              <w:rPr>
                <w:sz w:val="20"/>
                <w:szCs w:val="20"/>
                <w:color w:val="auto"/>
              </w:rPr>
            </w:pPr>
            <w:r>
              <w:rPr>
                <w:rFonts w:ascii="Arial" w:cs="Arial" w:eastAsia="Arial" w:hAnsi="Arial"/>
                <w:sz w:val="18"/>
                <w:szCs w:val="18"/>
                <w:b w:val="1"/>
                <w:bCs w:val="1"/>
                <w:color w:val="auto"/>
              </w:rPr>
              <w:t>94404</w:t>
            </w:r>
          </w:p>
        </w:tc>
      </w:tr>
      <w:tr>
        <w:trPr>
          <w:trHeight w:val="174"/>
        </w:trPr>
        <w:tc>
          <w:tcPr>
            <w:tcW w:w="3220" w:type="dxa"/>
            <w:vAlign w:val="bottom"/>
          </w:tcPr>
          <w:p>
            <w:pPr>
              <w:jc w:val="center"/>
              <w:ind w:right="821"/>
              <w:spacing w:after="0"/>
              <w:rPr>
                <w:sz w:val="20"/>
                <w:szCs w:val="20"/>
                <w:color w:val="auto"/>
              </w:rPr>
            </w:pPr>
            <w:r>
              <w:rPr>
                <w:rFonts w:ascii="Arial" w:cs="Arial" w:eastAsia="Arial" w:hAnsi="Arial"/>
                <w:sz w:val="13"/>
                <w:szCs w:val="13"/>
                <w:b w:val="1"/>
                <w:bCs w:val="1"/>
                <w:color w:val="auto"/>
                <w:w w:val="93"/>
              </w:rPr>
              <w:t>(Address of Principal Executive Offices)</w:t>
            </w:r>
          </w:p>
        </w:tc>
        <w:tc>
          <w:tcPr>
            <w:tcW w:w="3680" w:type="dxa"/>
            <w:vAlign w:val="bottom"/>
          </w:tcPr>
          <w:p>
            <w:pPr>
              <w:spacing w:after="0"/>
              <w:rPr>
                <w:sz w:val="15"/>
                <w:szCs w:val="15"/>
                <w:color w:val="auto"/>
              </w:rPr>
            </w:pPr>
          </w:p>
        </w:tc>
        <w:tc>
          <w:tcPr>
            <w:tcW w:w="2280" w:type="dxa"/>
            <w:vAlign w:val="bottom"/>
          </w:tcPr>
          <w:p>
            <w:pPr>
              <w:jc w:val="center"/>
              <w:ind w:left="1144"/>
              <w:spacing w:after="0"/>
              <w:rPr>
                <w:sz w:val="20"/>
                <w:szCs w:val="20"/>
                <w:color w:val="auto"/>
              </w:rPr>
            </w:pPr>
            <w:r>
              <w:rPr>
                <w:rFonts w:ascii="Arial" w:cs="Arial" w:eastAsia="Arial" w:hAnsi="Arial"/>
                <w:sz w:val="13"/>
                <w:szCs w:val="13"/>
                <w:b w:val="1"/>
                <w:bCs w:val="1"/>
                <w:color w:val="auto"/>
                <w:w w:val="96"/>
              </w:rPr>
              <w:t>(Zip Code)</w:t>
            </w:r>
          </w:p>
        </w:tc>
      </w:tr>
    </w:tbl>
    <w:p>
      <w:pPr>
        <w:spacing w:after="0" w:line="13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(650) 837-0111</w:t>
      </w:r>
    </w:p>
    <w:p>
      <w:pPr>
        <w:spacing w:after="0" w:line="17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153670</wp:posOffset>
            </wp:positionV>
            <wp:extent cx="14230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383"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57"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71"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191"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4400" w:type="dxa"/>
            <w:vAlign w:val="bottom"/>
            <w:gridSpan w:val="2"/>
            <w:vMerge w:val="restart"/>
          </w:tcPr>
          <w:p>
            <w:pPr>
              <w:ind w:left="1600"/>
              <w:spacing w:after="0"/>
              <w:rPr>
                <w:sz w:val="20"/>
                <w:szCs w:val="20"/>
                <w:color w:val="auto"/>
              </w:rPr>
            </w:pPr>
            <w:r>
              <w:rPr>
                <w:rFonts w:ascii="Arial" w:cs="Arial" w:eastAsia="Arial" w:hAnsi="Arial"/>
                <w:sz w:val="14"/>
                <w:szCs w:val="14"/>
                <w:b w:val="1"/>
                <w:bCs w:val="1"/>
                <w:color w:val="auto"/>
              </w:rPr>
              <w:t>Title of each class</w:t>
            </w:r>
          </w:p>
        </w:tc>
        <w:tc>
          <w:tcPr>
            <w:tcW w:w="18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7"/>
              </w:rPr>
              <w:t>Trading</w:t>
            </w:r>
          </w:p>
        </w:tc>
        <w:tc>
          <w:tcPr>
            <w:tcW w:w="50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Name of each exchange on which registered</w:t>
            </w:r>
          </w:p>
        </w:tc>
        <w:tc>
          <w:tcPr>
            <w:tcW w:w="0" w:type="dxa"/>
            <w:vAlign w:val="bottom"/>
          </w:tcPr>
          <w:p>
            <w:pPr>
              <w:spacing w:after="0"/>
              <w:rPr>
                <w:sz w:val="1"/>
                <w:szCs w:val="1"/>
                <w:color w:val="auto"/>
              </w:rPr>
            </w:pPr>
          </w:p>
        </w:tc>
      </w:tr>
      <w:tr>
        <w:trPr>
          <w:trHeight w:val="171"/>
        </w:trPr>
        <w:tc>
          <w:tcPr>
            <w:tcW w:w="4400" w:type="dxa"/>
            <w:vAlign w:val="bottom"/>
            <w:gridSpan w:val="2"/>
            <w:vMerge w:val="continue"/>
          </w:tcPr>
          <w:p>
            <w:pPr>
              <w:spacing w:after="0"/>
              <w:rPr>
                <w:sz w:val="14"/>
                <w:szCs w:val="14"/>
                <w:color w:val="auto"/>
              </w:rPr>
            </w:pPr>
          </w:p>
        </w:tc>
        <w:tc>
          <w:tcPr>
            <w:tcW w:w="18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Symbol(s)</w:t>
            </w:r>
          </w:p>
        </w:tc>
        <w:tc>
          <w:tcPr>
            <w:tcW w:w="50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4"/>
        </w:trPr>
        <w:tc>
          <w:tcPr>
            <w:tcW w:w="428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Common Stock, $0.001 par value per share</w:t>
            </w:r>
          </w:p>
        </w:tc>
        <w:tc>
          <w:tcPr>
            <w:tcW w:w="120" w:type="dxa"/>
            <w:vAlign w:val="bottom"/>
          </w:tcPr>
          <w:p>
            <w:pPr>
              <w:spacing w:after="0"/>
              <w:rPr>
                <w:sz w:val="19"/>
                <w:szCs w:val="19"/>
                <w:color w:val="auto"/>
              </w:rPr>
            </w:pPr>
          </w:p>
        </w:tc>
        <w:tc>
          <w:tcPr>
            <w:tcW w:w="16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7"/>
              </w:rPr>
              <w:t>PCVX</w:t>
            </w:r>
          </w:p>
        </w:tc>
        <w:tc>
          <w:tcPr>
            <w:tcW w:w="120" w:type="dxa"/>
            <w:vAlign w:val="bottom"/>
          </w:tcPr>
          <w:p>
            <w:pPr>
              <w:spacing w:after="0"/>
              <w:rPr>
                <w:sz w:val="19"/>
                <w:szCs w:val="19"/>
                <w:color w:val="auto"/>
              </w:rPr>
            </w:pPr>
          </w:p>
        </w:tc>
        <w:tc>
          <w:tcPr>
            <w:tcW w:w="50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1"/>
              </w:rPr>
              <w:t>The Nasdaq Stock Market LLC</w:t>
            </w:r>
          </w:p>
        </w:tc>
        <w:tc>
          <w:tcPr>
            <w:tcW w:w="0" w:type="dxa"/>
            <w:vAlign w:val="bottom"/>
          </w:tcPr>
          <w:p>
            <w:pPr>
              <w:spacing w:after="0"/>
              <w:rPr>
                <w:sz w:val="1"/>
                <w:szCs w:val="1"/>
                <w:color w:val="auto"/>
              </w:rPr>
            </w:pPr>
          </w:p>
        </w:tc>
      </w:tr>
    </w:tbl>
    <w:p>
      <w:pPr>
        <w:spacing w:after="0" w:line="133" w:lineRule="exact"/>
        <w:rPr>
          <w:sz w:val="24"/>
          <w:szCs w:val="24"/>
          <w:color w:val="auto"/>
        </w:rPr>
      </w:pPr>
    </w:p>
    <w:p>
      <w:pPr>
        <w:ind w:right="48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 230.405 of this chapter) or Rule 12b-2 of the Securities Exchange Act of 1934 (§ 240.12b-2 of this chapter).</w:t>
      </w:r>
    </w:p>
    <w:p>
      <w:pPr>
        <w:spacing w:after="0" w:line="104"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6"/>
          <w:szCs w:val="16"/>
          <w:color w:val="auto"/>
        </w:rPr>
        <w:t>☒</w:t>
      </w:r>
    </w:p>
    <w:p>
      <w:pPr>
        <w:spacing w:after="0" w:line="183"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159385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561975</wp:posOffset>
            </wp:positionV>
            <wp:extent cx="7149465"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206"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121" w:lineRule="exact"/>
        <w:rPr>
          <w:sz w:val="20"/>
          <w:szCs w:val="20"/>
          <w:color w:val="auto"/>
        </w:rPr>
      </w:pPr>
    </w:p>
    <w:p>
      <w:pPr>
        <w:ind w:right="160" w:firstLine="749"/>
        <w:spacing w:after="0" w:line="277" w:lineRule="auto"/>
        <w:rPr>
          <w:sz w:val="20"/>
          <w:szCs w:val="20"/>
          <w:color w:val="auto"/>
        </w:rPr>
      </w:pPr>
      <w:r>
        <w:rPr>
          <w:rFonts w:ascii="Arial" w:cs="Arial" w:eastAsia="Arial" w:hAnsi="Arial"/>
          <w:sz w:val="18"/>
          <w:szCs w:val="18"/>
          <w:color w:val="auto"/>
        </w:rPr>
        <w:t>On November 12, 2020, Vaxcyte, Inc. issued a press release announcing its financial results for the quarter ended September 30, 2020. The full text of the press release is furnished as Exhibit 99.1 to this report on Form 8-K and is incorporated herein by reference.</w:t>
      </w:r>
    </w:p>
    <w:p>
      <w:pPr>
        <w:spacing w:after="0" w:line="62" w:lineRule="exact"/>
        <w:rPr>
          <w:sz w:val="20"/>
          <w:szCs w:val="20"/>
          <w:color w:val="auto"/>
        </w:rPr>
      </w:pPr>
    </w:p>
    <w:p>
      <w:pPr>
        <w:ind w:firstLine="749"/>
        <w:spacing w:after="0" w:line="259" w:lineRule="auto"/>
        <w:rPr>
          <w:sz w:val="20"/>
          <w:szCs w:val="20"/>
          <w:color w:val="auto"/>
        </w:rPr>
      </w:pPr>
      <w:r>
        <w:rPr>
          <w:rFonts w:ascii="Arial" w:cs="Arial" w:eastAsia="Arial" w:hAnsi="Arial"/>
          <w:sz w:val="18"/>
          <w:szCs w:val="18"/>
          <w:color w:val="auto"/>
        </w:rPr>
        <w:t>The information in this Item 2.02 and Item 9.01, including Exhibit 99.1, shall not be deemed to be “filed” for purposes of Section 18 of the Securities Exchange Act of 1934, as amended (the “Exchange Act”), or otherwise subject to the liabilities of that section, nor shall it be deemed incorporated by reference into any registration statement or other document filed under the Securities Act of 1933, as amended or the Exchange Act, except as shall be expressly set forth by specific reference in such filing.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45" w:lineRule="exact"/>
        <w:rPr>
          <w:sz w:val="20"/>
          <w:szCs w:val="20"/>
          <w:color w:val="auto"/>
        </w:rPr>
      </w:pPr>
    </w:p>
    <w:tbl>
      <w:tblPr>
        <w:tblLayout w:type="fixed"/>
        <w:tblInd w:w="140" w:type="dxa"/>
        <w:tblCellMar>
          <w:top w:w="0" w:type="dxa"/>
          <w:left w:w="0" w:type="dxa"/>
          <w:bottom w:w="0" w:type="dxa"/>
          <w:right w:w="0" w:type="dxa"/>
        </w:tblCellMar>
      </w:tblPr>
      <w:tr>
        <w:trPr>
          <w:trHeight w:val="161"/>
        </w:trPr>
        <w:tc>
          <w:tcPr>
            <w:tcW w:w="3080" w:type="dxa"/>
            <w:vAlign w:val="bottom"/>
          </w:tcPr>
          <w:p>
            <w:pPr>
              <w:jc w:val="center"/>
              <w:ind w:right="2488"/>
              <w:spacing w:after="0"/>
              <w:rPr>
                <w:sz w:val="20"/>
                <w:szCs w:val="20"/>
                <w:color w:val="auto"/>
              </w:rPr>
            </w:pPr>
            <w:r>
              <w:rPr>
                <w:rFonts w:ascii="Arial" w:cs="Arial" w:eastAsia="Arial" w:hAnsi="Arial"/>
                <w:sz w:val="14"/>
                <w:szCs w:val="14"/>
                <w:b w:val="1"/>
                <w:bCs w:val="1"/>
                <w:color w:val="auto"/>
                <w:w w:val="94"/>
              </w:rPr>
              <w:t>Exhibit</w:t>
            </w:r>
          </w:p>
        </w:tc>
        <w:tc>
          <w:tcPr>
            <w:tcW w:w="3260" w:type="dxa"/>
            <w:vAlign w:val="bottom"/>
            <w:vMerge w:val="restart"/>
          </w:tcPr>
          <w:p>
            <w:pPr>
              <w:ind w:left="2560"/>
              <w:spacing w:after="0"/>
              <w:rPr>
                <w:sz w:val="20"/>
                <w:szCs w:val="20"/>
                <w:color w:val="auto"/>
              </w:rPr>
            </w:pPr>
            <w:r>
              <w:rPr>
                <w:rFonts w:ascii="Arial" w:cs="Arial" w:eastAsia="Arial" w:hAnsi="Arial"/>
                <w:sz w:val="14"/>
                <w:szCs w:val="14"/>
                <w:b w:val="1"/>
                <w:bCs w:val="1"/>
                <w:color w:val="auto"/>
                <w:w w:val="88"/>
              </w:rPr>
              <w:t>Description</w:t>
            </w:r>
          </w:p>
        </w:tc>
        <w:tc>
          <w:tcPr>
            <w:tcW w:w="0" w:type="dxa"/>
            <w:vAlign w:val="bottom"/>
          </w:tcPr>
          <w:p>
            <w:pPr>
              <w:spacing w:after="0"/>
              <w:rPr>
                <w:sz w:val="1"/>
                <w:szCs w:val="1"/>
                <w:color w:val="auto"/>
              </w:rPr>
            </w:pPr>
          </w:p>
        </w:tc>
      </w:tr>
      <w:tr>
        <w:trPr>
          <w:trHeight w:val="186"/>
        </w:trPr>
        <w:tc>
          <w:tcPr>
            <w:tcW w:w="3080" w:type="dxa"/>
            <w:vAlign w:val="bottom"/>
          </w:tcPr>
          <w:p>
            <w:pPr>
              <w:jc w:val="center"/>
              <w:ind w:right="2488"/>
              <w:spacing w:after="0"/>
              <w:rPr>
                <w:sz w:val="20"/>
                <w:szCs w:val="20"/>
                <w:color w:val="auto"/>
              </w:rPr>
            </w:pPr>
            <w:r>
              <w:rPr>
                <w:rFonts w:ascii="Arial" w:cs="Arial" w:eastAsia="Arial" w:hAnsi="Arial"/>
                <w:sz w:val="14"/>
                <w:szCs w:val="14"/>
                <w:b w:val="1"/>
                <w:bCs w:val="1"/>
                <w:color w:val="auto"/>
                <w:w w:val="98"/>
              </w:rPr>
              <w:t>Number</w:t>
            </w:r>
          </w:p>
        </w:tc>
        <w:tc>
          <w:tcPr>
            <w:tcW w:w="32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-8890</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ind w:left="240"/>
        <w:spacing w:after="0"/>
        <w:tabs>
          <w:tab w:leader="none" w:pos="1020" w:val="left"/>
        </w:tabs>
        <w:rPr>
          <w:rFonts w:ascii="Arial" w:cs="Arial" w:eastAsia="Arial" w:hAnsi="Arial"/>
          <w:sz w:val="16"/>
          <w:szCs w:val="16"/>
          <w:u w:val="single" w:color="auto"/>
          <w:color w:val="0000EE"/>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6"/>
            <w:szCs w:val="16"/>
            <w:u w:val="single" w:color="auto"/>
            <w:color w:val="0000EE"/>
          </w:rPr>
          <w:t>Press Release of Vaxcyte, Inc., dated November 12, 2020</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1119505</wp:posOffset>
            </wp:positionV>
            <wp:extent cx="119126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19126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500" w:hanging="492"/>
        <w:spacing w:after="0"/>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337" w:right="359" w:bottom="1440" w:gutter="0" w:footer="0" w:header="0"/>
        </w:sectPr>
      </w:pPr>
    </w:p>
    <w:bookmarkStart w:id="2" w:name="page3"/>
    <w:bookmarkEnd w:id="2"/>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11"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Company Name</w:t>
      </w:r>
    </w:p>
    <w:p>
      <w:pPr>
        <w:spacing w:after="0" w:line="252" w:lineRule="exact"/>
        <w:rPr>
          <w:sz w:val="20"/>
          <w:szCs w:val="20"/>
          <w:color w:val="auto"/>
        </w:rPr>
      </w:pPr>
    </w:p>
    <w:p>
      <w:pPr>
        <w:spacing w:after="0"/>
        <w:tabs>
          <w:tab w:leader="none" w:pos="5720" w:val="left"/>
          <w:tab w:leader="none" w:pos="7740" w:val="left"/>
        </w:tabs>
        <w:rPr>
          <w:sz w:val="20"/>
          <w:szCs w:val="20"/>
          <w:color w:val="auto"/>
        </w:rPr>
      </w:pPr>
      <w:r>
        <w:rPr>
          <w:rFonts w:ascii="Arial" w:cs="Arial" w:eastAsia="Arial" w:hAnsi="Arial"/>
          <w:sz w:val="18"/>
          <w:szCs w:val="18"/>
          <w:color w:val="auto"/>
        </w:rPr>
        <w:t>Date: November 12,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Andrew Guggenhime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3845560</wp:posOffset>
            </wp:positionH>
            <wp:positionV relativeFrom="paragraph">
              <wp:posOffset>14605</wp:posOffset>
            </wp:positionV>
            <wp:extent cx="329184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291840" cy="8255"/>
                    </a:xfrm>
                    <a:prstGeom prst="rect">
                      <a:avLst/>
                    </a:prstGeom>
                    <a:noFill/>
                  </pic:spPr>
                </pic:pic>
              </a:graphicData>
            </a:graphic>
          </wp:anchor>
        </w:drawing>
      </w:r>
    </w:p>
    <w:p>
      <w:pPr>
        <w:spacing w:after="0" w:line="12" w:lineRule="exact"/>
        <w:rPr>
          <w:sz w:val="20"/>
          <w:szCs w:val="20"/>
          <w:color w:val="auto"/>
        </w:rPr>
      </w:pPr>
    </w:p>
    <w:p>
      <w:pPr>
        <w:jc w:val="center"/>
        <w:ind w:left="6020"/>
        <w:spacing w:after="0"/>
        <w:rPr>
          <w:sz w:val="20"/>
          <w:szCs w:val="20"/>
          <w:color w:val="auto"/>
        </w:rPr>
      </w:pPr>
      <w:r>
        <w:rPr>
          <w:rFonts w:ascii="Arial" w:cs="Arial" w:eastAsia="Arial" w:hAnsi="Arial"/>
          <w:sz w:val="18"/>
          <w:szCs w:val="18"/>
          <w:b w:val="1"/>
          <w:bCs w:val="1"/>
          <w:color w:val="auto"/>
        </w:rPr>
        <w:t>Andrew Guggenhime</w:t>
      </w:r>
    </w:p>
    <w:p>
      <w:pPr>
        <w:spacing w:after="0" w:line="27" w:lineRule="exact"/>
        <w:rPr>
          <w:sz w:val="20"/>
          <w:szCs w:val="20"/>
          <w:color w:val="auto"/>
        </w:rPr>
      </w:pPr>
    </w:p>
    <w:p>
      <w:pPr>
        <w:jc w:val="center"/>
        <w:ind w:left="6020"/>
        <w:spacing w:after="0"/>
        <w:rPr>
          <w:sz w:val="20"/>
          <w:szCs w:val="20"/>
          <w:color w:val="auto"/>
        </w:rPr>
      </w:pPr>
      <w:r>
        <w:rPr>
          <w:rFonts w:ascii="Arial" w:cs="Arial" w:eastAsia="Arial" w:hAnsi="Arial"/>
          <w:sz w:val="18"/>
          <w:szCs w:val="18"/>
          <w:b w:val="1"/>
          <w:bCs w:val="1"/>
          <w:color w:val="auto"/>
        </w:rPr>
        <w:t>Chief Financial Officer and Chief Business Officer</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00"/>
          </w:cols>
          <w:pgMar w:left="320" w:top="337" w:right="379" w:bottom="1440" w:gutter="0" w:footer="0" w:header="0"/>
        </w:sectPr>
      </w:pPr>
    </w:p>
    <w:bookmarkStart w:id="3" w:name="page4"/>
    <w:bookmarkEnd w:id="3"/>
    <w:p>
      <w:pPr>
        <w:ind w:left="960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3131185</wp:posOffset>
            </wp:positionH>
            <wp:positionV relativeFrom="page">
              <wp:posOffset>88900</wp:posOffset>
            </wp:positionV>
            <wp:extent cx="1294765" cy="643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1294765" cy="643255"/>
                    </a:xfrm>
                    <a:prstGeom prst="rect">
                      <a:avLst/>
                    </a:prstGeom>
                    <a:noFill/>
                  </pic:spPr>
                </pic:pic>
              </a:graphicData>
            </a:graphic>
          </wp:anchor>
        </w:drawing>
        <w:t>Exhibit 99.1</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Vaxcyte Reports Third Quarter 2020 Financial Results and Provides Business Update</w:t>
      </w:r>
    </w:p>
    <w:p>
      <w:pPr>
        <w:spacing w:after="0" w:line="229" w:lineRule="exact"/>
        <w:rPr>
          <w:sz w:val="20"/>
          <w:szCs w:val="20"/>
          <w:color w:val="auto"/>
        </w:rPr>
      </w:pPr>
    </w:p>
    <w:p>
      <w:pPr>
        <w:ind w:right="580"/>
        <w:spacing w:after="0" w:line="237" w:lineRule="auto"/>
        <w:rPr>
          <w:sz w:val="20"/>
          <w:szCs w:val="20"/>
          <w:color w:val="auto"/>
        </w:rPr>
      </w:pPr>
      <w:r>
        <w:rPr>
          <w:rFonts w:ascii="Arial" w:cs="Arial" w:eastAsia="Arial" w:hAnsi="Arial"/>
          <w:sz w:val="20"/>
          <w:szCs w:val="20"/>
          <w:b w:val="1"/>
          <w:bCs w:val="1"/>
          <w:color w:val="auto"/>
        </w:rPr>
        <w:t xml:space="preserve">Foster City, Calif., November 12, 2020 </w:t>
      </w:r>
      <w:r>
        <w:rPr>
          <w:rFonts w:ascii="Arial" w:cs="Arial" w:eastAsia="Arial" w:hAnsi="Arial"/>
          <w:sz w:val="20"/>
          <w:szCs w:val="20"/>
          <w:color w:val="auto"/>
        </w:rPr>
        <w:t>– Vaxcyte, Inc., formerly known as SutroVax, a next-generation vaccine company</w:t>
      </w:r>
      <w:r>
        <w:rPr>
          <w:rFonts w:ascii="Arial" w:cs="Arial" w:eastAsia="Arial" w:hAnsi="Arial"/>
          <w:sz w:val="20"/>
          <w:szCs w:val="20"/>
          <w:b w:val="1"/>
          <w:bCs w:val="1"/>
          <w:color w:val="auto"/>
        </w:rPr>
        <w:t xml:space="preserve"> </w:t>
      </w:r>
      <w:r>
        <w:rPr>
          <w:rFonts w:ascii="Arial" w:cs="Arial" w:eastAsia="Arial" w:hAnsi="Arial"/>
          <w:sz w:val="20"/>
          <w:szCs w:val="20"/>
          <w:color w:val="auto"/>
        </w:rPr>
        <w:t>seeking to improve global health by developing superior and</w:t>
      </w:r>
    </w:p>
    <w:p>
      <w:pPr>
        <w:spacing w:after="0" w:line="2" w:lineRule="exact"/>
        <w:rPr>
          <w:sz w:val="20"/>
          <w:szCs w:val="20"/>
          <w:color w:val="auto"/>
        </w:rPr>
      </w:pPr>
    </w:p>
    <w:p>
      <w:pPr>
        <w:ind w:right="800"/>
        <w:spacing w:after="0" w:line="236" w:lineRule="auto"/>
        <w:rPr>
          <w:sz w:val="20"/>
          <w:szCs w:val="20"/>
          <w:color w:val="auto"/>
        </w:rPr>
      </w:pPr>
      <w:r>
        <w:rPr>
          <w:rFonts w:ascii="Arial" w:cs="Arial" w:eastAsia="Arial" w:hAnsi="Arial"/>
          <w:sz w:val="20"/>
          <w:szCs w:val="20"/>
          <w:color w:val="auto"/>
        </w:rPr>
        <w:t>novel vaccines designed to prevent or treat some of the most common and deadly infectious diseases worldwide, today announced financial results for the third quarter ended September 30, 2020 and provided a business update.</w:t>
      </w:r>
    </w:p>
    <w:p>
      <w:pPr>
        <w:spacing w:after="0" w:line="223" w:lineRule="exact"/>
        <w:rPr>
          <w:sz w:val="20"/>
          <w:szCs w:val="20"/>
          <w:color w:val="auto"/>
        </w:rPr>
      </w:pPr>
    </w:p>
    <w:p>
      <w:pPr>
        <w:ind w:right="40"/>
        <w:spacing w:after="0" w:line="228" w:lineRule="auto"/>
        <w:rPr>
          <w:sz w:val="20"/>
          <w:szCs w:val="20"/>
          <w:color w:val="auto"/>
        </w:rPr>
      </w:pPr>
      <w:r>
        <w:rPr>
          <w:rFonts w:ascii="Arial" w:cs="Arial" w:eastAsia="Arial" w:hAnsi="Arial"/>
          <w:sz w:val="20"/>
          <w:szCs w:val="20"/>
          <w:color w:val="auto"/>
        </w:rPr>
        <w:t>“Vaxcyte continues to make steady progress in executing on our business objectives,” said Grant Pickering, Chief Executive Officer and Co-founder of Vaxcyte. “We advanced several important manufacturing activities for VAX-24, our 24-valent investigational pneumococcal conjugate vaccine, or PCV, designed to prevent invasive pneumococcal disease, as we proceed toward our anticipated IND filing in the second half of next year. In addition, we continued to progress our pipeline vaccines, including VAX-XP, our PCV candidate with an expanded breadth of coverage of at least 30 strains, as part of our PCV franchise life cycle management strategy. We also were pleased to further strengthen our leadership team, as we approach the clinic, with the additions of Rom Colindres as Chief Medical Officer and Sue Fekete as Vice President, Regulatory Affairs.”</w:t>
      </w:r>
    </w:p>
    <w:p>
      <w:pPr>
        <w:spacing w:after="0" w:line="20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Recent Highlights</w:t>
      </w:r>
    </w:p>
    <w:p>
      <w:pPr>
        <w:spacing w:after="0" w:line="229" w:lineRule="exact"/>
        <w:rPr>
          <w:sz w:val="20"/>
          <w:szCs w:val="20"/>
          <w:color w:val="auto"/>
        </w:rPr>
      </w:pPr>
    </w:p>
    <w:p>
      <w:pPr>
        <w:ind w:left="880" w:right="540" w:hanging="440"/>
        <w:spacing w:after="0" w:line="248" w:lineRule="auto"/>
        <w:tabs>
          <w:tab w:leader="none" w:pos="880" w:val="left"/>
        </w:tabs>
        <w:numPr>
          <w:ilvl w:val="0"/>
          <w:numId w:val="3"/>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Advanced VAX-24 Manufacturing Activities: </w:t>
      </w:r>
      <w:r>
        <w:rPr>
          <w:rFonts w:ascii="Arial" w:cs="Arial" w:eastAsia="Arial" w:hAnsi="Arial"/>
          <w:sz w:val="20"/>
          <w:szCs w:val="20"/>
          <w:color w:val="auto"/>
        </w:rPr>
        <w:t>Vaxcyte progressed several manufacturing initiatives for VAX-24,</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including for the good manufacturing practices (GMP) batches of the 24 polysaccharide antigens and the GMP batches of the 24 conjugate drug substances.</w:t>
      </w:r>
    </w:p>
    <w:p>
      <w:pPr>
        <w:spacing w:after="0" w:line="191" w:lineRule="exact"/>
        <w:rPr>
          <w:rFonts w:ascii="Arial" w:cs="Arial" w:eastAsia="Arial" w:hAnsi="Arial"/>
          <w:sz w:val="20"/>
          <w:szCs w:val="20"/>
          <w:color w:val="auto"/>
        </w:rPr>
      </w:pPr>
    </w:p>
    <w:p>
      <w:pPr>
        <w:ind w:left="880" w:hanging="440"/>
        <w:spacing w:after="0" w:line="229" w:lineRule="auto"/>
        <w:tabs>
          <w:tab w:leader="none" w:pos="880" w:val="left"/>
        </w:tabs>
        <w:numPr>
          <w:ilvl w:val="0"/>
          <w:numId w:val="3"/>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Appointed Romulo Colindres, MD, MPH as Chief Medical Officer: </w:t>
      </w:r>
      <w:r>
        <w:rPr>
          <w:rFonts w:ascii="Arial" w:cs="Arial" w:eastAsia="Arial" w:hAnsi="Arial"/>
          <w:sz w:val="20"/>
          <w:szCs w:val="20"/>
          <w:color w:val="auto"/>
        </w:rPr>
        <w:t>In November 2020, Vaxcyte appointed Romulo</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Colindres, MD, MPH as Chief Medical Officer. Prior to joining Vaxcyte, Dr. Colindres served in several roles at GlaxoSmithKline Vaccines and most recently served as an independent consultant and advisor to multiple biotechnology companies. From March 2007 to March 2019, Dr. Colindres served in roles of increasing responsibility at GlaxoSmithKline, including Head of Health Outcomes for GSK Vaccines Latin America, Head of Global Epidemiology for GSK Vaccines and, most recently, Vice President, Global Medical Affairs Lead, Zoster Vaccine, leading the medical team in the successful launch of Shingrix</w:t>
      </w:r>
      <w:r>
        <w:rPr>
          <w:rFonts w:ascii="Arial" w:cs="Arial" w:eastAsia="Arial" w:hAnsi="Arial"/>
          <w:sz w:val="16"/>
          <w:szCs w:val="16"/>
          <w:color w:val="auto"/>
        </w:rPr>
        <w:t>®</w:t>
      </w:r>
      <w:r>
        <w:rPr>
          <w:rFonts w:ascii="Arial" w:cs="Arial" w:eastAsia="Arial" w:hAnsi="Arial"/>
          <w:sz w:val="20"/>
          <w:szCs w:val="20"/>
          <w:color w:val="auto"/>
        </w:rPr>
        <w:t>, a recombinant adjuvanted herpes zoster vaccine. Prior to that, Dr. Colindres worked at the Centers for Disease Control and Prevention (CDC) as an Epidemic Intelligence Service Officer. He completed his residency at Children’s National Medical Center in Washington, DC and was board certified in Pediatrics. Dr. Colindres received both his MD and MPH at The University of North Carolina, Chapel Hill, and his MBA from Duke University’s Fuqua School of Business.</w:t>
      </w:r>
    </w:p>
    <w:p>
      <w:pPr>
        <w:spacing w:after="0" w:line="205" w:lineRule="exact"/>
        <w:rPr>
          <w:rFonts w:ascii="Arial" w:cs="Arial" w:eastAsia="Arial" w:hAnsi="Arial"/>
          <w:sz w:val="20"/>
          <w:szCs w:val="20"/>
          <w:color w:val="auto"/>
        </w:rPr>
      </w:pPr>
    </w:p>
    <w:p>
      <w:pPr>
        <w:ind w:left="880" w:right="20" w:hanging="440"/>
        <w:spacing w:after="0" w:line="260" w:lineRule="auto"/>
        <w:tabs>
          <w:tab w:leader="none" w:pos="880" w:val="left"/>
        </w:tabs>
        <w:numPr>
          <w:ilvl w:val="0"/>
          <w:numId w:val="3"/>
        </w:numPr>
        <w:rPr>
          <w:rFonts w:ascii="Arial" w:cs="Arial" w:eastAsia="Arial" w:hAnsi="Arial"/>
          <w:sz w:val="19"/>
          <w:szCs w:val="19"/>
          <w:color w:val="auto"/>
        </w:rPr>
      </w:pPr>
      <w:r>
        <w:rPr>
          <w:rFonts w:ascii="Arial" w:cs="Arial" w:eastAsia="Arial" w:hAnsi="Arial"/>
          <w:sz w:val="19"/>
          <w:szCs w:val="19"/>
          <w:b w:val="1"/>
          <w:bCs w:val="1"/>
          <w:i w:val="1"/>
          <w:iCs w:val="1"/>
          <w:color w:val="auto"/>
        </w:rPr>
        <w:t xml:space="preserve">Appointed Suzanna Fekete, MSc as Vice President, Regulatory Affairs: </w:t>
      </w:r>
      <w:r>
        <w:rPr>
          <w:rFonts w:ascii="Arial" w:cs="Arial" w:eastAsia="Arial" w:hAnsi="Arial"/>
          <w:sz w:val="19"/>
          <w:szCs w:val="19"/>
          <w:color w:val="auto"/>
        </w:rPr>
        <w:t>In October 2020, Vaxcyte appointed</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Suzanna Fekete, MSc as Vice President, Regulatory Affairs. Prior to joining Vaxcyte, Ms. Fekete served in roles of increasing responsibility at Takeda Vaccines since 2015, most recently as Vice President and Head, Global Regulatory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7149465"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129" w:right="339" w:bottom="1440" w:gutter="0" w:footer="0" w:header="0"/>
        </w:sectPr>
      </w:pPr>
    </w:p>
    <w:bookmarkStart w:id="4" w:name="page5"/>
    <w:bookmarkEnd w:id="4"/>
    <w:p>
      <w:pPr>
        <w:ind w:left="880" w:right="20"/>
        <w:spacing w:after="0" w:line="232" w:lineRule="auto"/>
        <w:rPr>
          <w:sz w:val="20"/>
          <w:szCs w:val="20"/>
          <w:color w:val="auto"/>
        </w:rPr>
      </w:pPr>
      <w:r>
        <w:rPr>
          <w:rFonts w:ascii="Arial" w:cs="Arial" w:eastAsia="Arial" w:hAnsi="Arial"/>
          <w:sz w:val="20"/>
          <w:szCs w:val="20"/>
          <w:color w:val="auto"/>
        </w:rPr>
        <w:t>Affairs. Ms. Fekete also served as Head, North American Regulatory Affairs at Novartis Vaccines and Diagnostics and held regulatory affairs leadership roles at multiple other pharmaceutical and biotechnology companies. Ms. Fekete received her MSc at the University of Wales.</w:t>
      </w:r>
    </w:p>
    <w:p>
      <w:pPr>
        <w:spacing w:after="0" w:line="20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Anticipated Milestones</w:t>
      </w:r>
    </w:p>
    <w:p>
      <w:pPr>
        <w:spacing w:after="0" w:line="226" w:lineRule="exact"/>
        <w:rPr>
          <w:sz w:val="20"/>
          <w:szCs w:val="20"/>
          <w:color w:val="auto"/>
        </w:rPr>
      </w:pPr>
    </w:p>
    <w:p>
      <w:pPr>
        <w:spacing w:after="0"/>
        <w:rPr>
          <w:sz w:val="20"/>
          <w:szCs w:val="20"/>
          <w:color w:val="auto"/>
        </w:rPr>
      </w:pPr>
      <w:r>
        <w:rPr>
          <w:rFonts w:ascii="Arial" w:cs="Arial" w:eastAsia="Arial" w:hAnsi="Arial"/>
          <w:sz w:val="20"/>
          <w:szCs w:val="20"/>
          <w:color w:val="auto"/>
        </w:rPr>
        <w:t>Vaxcyte reaffirmed its previously issued guidance for its pipeline programs.</w:t>
      </w:r>
    </w:p>
    <w:p>
      <w:pPr>
        <w:spacing w:after="0" w:line="178" w:lineRule="exact"/>
        <w:rPr>
          <w:sz w:val="20"/>
          <w:szCs w:val="20"/>
          <w:color w:val="auto"/>
        </w:rPr>
      </w:pPr>
    </w:p>
    <w:p>
      <w:pPr>
        <w:ind w:left="880" w:hanging="440"/>
        <w:spacing w:after="0" w:line="233" w:lineRule="auto"/>
        <w:tabs>
          <w:tab w:leader="none" w:pos="880" w:val="left"/>
        </w:tabs>
        <w:numPr>
          <w:ilvl w:val="0"/>
          <w:numId w:val="4"/>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VAX-24: </w:t>
      </w:r>
      <w:r>
        <w:rPr>
          <w:rFonts w:ascii="Arial" w:cs="Arial" w:eastAsia="Arial" w:hAnsi="Arial"/>
          <w:sz w:val="20"/>
          <w:szCs w:val="20"/>
          <w:color w:val="auto"/>
        </w:rPr>
        <w:t>Vaxcyte expects to submit an Investigational New Drug (IND) application for VAX-24 to the U.S. Food and</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Drug Administration (FDA) and initiate its Phase 1/2 clinical proof-of-concept study in the second half of 2021. Vaxcyte expects to announce topline data from this study in 2022.</w:t>
      </w:r>
    </w:p>
    <w:p>
      <w:pPr>
        <w:spacing w:after="0" w:line="2" w:lineRule="exact"/>
        <w:rPr>
          <w:rFonts w:ascii="Arial" w:cs="Arial" w:eastAsia="Arial" w:hAnsi="Arial"/>
          <w:sz w:val="20"/>
          <w:szCs w:val="20"/>
          <w:color w:val="auto"/>
        </w:rPr>
      </w:pPr>
    </w:p>
    <w:p>
      <w:pPr>
        <w:ind w:left="880" w:right="80" w:hanging="440"/>
        <w:spacing w:after="0" w:line="225" w:lineRule="auto"/>
        <w:tabs>
          <w:tab w:leader="none" w:pos="880" w:val="left"/>
        </w:tabs>
        <w:numPr>
          <w:ilvl w:val="0"/>
          <w:numId w:val="4"/>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VAX-A1: </w:t>
      </w:r>
      <w:r>
        <w:rPr>
          <w:rFonts w:ascii="Arial" w:cs="Arial" w:eastAsia="Arial" w:hAnsi="Arial"/>
          <w:sz w:val="20"/>
          <w:szCs w:val="20"/>
          <w:color w:val="auto"/>
        </w:rPr>
        <w:t>In 2021, Vaxcyte expects to nominate a final vaccine candidate for VAX-A1, its novel conjugate vaccine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designed to provide universal protection from infections caused by Group A Strep bacteria, which include pharyngitis, toxic shock syndrome and necrotizing fasciitis.</w:t>
      </w:r>
    </w:p>
    <w:p>
      <w:pPr>
        <w:spacing w:after="0" w:line="1" w:lineRule="exact"/>
        <w:rPr>
          <w:rFonts w:ascii="Arial" w:cs="Arial" w:eastAsia="Arial" w:hAnsi="Arial"/>
          <w:sz w:val="20"/>
          <w:szCs w:val="20"/>
          <w:color w:val="auto"/>
        </w:rPr>
      </w:pPr>
    </w:p>
    <w:p>
      <w:pPr>
        <w:ind w:left="880" w:right="280" w:hanging="440"/>
        <w:spacing w:after="0" w:line="236" w:lineRule="auto"/>
        <w:tabs>
          <w:tab w:leader="none" w:pos="880" w:val="left"/>
        </w:tabs>
        <w:numPr>
          <w:ilvl w:val="0"/>
          <w:numId w:val="4"/>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VAX-PG: </w:t>
      </w:r>
      <w:r>
        <w:rPr>
          <w:rFonts w:ascii="Arial" w:cs="Arial" w:eastAsia="Arial" w:hAnsi="Arial"/>
          <w:sz w:val="20"/>
          <w:szCs w:val="20"/>
          <w:color w:val="auto"/>
        </w:rPr>
        <w:t>In 2021, Vaxcyte expects to nominate a final vaccine candidate for VAX-PG, its novel therapeutic vaccine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designed to treat periodontal disease.</w:t>
      </w:r>
    </w:p>
    <w:p>
      <w:pPr>
        <w:spacing w:after="0" w:line="19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Third Quarter 2020 Financial Results</w:t>
      </w:r>
    </w:p>
    <w:p>
      <w:pPr>
        <w:spacing w:after="0" w:line="229" w:lineRule="exact"/>
        <w:rPr>
          <w:sz w:val="20"/>
          <w:szCs w:val="20"/>
          <w:color w:val="auto"/>
        </w:rPr>
      </w:pPr>
    </w:p>
    <w:p>
      <w:pPr>
        <w:ind w:left="880" w:right="40" w:hanging="440"/>
        <w:spacing w:after="0" w:line="233" w:lineRule="auto"/>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Cash Position: </w:t>
      </w:r>
      <w:r>
        <w:rPr>
          <w:rFonts w:ascii="Arial" w:cs="Arial" w:eastAsia="Arial" w:hAnsi="Arial"/>
          <w:sz w:val="20"/>
          <w:szCs w:val="20"/>
          <w:color w:val="auto"/>
        </w:rPr>
        <w:t>Cash and cash equivalents were $397.0 million as of September 30, 2020, compared to $59.0 million</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as of December 31, 2019, an increase due to Vaxcyte’s IPO in June 2020 and Series D financing in March 2020, which generated net proceeds of $264.0 million and $109.9 million, respectively.</w:t>
      </w:r>
    </w:p>
    <w:p>
      <w:pPr>
        <w:spacing w:after="0" w:line="2" w:lineRule="exact"/>
        <w:rPr>
          <w:rFonts w:ascii="Arial" w:cs="Arial" w:eastAsia="Arial" w:hAnsi="Arial"/>
          <w:sz w:val="20"/>
          <w:szCs w:val="20"/>
          <w:color w:val="auto"/>
        </w:rPr>
      </w:pPr>
    </w:p>
    <w:p>
      <w:pPr>
        <w:ind w:left="880" w:right="260" w:hanging="440"/>
        <w:spacing w:after="0" w:line="237" w:lineRule="auto"/>
        <w:tabs>
          <w:tab w:leader="none" w:pos="880" w:val="left"/>
        </w:tabs>
        <w:numPr>
          <w:ilvl w:val="0"/>
          <w:numId w:val="5"/>
        </w:numPr>
        <w:rPr>
          <w:rFonts w:ascii="Arial" w:cs="Arial" w:eastAsia="Arial" w:hAnsi="Arial"/>
          <w:sz w:val="19"/>
          <w:szCs w:val="19"/>
          <w:color w:val="auto"/>
        </w:rPr>
      </w:pPr>
      <w:r>
        <w:rPr>
          <w:rFonts w:ascii="Arial" w:cs="Arial" w:eastAsia="Arial" w:hAnsi="Arial"/>
          <w:sz w:val="19"/>
          <w:szCs w:val="19"/>
          <w:b w:val="1"/>
          <w:bCs w:val="1"/>
          <w:i w:val="1"/>
          <w:iCs w:val="1"/>
          <w:color w:val="auto"/>
        </w:rPr>
        <w:t xml:space="preserve">Research &amp; Development (R&amp;D) Expenses: </w:t>
      </w:r>
      <w:r>
        <w:rPr>
          <w:rFonts w:ascii="Arial" w:cs="Arial" w:eastAsia="Arial" w:hAnsi="Arial"/>
          <w:sz w:val="19"/>
          <w:szCs w:val="19"/>
          <w:color w:val="auto"/>
        </w:rPr>
        <w:t>R&amp;D expenses were $16.4 million for the three months ended</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September 30, 2020 as compared to $9.6 million for the same period in 2019. The increase was due primarily to an increase in manufacturing expenses and outsourced research services related to the Company’s VAX-24 program.</w:t>
      </w:r>
    </w:p>
    <w:p>
      <w:pPr>
        <w:ind w:left="880" w:right="260" w:hanging="440"/>
        <w:spacing w:after="0" w:line="232" w:lineRule="auto"/>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General &amp; Administrative (G&amp;A) Expenses: </w:t>
      </w:r>
      <w:r>
        <w:rPr>
          <w:rFonts w:ascii="Arial" w:cs="Arial" w:eastAsia="Arial" w:hAnsi="Arial"/>
          <w:sz w:val="20"/>
          <w:szCs w:val="20"/>
          <w:color w:val="auto"/>
        </w:rPr>
        <w:t>G&amp;A expenses were $4.9 million for the three months ended</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September 30, 2020 as compared to $2.5 million for the same period in 2019. The increase was due primarily to an increase in personnel-related and directors and officers insurance expenses.</w:t>
      </w:r>
    </w:p>
    <w:p>
      <w:pPr>
        <w:spacing w:after="0" w:line="200" w:lineRule="exact"/>
        <w:rPr>
          <w:rFonts w:ascii="Arial" w:cs="Arial" w:eastAsia="Arial" w:hAnsi="Arial"/>
          <w:sz w:val="20"/>
          <w:szCs w:val="20"/>
          <w:color w:val="auto"/>
        </w:rPr>
      </w:pPr>
    </w:p>
    <w:p>
      <w:pPr>
        <w:ind w:left="880" w:right="60" w:hanging="440"/>
        <w:spacing w:after="0" w:line="257" w:lineRule="auto"/>
        <w:tabs>
          <w:tab w:leader="none" w:pos="880" w:val="left"/>
        </w:tabs>
        <w:numPr>
          <w:ilvl w:val="0"/>
          <w:numId w:val="5"/>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Net Loss: </w:t>
      </w:r>
      <w:r>
        <w:rPr>
          <w:rFonts w:ascii="Arial" w:cs="Arial" w:eastAsia="Arial" w:hAnsi="Arial"/>
          <w:sz w:val="20"/>
          <w:szCs w:val="20"/>
          <w:color w:val="auto"/>
        </w:rPr>
        <w:t>For the three months ended September 30, 2020, net loss was $21.0 million, compared to $11.3 million for</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the three months ended September 30, 2019.</w:t>
      </w:r>
    </w:p>
    <w:p>
      <w:pPr>
        <w:spacing w:after="0" w:line="18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Vaxcyte</w:t>
      </w:r>
    </w:p>
    <w:p>
      <w:pPr>
        <w:spacing w:after="0" w:line="10" w:lineRule="exact"/>
        <w:rPr>
          <w:sz w:val="20"/>
          <w:szCs w:val="20"/>
          <w:color w:val="auto"/>
        </w:rPr>
      </w:pPr>
    </w:p>
    <w:p>
      <w:pPr>
        <w:ind w:right="80"/>
        <w:spacing w:after="0" w:line="228" w:lineRule="auto"/>
        <w:rPr>
          <w:sz w:val="20"/>
          <w:szCs w:val="20"/>
          <w:color w:val="auto"/>
        </w:rPr>
      </w:pPr>
      <w:r>
        <w:rPr>
          <w:rFonts w:ascii="Arial" w:cs="Arial" w:eastAsia="Arial" w:hAnsi="Arial"/>
          <w:sz w:val="20"/>
          <w:szCs w:val="20"/>
          <w:color w:val="auto"/>
        </w:rPr>
        <w:t>Vaxcyte is a next-generation vaccine company seeking to improve global health by developing superior and novel vaccines designed to prevent or treat some of the most common and deadly infectious diseases worldwide. The Company’s cell-free protein synthesis platform, comprising the XpressCF</w:t>
      </w:r>
      <w:r>
        <w:rPr>
          <w:rFonts w:ascii="Arial" w:cs="Arial" w:eastAsia="Arial" w:hAnsi="Arial"/>
          <w:sz w:val="16"/>
          <w:szCs w:val="16"/>
          <w:color w:val="auto"/>
        </w:rPr>
        <w:t>TM</w:t>
      </w:r>
      <w:r>
        <w:rPr>
          <w:rFonts w:ascii="Arial" w:cs="Arial" w:eastAsia="Arial" w:hAnsi="Arial"/>
          <w:sz w:val="20"/>
          <w:szCs w:val="20"/>
          <w:color w:val="auto"/>
        </w:rPr>
        <w:t xml:space="preserve"> platform, exclusively licensed from Sutro Biopharma, Inc., together with Vaxcyte’s proprietary know-how, enables the design and production of protein carriers and antigens, the critical building blocks of vaccines, in ways that the Company believes conventional vaccine technologies currently cannot. Vaxcyte’s lead vaccine candidate, VAX-24, is a preclinical, 24-valent broad-spectrum pneumococcal conjugate vaccine (PCV) being developed for the prevention of invasive pneumococcal disease (IPD). Vaxcyte’s pipeline also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59690</wp:posOffset>
            </wp:positionV>
            <wp:extent cx="7149465"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00"/>
          </w:cols>
          <w:pgMar w:left="320" w:top="136" w:right="379" w:bottom="1440" w:gutter="0" w:footer="0" w:header="0"/>
        </w:sectPr>
      </w:pPr>
    </w:p>
    <w:bookmarkStart w:id="5" w:name="page6"/>
    <w:bookmarkEnd w:id="5"/>
    <w:p>
      <w:pPr>
        <w:ind w:right="420"/>
        <w:spacing w:after="0" w:line="229" w:lineRule="auto"/>
        <w:rPr>
          <w:sz w:val="20"/>
          <w:szCs w:val="20"/>
          <w:color w:val="auto"/>
        </w:rPr>
      </w:pPr>
      <w:r>
        <w:rPr>
          <w:rFonts w:ascii="Arial" w:cs="Arial" w:eastAsia="Arial" w:hAnsi="Arial"/>
          <w:sz w:val="20"/>
          <w:szCs w:val="20"/>
          <w:color w:val="auto"/>
        </w:rPr>
        <w:t xml:space="preserve">includes VAX-XP, a PCV with an expanded breadth of coverage of at least 30 strains, including newly emerging strains responsible for IPD and antibiotic resistance; VAX-A1, a prophylactic vaccine candidate designed to prevent Group A Strep infections; and VAX-PG, a therapeutic vaccine candidate designed to slow or stop the progression of periodontal disease by targeting the keystone pathogen responsible for this chronic, oral inflammatory disease. For more information, visit </w:t>
      </w:r>
      <w:r>
        <w:rPr>
          <w:rFonts w:ascii="Arial" w:cs="Arial" w:eastAsia="Arial" w:hAnsi="Arial"/>
          <w:sz w:val="20"/>
          <w:szCs w:val="20"/>
          <w:u w:val="single" w:color="auto"/>
          <w:color w:val="auto"/>
        </w:rPr>
        <w:t>www.vaxcyte.com</w:t>
      </w:r>
      <w:r>
        <w:rPr>
          <w:rFonts w:ascii="Arial" w:cs="Arial" w:eastAsia="Arial" w:hAnsi="Arial"/>
          <w:sz w:val="20"/>
          <w:szCs w:val="20"/>
          <w:color w:val="auto"/>
        </w:rPr>
        <w:t>.</w:t>
      </w:r>
    </w:p>
    <w:p>
      <w:pPr>
        <w:spacing w:after="0" w:line="20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Forward-Looking Statements</w:t>
      </w:r>
    </w:p>
    <w:p>
      <w:pPr>
        <w:spacing w:after="0" w:line="10" w:lineRule="exact"/>
        <w:rPr>
          <w:sz w:val="20"/>
          <w:szCs w:val="20"/>
          <w:color w:val="auto"/>
        </w:rPr>
      </w:pPr>
    </w:p>
    <w:p>
      <w:pPr>
        <w:spacing w:after="0"/>
        <w:rPr>
          <w:sz w:val="20"/>
          <w:szCs w:val="20"/>
          <w:color w:val="auto"/>
        </w:rPr>
      </w:pPr>
      <w:r>
        <w:rPr>
          <w:rFonts w:ascii="Arial" w:cs="Arial" w:eastAsia="Arial" w:hAnsi="Arial"/>
          <w:sz w:val="19"/>
          <w:szCs w:val="19"/>
          <w:color w:val="auto"/>
        </w:rPr>
        <w:t>This press release contains forward-looking statements within the meaning of The Private Securities Litigation Reform Act of 1995. These statements include, but are not limited to, statements related to the process and timing of anticipated future development of Vaxcyte’s vaccine candidates, including the submission of an IND and initiation of a Phase 1/2 study of VAX-24 in the second half of 2021 and the announcement of topline data in 2022; the nomination of a final vaccine candidate for VAX-A1 in 2021 and the nomination of a final vaccine candidate for VAX-PG in 2021. The words “anticipate,” “believe,” “continue,” “could,” “estimate,” “expect,” “intend,” “may,” “plan,” “potential,” “predict,” “project,” “should,” “target,” “will,” “would” and similar expressions are intended to identify forward-looking statements, although not all forward-looking statements contain these identifying words. These forward-looking statements are based on Vaxcyte’s current expectations and actual results and timing of events could differ materially from those anticipated in such forward-looking statements as a result of risks and uncertainties, including, without limitation, risks related to Vaxcyte’s product development programs, including development timelines, success and timing of chemistry, manufacturing and controls and related manufacturing activities, potential delays or inability to obtain and maintain required regulatory approvals for its vaccine candidates, and the risks and uncertainties inherent with preclinical and clinical development processes; the success, cost and timing of all development activities and clinical trials; and sufficiency of cash and other funding to support Vaxcyte’s development programs and other operating expenses. These and other risks are described more fully in Vaxcyte’s filings with the Securities and Exchange Commission (SEC), including its Quarterly Report on Form 10-Q filed with the SEC on November 12, 2020 or in other documents Vaxcyte subsequently files with or furnishes to the SEC. Vaxcyte undertakes no duty or obligation to update any forward-looking statements contained in this release as a result of new information, future events or changes in its expectations. Readers should not rely upon the information in this press release as current or accurate after its publication date.</w:t>
      </w: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 #</w:t>
      </w:r>
    </w:p>
    <w:p>
      <w:pPr>
        <w:spacing w:after="0" w:line="20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Investor Contact:</w:t>
      </w:r>
    </w:p>
    <w:p>
      <w:pPr>
        <w:spacing w:after="0" w:line="10" w:lineRule="exact"/>
        <w:rPr>
          <w:sz w:val="20"/>
          <w:szCs w:val="20"/>
          <w:color w:val="auto"/>
        </w:rPr>
      </w:pPr>
    </w:p>
    <w:p>
      <w:pPr>
        <w:ind w:right="5120"/>
        <w:spacing w:after="0" w:line="225" w:lineRule="auto"/>
        <w:rPr>
          <w:sz w:val="20"/>
          <w:szCs w:val="20"/>
          <w:color w:val="auto"/>
        </w:rPr>
      </w:pPr>
      <w:r>
        <w:rPr>
          <w:rFonts w:ascii="Arial" w:cs="Arial" w:eastAsia="Arial" w:hAnsi="Arial"/>
          <w:sz w:val="20"/>
          <w:szCs w:val="20"/>
          <w:color w:val="auto"/>
        </w:rPr>
        <w:t>Andrew Guggenhime, Chief Financial Officer &amp; Chief Business Officer Vaxcyte, Inc.</w:t>
      </w:r>
    </w:p>
    <w:p>
      <w:pPr>
        <w:spacing w:after="0" w:line="226" w:lineRule="auto"/>
        <w:rPr>
          <w:sz w:val="20"/>
          <w:szCs w:val="20"/>
          <w:color w:val="auto"/>
        </w:rPr>
      </w:pPr>
      <w:r>
        <w:rPr>
          <w:rFonts w:ascii="Arial" w:cs="Arial" w:eastAsia="Arial" w:hAnsi="Arial"/>
          <w:sz w:val="20"/>
          <w:szCs w:val="20"/>
          <w:color w:val="auto"/>
        </w:rPr>
        <w:t>650-837-0111</w:t>
      </w:r>
    </w:p>
    <w:p>
      <w:pPr>
        <w:spacing w:after="0"/>
        <w:rPr>
          <w:sz w:val="20"/>
          <w:szCs w:val="20"/>
          <w:color w:val="auto"/>
        </w:rPr>
      </w:pPr>
      <w:r>
        <w:rPr>
          <w:rFonts w:ascii="Arial" w:cs="Arial" w:eastAsia="Arial" w:hAnsi="Arial"/>
          <w:sz w:val="20"/>
          <w:szCs w:val="20"/>
          <w:color w:val="auto"/>
        </w:rPr>
        <w:t>investors@vaxcyte.com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508000</wp:posOffset>
            </wp:positionV>
            <wp:extent cx="7149465"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35" w:right="339" w:bottom="1440" w:gutter="0" w:footer="0" w:header="0"/>
        </w:sectPr>
      </w:pPr>
    </w:p>
    <w:bookmarkStart w:id="6" w:name="page7"/>
    <w:bookmarkEnd w:id="6"/>
    <w:p>
      <w:pPr>
        <w:jc w:val="center"/>
        <w:ind w:right="120"/>
        <w:spacing w:after="0"/>
        <w:rPr>
          <w:sz w:val="20"/>
          <w:szCs w:val="20"/>
          <w:color w:val="auto"/>
        </w:rPr>
      </w:pPr>
      <w:r>
        <w:rPr>
          <w:rFonts w:ascii="Arial" w:cs="Arial" w:eastAsia="Arial" w:hAnsi="Arial"/>
          <w:sz w:val="18"/>
          <w:szCs w:val="18"/>
          <w:b w:val="1"/>
          <w:bCs w:val="1"/>
          <w:color w:val="auto"/>
        </w:rPr>
        <w:t>Vaxcyte, Inc.</w:t>
      </w:r>
    </w:p>
    <w:p>
      <w:pPr>
        <w:spacing w:after="0" w:line="31" w:lineRule="exact"/>
        <w:rPr>
          <w:sz w:val="20"/>
          <w:szCs w:val="20"/>
          <w:color w:val="auto"/>
        </w:rPr>
      </w:pPr>
    </w:p>
    <w:p>
      <w:pPr>
        <w:jc w:val="center"/>
        <w:ind w:right="120"/>
        <w:spacing w:after="0"/>
        <w:rPr>
          <w:sz w:val="20"/>
          <w:szCs w:val="20"/>
          <w:color w:val="auto"/>
        </w:rPr>
      </w:pPr>
      <w:r>
        <w:rPr>
          <w:rFonts w:ascii="Arial" w:cs="Arial" w:eastAsia="Arial" w:hAnsi="Arial"/>
          <w:sz w:val="18"/>
          <w:szCs w:val="18"/>
          <w:b w:val="1"/>
          <w:bCs w:val="1"/>
          <w:color w:val="auto"/>
        </w:rPr>
        <w:t>Condensed Statements of Operations</w:t>
      </w:r>
    </w:p>
    <w:p>
      <w:pPr>
        <w:spacing w:after="0" w:line="9" w:lineRule="exact"/>
        <w:rPr>
          <w:sz w:val="20"/>
          <w:szCs w:val="20"/>
          <w:color w:val="auto"/>
        </w:rPr>
      </w:pPr>
    </w:p>
    <w:p>
      <w:pPr>
        <w:jc w:val="center"/>
        <w:ind w:right="120"/>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9" w:lineRule="exact"/>
        <w:rPr>
          <w:sz w:val="20"/>
          <w:szCs w:val="20"/>
          <w:color w:val="auto"/>
        </w:rPr>
      </w:pPr>
    </w:p>
    <w:p>
      <w:pPr>
        <w:jc w:val="center"/>
        <w:ind w:right="120"/>
        <w:spacing w:after="0"/>
        <w:rPr>
          <w:sz w:val="20"/>
          <w:szCs w:val="20"/>
          <w:color w:val="auto"/>
        </w:rPr>
      </w:pPr>
      <w:r>
        <w:rPr>
          <w:rFonts w:ascii="Arial" w:cs="Arial" w:eastAsia="Arial" w:hAnsi="Arial"/>
          <w:sz w:val="18"/>
          <w:szCs w:val="18"/>
          <w:b w:val="1"/>
          <w:bCs w:val="1"/>
          <w:color w:val="auto"/>
        </w:rPr>
        <w:t>(unaudited)</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120" w:type="dxa"/>
            <w:vAlign w:val="bottom"/>
            <w:gridSpan w:val="6"/>
          </w:tcPr>
          <w:p>
            <w:pPr>
              <w:jc w:val="right"/>
              <w:ind w:right="1000"/>
              <w:spacing w:after="0"/>
              <w:rPr>
                <w:sz w:val="20"/>
                <w:szCs w:val="20"/>
                <w:color w:val="auto"/>
              </w:rPr>
            </w:pPr>
            <w:r>
              <w:rPr>
                <w:rFonts w:ascii="Arial" w:cs="Arial" w:eastAsia="Arial" w:hAnsi="Arial"/>
                <w:sz w:val="18"/>
                <w:szCs w:val="18"/>
                <w:b w:val="1"/>
                <w:bCs w:val="1"/>
                <w:color w:val="auto"/>
              </w:rPr>
              <w:t>Three Months Ended</w:t>
            </w:r>
          </w:p>
        </w:tc>
        <w:tc>
          <w:tcPr>
            <w:tcW w:w="200" w:type="dxa"/>
            <w:vAlign w:val="bottom"/>
          </w:tcPr>
          <w:p>
            <w:pPr>
              <w:spacing w:after="0"/>
              <w:rPr>
                <w:sz w:val="18"/>
                <w:szCs w:val="18"/>
                <w:color w:val="auto"/>
              </w:rPr>
            </w:pPr>
          </w:p>
        </w:tc>
        <w:tc>
          <w:tcPr>
            <w:tcW w:w="2640" w:type="dxa"/>
            <w:vAlign w:val="bottom"/>
            <w:gridSpan w:val="6"/>
          </w:tcPr>
          <w:p>
            <w:pPr>
              <w:jc w:val="right"/>
              <w:ind w:right="640"/>
              <w:spacing w:after="0"/>
              <w:rPr>
                <w:sz w:val="20"/>
                <w:szCs w:val="20"/>
                <w:color w:val="auto"/>
              </w:rPr>
            </w:pPr>
            <w:r>
              <w:rPr>
                <w:rFonts w:ascii="Arial" w:cs="Arial" w:eastAsia="Arial" w:hAnsi="Arial"/>
                <w:sz w:val="18"/>
                <w:szCs w:val="18"/>
                <w:b w:val="1"/>
                <w:bCs w:val="1"/>
                <w:color w:val="auto"/>
              </w:rPr>
              <w:t>Nine Months Ended</w:t>
            </w:r>
          </w:p>
        </w:tc>
      </w:tr>
      <w:tr>
        <w:trPr>
          <w:trHeight w:val="225"/>
        </w:trPr>
        <w:tc>
          <w:tcPr>
            <w:tcW w:w="50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40" w:type="dxa"/>
            <w:vAlign w:val="bottom"/>
            <w:gridSpan w:val="4"/>
          </w:tcPr>
          <w:p>
            <w:pPr>
              <w:jc w:val="right"/>
              <w:spacing w:after="0"/>
              <w:rPr>
                <w:sz w:val="20"/>
                <w:szCs w:val="20"/>
                <w:color w:val="auto"/>
              </w:rPr>
            </w:pPr>
            <w:r>
              <w:rPr>
                <w:rFonts w:ascii="Arial" w:cs="Arial" w:eastAsia="Arial" w:hAnsi="Arial"/>
                <w:sz w:val="18"/>
                <w:szCs w:val="18"/>
                <w:b w:val="1"/>
                <w:bCs w:val="1"/>
                <w:color w:val="auto"/>
              </w:rPr>
              <w:t>September 30,</w:t>
            </w:r>
          </w:p>
        </w:tc>
        <w:tc>
          <w:tcPr>
            <w:tcW w:w="8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40" w:type="dxa"/>
            <w:vAlign w:val="bottom"/>
            <w:gridSpan w:val="6"/>
          </w:tcPr>
          <w:p>
            <w:pPr>
              <w:jc w:val="right"/>
              <w:ind w:right="860"/>
              <w:spacing w:after="0"/>
              <w:rPr>
                <w:sz w:val="20"/>
                <w:szCs w:val="20"/>
                <w:color w:val="auto"/>
              </w:rPr>
            </w:pPr>
            <w:r>
              <w:rPr>
                <w:rFonts w:ascii="Arial" w:cs="Arial" w:eastAsia="Arial" w:hAnsi="Arial"/>
                <w:sz w:val="18"/>
                <w:szCs w:val="18"/>
                <w:b w:val="1"/>
                <w:bCs w:val="1"/>
                <w:color w:val="auto"/>
              </w:rPr>
              <w:t>September 30,</w:t>
            </w:r>
          </w:p>
        </w:tc>
      </w:tr>
      <w:tr>
        <w:trPr>
          <w:trHeight w:val="210"/>
        </w:trPr>
        <w:tc>
          <w:tcPr>
            <w:tcW w:w="5080" w:type="dxa"/>
            <w:vAlign w:val="bottom"/>
            <w:tcBorders>
              <w:bottom w:val="single" w:sz="8" w:color="CFF0FC"/>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2020</w:t>
            </w:r>
          </w:p>
        </w:tc>
        <w:tc>
          <w:tcPr>
            <w:tcW w:w="260" w:type="dxa"/>
            <w:vAlign w:val="bottom"/>
            <w:tcBorders>
              <w:top w:val="single" w:sz="8" w:color="auto"/>
              <w:bottom w:val="single" w:sz="8" w:color="CFF0FC"/>
            </w:tcBorders>
          </w:tcPr>
          <w:p>
            <w:pPr>
              <w:spacing w:after="0"/>
              <w:rPr>
                <w:sz w:val="18"/>
                <w:szCs w:val="18"/>
                <w:color w:val="auto"/>
              </w:rPr>
            </w:pPr>
          </w:p>
        </w:tc>
        <w:tc>
          <w:tcPr>
            <w:tcW w:w="200" w:type="dxa"/>
            <w:vAlign w:val="bottom"/>
            <w:tcBorders>
              <w:top w:val="single" w:sz="8" w:color="auto"/>
              <w:bottom w:val="single" w:sz="8" w:color="CFF0FC"/>
            </w:tcBorders>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w w:val="99"/>
              </w:rPr>
              <w:t>2019</w:t>
            </w:r>
          </w:p>
        </w:tc>
        <w:tc>
          <w:tcPr>
            <w:tcW w:w="460" w:type="dxa"/>
            <w:vAlign w:val="bottom"/>
            <w:tcBorders>
              <w:bottom w:val="single" w:sz="8" w:color="CFF0FC"/>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102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2020</w:t>
            </w:r>
          </w:p>
        </w:tc>
        <w:tc>
          <w:tcPr>
            <w:tcW w:w="180" w:type="dxa"/>
            <w:vAlign w:val="bottom"/>
            <w:tcBorders>
              <w:top w:val="single" w:sz="8" w:color="auto"/>
              <w:bottom w:val="single" w:sz="8" w:color="CFF0FC"/>
            </w:tcBorders>
          </w:tcPr>
          <w:p>
            <w:pPr>
              <w:spacing w:after="0"/>
              <w:rPr>
                <w:sz w:val="18"/>
                <w:szCs w:val="18"/>
                <w:color w:val="auto"/>
              </w:rPr>
            </w:pPr>
          </w:p>
        </w:tc>
        <w:tc>
          <w:tcPr>
            <w:tcW w:w="100" w:type="dxa"/>
            <w:vAlign w:val="bottom"/>
            <w:tcBorders>
              <w:top w:val="single" w:sz="8" w:color="auto"/>
              <w:bottom w:val="single" w:sz="8" w:color="CFF0F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18"/>
                <w:szCs w:val="18"/>
                <w:color w:val="auto"/>
              </w:rPr>
            </w:pPr>
          </w:p>
        </w:tc>
      </w:tr>
      <w:tr>
        <w:trPr>
          <w:trHeight w:val="209"/>
        </w:trPr>
        <w:tc>
          <w:tcPr>
            <w:tcW w:w="5080" w:type="dxa"/>
            <w:vAlign w:val="bottom"/>
            <w:shd w:val="clear" w:color="auto" w:fill="CFF0FC"/>
          </w:tcPr>
          <w:p>
            <w:pPr>
              <w:spacing w:after="0"/>
              <w:rPr>
                <w:sz w:val="20"/>
                <w:szCs w:val="20"/>
                <w:color w:val="auto"/>
              </w:rPr>
            </w:pPr>
            <w:r>
              <w:rPr>
                <w:rFonts w:ascii="Arial" w:cs="Arial" w:eastAsia="Arial" w:hAnsi="Arial"/>
                <w:sz w:val="18"/>
                <w:szCs w:val="18"/>
                <w:color w:val="auto"/>
              </w:rPr>
              <w:t>Operating expenses:</w:t>
            </w:r>
          </w:p>
        </w:tc>
        <w:tc>
          <w:tcPr>
            <w:tcW w:w="20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16"/>
        </w:trPr>
        <w:tc>
          <w:tcPr>
            <w:tcW w:w="5080" w:type="dxa"/>
            <w:vAlign w:val="bottom"/>
          </w:tcPr>
          <w:p>
            <w:pPr>
              <w:ind w:left="140"/>
              <w:spacing w:after="0"/>
              <w:rPr>
                <w:sz w:val="20"/>
                <w:szCs w:val="20"/>
                <w:color w:val="auto"/>
              </w:rPr>
            </w:pPr>
            <w:r>
              <w:rPr>
                <w:rFonts w:ascii="Arial" w:cs="Arial" w:eastAsia="Arial" w:hAnsi="Arial"/>
                <w:sz w:val="18"/>
                <w:szCs w:val="18"/>
                <w:color w:val="auto"/>
              </w:rPr>
              <w:t xml:space="preserve">Research and development </w:t>
            </w:r>
            <w:r>
              <w:rPr>
                <w:rFonts w:ascii="Arial" w:cs="Arial" w:eastAsia="Arial" w:hAnsi="Arial"/>
                <w:sz w:val="15"/>
                <w:szCs w:val="15"/>
                <w:color w:val="auto"/>
              </w:rPr>
              <w:t>(1)</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16,410</w:t>
            </w:r>
          </w:p>
        </w:tc>
        <w:tc>
          <w:tcPr>
            <w:tcW w:w="260" w:type="dxa"/>
            <w:vAlign w:val="bottom"/>
          </w:tcPr>
          <w:p>
            <w:pPr>
              <w:spacing w:after="0"/>
              <w:rPr>
                <w:sz w:val="18"/>
                <w:szCs w:val="18"/>
                <w:color w:val="auto"/>
              </w:rPr>
            </w:pPr>
          </w:p>
        </w:tc>
        <w:tc>
          <w:tcPr>
            <w:tcW w:w="5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9,630</w:t>
            </w:r>
          </w:p>
        </w:tc>
        <w:tc>
          <w:tcPr>
            <w:tcW w:w="46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58,903</w:t>
            </w:r>
          </w:p>
        </w:tc>
        <w:tc>
          <w:tcPr>
            <w:tcW w:w="180" w:type="dxa"/>
            <w:vAlign w:val="bottom"/>
          </w:tcPr>
          <w:p>
            <w:pPr>
              <w:spacing w:after="0"/>
              <w:rPr>
                <w:sz w:val="18"/>
                <w:szCs w:val="18"/>
                <w:color w:val="auto"/>
              </w:rPr>
            </w:pP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32,225</w:t>
            </w:r>
          </w:p>
        </w:tc>
        <w:tc>
          <w:tcPr>
            <w:tcW w:w="120" w:type="dxa"/>
            <w:vAlign w:val="bottom"/>
          </w:tcPr>
          <w:p>
            <w:pPr>
              <w:spacing w:after="0"/>
              <w:rPr>
                <w:sz w:val="18"/>
                <w:szCs w:val="18"/>
                <w:color w:val="auto"/>
              </w:rPr>
            </w:pPr>
          </w:p>
        </w:tc>
      </w:tr>
      <w:tr>
        <w:trPr>
          <w:trHeight w:val="216"/>
        </w:trPr>
        <w:tc>
          <w:tcPr>
            <w:tcW w:w="5080" w:type="dxa"/>
            <w:vAlign w:val="bottom"/>
            <w:shd w:val="clear" w:color="auto" w:fill="CFF0FC"/>
          </w:tcPr>
          <w:p>
            <w:pPr>
              <w:ind w:left="140"/>
              <w:spacing w:after="0"/>
              <w:rPr>
                <w:sz w:val="20"/>
                <w:szCs w:val="20"/>
                <w:color w:val="auto"/>
              </w:rPr>
            </w:pPr>
            <w:r>
              <w:rPr>
                <w:rFonts w:ascii="Arial" w:cs="Arial" w:eastAsia="Arial" w:hAnsi="Arial"/>
                <w:sz w:val="18"/>
                <w:szCs w:val="18"/>
                <w:color w:val="auto"/>
              </w:rPr>
              <w:t xml:space="preserve">General and administrative </w:t>
            </w:r>
            <w:r>
              <w:rPr>
                <w:rFonts w:ascii="Arial" w:cs="Arial" w:eastAsia="Arial" w:hAnsi="Arial"/>
                <w:sz w:val="15"/>
                <w:szCs w:val="15"/>
                <w:color w:val="auto"/>
              </w:rPr>
              <w:t>(1)</w:t>
            </w:r>
          </w:p>
        </w:tc>
        <w:tc>
          <w:tcPr>
            <w:tcW w:w="200" w:type="dxa"/>
            <w:vAlign w:val="bottom"/>
            <w:tcBorders>
              <w:bottom w:val="single" w:sz="8" w:color="auto"/>
            </w:tcBorders>
            <w:shd w:val="clear" w:color="auto" w:fill="CFF0FC"/>
          </w:tcPr>
          <w:p>
            <w:pPr>
              <w:spacing w:after="0"/>
              <w:rPr>
                <w:sz w:val="18"/>
                <w:szCs w:val="18"/>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4,898</w:t>
            </w:r>
          </w:p>
        </w:tc>
        <w:tc>
          <w:tcPr>
            <w:tcW w:w="2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2,510</w:t>
            </w:r>
          </w:p>
        </w:tc>
        <w:tc>
          <w:tcPr>
            <w:tcW w:w="460" w:type="dxa"/>
            <w:vAlign w:val="bottom"/>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11,225</w:t>
            </w:r>
          </w:p>
        </w:tc>
        <w:tc>
          <w:tcPr>
            <w:tcW w:w="1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60" w:type="dxa"/>
            <w:vAlign w:val="bottom"/>
            <w:tcBorders>
              <w:bottom w:val="single" w:sz="8" w:color="auto"/>
            </w:tcBorders>
            <w:shd w:val="clear" w:color="auto" w:fill="CFF0FC"/>
          </w:tcPr>
          <w:p>
            <w:pPr>
              <w:spacing w:after="0"/>
              <w:rPr>
                <w:sz w:val="18"/>
                <w:szCs w:val="18"/>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6,089</w:t>
            </w:r>
          </w:p>
        </w:tc>
        <w:tc>
          <w:tcPr>
            <w:tcW w:w="120" w:type="dxa"/>
            <w:vAlign w:val="bottom"/>
            <w:shd w:val="clear" w:color="auto" w:fill="CFF0FC"/>
          </w:tcPr>
          <w:p>
            <w:pPr>
              <w:spacing w:after="0"/>
              <w:rPr>
                <w:sz w:val="18"/>
                <w:szCs w:val="18"/>
                <w:color w:val="auto"/>
              </w:rPr>
            </w:pPr>
          </w:p>
        </w:tc>
      </w:tr>
      <w:tr>
        <w:trPr>
          <w:trHeight w:val="210"/>
        </w:trPr>
        <w:tc>
          <w:tcPr>
            <w:tcW w:w="5080" w:type="dxa"/>
            <w:vAlign w:val="bottom"/>
          </w:tcPr>
          <w:p>
            <w:pPr>
              <w:ind w:left="380"/>
              <w:spacing w:after="0"/>
              <w:rPr>
                <w:sz w:val="20"/>
                <w:szCs w:val="20"/>
                <w:color w:val="auto"/>
              </w:rPr>
            </w:pPr>
            <w:r>
              <w:rPr>
                <w:rFonts w:ascii="Arial" w:cs="Arial" w:eastAsia="Arial" w:hAnsi="Arial"/>
                <w:sz w:val="18"/>
                <w:szCs w:val="18"/>
                <w:color w:val="auto"/>
              </w:rPr>
              <w:t>Total operating expenses</w:t>
            </w:r>
          </w:p>
        </w:tc>
        <w:tc>
          <w:tcPr>
            <w:tcW w:w="2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21,308</w:t>
            </w: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12,140</w:t>
            </w:r>
          </w:p>
        </w:tc>
        <w:tc>
          <w:tcPr>
            <w:tcW w:w="46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70,128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38,314</w:t>
            </w:r>
          </w:p>
        </w:tc>
        <w:tc>
          <w:tcPr>
            <w:tcW w:w="120" w:type="dxa"/>
            <w:vAlign w:val="bottom"/>
          </w:tcPr>
          <w:p>
            <w:pPr>
              <w:spacing w:after="0"/>
              <w:rPr>
                <w:sz w:val="18"/>
                <w:szCs w:val="18"/>
                <w:color w:val="auto"/>
              </w:rPr>
            </w:pPr>
          </w:p>
        </w:tc>
      </w:tr>
      <w:tr>
        <w:trPr>
          <w:trHeight w:val="209"/>
        </w:trPr>
        <w:tc>
          <w:tcPr>
            <w:tcW w:w="5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5080" w:type="dxa"/>
            <w:vAlign w:val="bottom"/>
            <w:shd w:val="clear" w:color="auto" w:fill="CFF0FC"/>
          </w:tcPr>
          <w:p>
            <w:pPr>
              <w:spacing w:after="0"/>
              <w:rPr>
                <w:sz w:val="20"/>
                <w:szCs w:val="20"/>
                <w:color w:val="auto"/>
              </w:rPr>
            </w:pPr>
            <w:r>
              <w:rPr>
                <w:rFonts w:ascii="Arial" w:cs="Arial" w:eastAsia="Arial" w:hAnsi="Arial"/>
                <w:sz w:val="18"/>
                <w:szCs w:val="18"/>
                <w:color w:val="auto"/>
              </w:rPr>
              <w:t>Loss from operations</w:t>
            </w:r>
          </w:p>
        </w:tc>
        <w:tc>
          <w:tcPr>
            <w:tcW w:w="200" w:type="dxa"/>
            <w:vAlign w:val="bottom"/>
            <w:shd w:val="clear" w:color="auto" w:fill="CFF0FC"/>
          </w:tcPr>
          <w:p>
            <w:pPr>
              <w:spacing w:after="0"/>
              <w:rPr>
                <w:sz w:val="18"/>
                <w:szCs w:val="18"/>
                <w:color w:val="auto"/>
              </w:rPr>
            </w:pPr>
          </w:p>
        </w:tc>
        <w:tc>
          <w:tcPr>
            <w:tcW w:w="126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(21,308)</w:t>
            </w:r>
          </w:p>
        </w:tc>
        <w:tc>
          <w:tcPr>
            <w:tcW w:w="20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1280" w:type="dxa"/>
            <w:vAlign w:val="bottom"/>
            <w:gridSpan w:val="2"/>
            <w:shd w:val="clear" w:color="auto" w:fill="CFF0FC"/>
          </w:tcPr>
          <w:p>
            <w:pPr>
              <w:jc w:val="right"/>
              <w:ind w:right="400"/>
              <w:spacing w:after="0"/>
              <w:rPr>
                <w:sz w:val="20"/>
                <w:szCs w:val="20"/>
                <w:color w:val="auto"/>
              </w:rPr>
            </w:pPr>
            <w:r>
              <w:rPr>
                <w:rFonts w:ascii="Arial" w:cs="Arial" w:eastAsia="Arial" w:hAnsi="Arial"/>
                <w:sz w:val="18"/>
                <w:szCs w:val="18"/>
                <w:color w:val="auto"/>
              </w:rPr>
              <w:t>(12,140)</w:t>
            </w:r>
          </w:p>
        </w:tc>
        <w:tc>
          <w:tcPr>
            <w:tcW w:w="200" w:type="dxa"/>
            <w:vAlign w:val="bottom"/>
            <w:shd w:val="clear" w:color="auto" w:fill="CFF0FC"/>
          </w:tcPr>
          <w:p>
            <w:pPr>
              <w:spacing w:after="0"/>
              <w:rPr>
                <w:sz w:val="18"/>
                <w:szCs w:val="18"/>
                <w:color w:val="auto"/>
              </w:rPr>
            </w:pPr>
          </w:p>
        </w:tc>
        <w:tc>
          <w:tcPr>
            <w:tcW w:w="120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(70,128)</w:t>
            </w:r>
          </w:p>
        </w:tc>
        <w:tc>
          <w:tcPr>
            <w:tcW w:w="1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(38,314)</w:t>
            </w:r>
          </w:p>
        </w:tc>
      </w:tr>
      <w:tr>
        <w:trPr>
          <w:trHeight w:val="216"/>
        </w:trPr>
        <w:tc>
          <w:tcPr>
            <w:tcW w:w="5080" w:type="dxa"/>
            <w:vAlign w:val="bottom"/>
          </w:tcPr>
          <w:p>
            <w:pPr>
              <w:spacing w:after="0"/>
              <w:rPr>
                <w:sz w:val="20"/>
                <w:szCs w:val="20"/>
                <w:color w:val="auto"/>
              </w:rPr>
            </w:pPr>
            <w:r>
              <w:rPr>
                <w:rFonts w:ascii="Arial" w:cs="Arial" w:eastAsia="Arial" w:hAnsi="Arial"/>
                <w:sz w:val="18"/>
                <w:szCs w:val="18"/>
                <w:color w:val="auto"/>
              </w:rPr>
              <w:t>Other income (expense), net</w:t>
            </w:r>
          </w:p>
        </w:tc>
        <w:tc>
          <w:tcPr>
            <w:tcW w:w="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5080" w:type="dxa"/>
            <w:vAlign w:val="bottom"/>
            <w:shd w:val="clear" w:color="auto" w:fill="CFF0FC"/>
          </w:tcPr>
          <w:p>
            <w:pPr>
              <w:ind w:left="140"/>
              <w:spacing w:after="0"/>
              <w:rPr>
                <w:sz w:val="20"/>
                <w:szCs w:val="20"/>
                <w:color w:val="auto"/>
              </w:rPr>
            </w:pPr>
            <w:r>
              <w:rPr>
                <w:rFonts w:ascii="Arial" w:cs="Arial" w:eastAsia="Arial" w:hAnsi="Arial"/>
                <w:sz w:val="18"/>
                <w:szCs w:val="18"/>
                <w:color w:val="auto"/>
              </w:rPr>
              <w:t>Interest expense</w:t>
            </w:r>
          </w:p>
        </w:tc>
        <w:tc>
          <w:tcPr>
            <w:tcW w:w="200" w:type="dxa"/>
            <w:vAlign w:val="bottom"/>
            <w:shd w:val="clear" w:color="auto" w:fill="CFF0FC"/>
          </w:tcPr>
          <w:p>
            <w:pPr>
              <w:spacing w:after="0"/>
              <w:rPr>
                <w:sz w:val="18"/>
                <w:szCs w:val="18"/>
                <w:color w:val="auto"/>
              </w:rPr>
            </w:pPr>
          </w:p>
        </w:tc>
        <w:tc>
          <w:tcPr>
            <w:tcW w:w="126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1280" w:type="dxa"/>
            <w:vAlign w:val="bottom"/>
            <w:gridSpan w:val="2"/>
            <w:shd w:val="clear" w:color="auto" w:fill="CFF0FC"/>
          </w:tcPr>
          <w:p>
            <w:pPr>
              <w:jc w:val="right"/>
              <w:ind w:right="400"/>
              <w:spacing w:after="0"/>
              <w:rPr>
                <w:sz w:val="20"/>
                <w:szCs w:val="20"/>
                <w:color w:val="auto"/>
              </w:rPr>
            </w:pPr>
            <w:r>
              <w:rPr>
                <w:rFonts w:ascii="Arial" w:cs="Arial" w:eastAsia="Arial" w:hAnsi="Arial"/>
                <w:sz w:val="18"/>
                <w:szCs w:val="18"/>
                <w:color w:val="auto"/>
              </w:rPr>
              <w:t>(9)</w:t>
            </w:r>
          </w:p>
        </w:tc>
        <w:tc>
          <w:tcPr>
            <w:tcW w:w="200" w:type="dxa"/>
            <w:vAlign w:val="bottom"/>
            <w:shd w:val="clear" w:color="auto" w:fill="CFF0FC"/>
          </w:tcPr>
          <w:p>
            <w:pPr>
              <w:spacing w:after="0"/>
              <w:rPr>
                <w:sz w:val="18"/>
                <w:szCs w:val="18"/>
                <w:color w:val="auto"/>
              </w:rPr>
            </w:pPr>
          </w:p>
        </w:tc>
        <w:tc>
          <w:tcPr>
            <w:tcW w:w="120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(7)</w:t>
            </w:r>
          </w:p>
        </w:tc>
        <w:tc>
          <w:tcPr>
            <w:tcW w:w="1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(33)</w:t>
            </w:r>
          </w:p>
        </w:tc>
      </w:tr>
      <w:tr>
        <w:trPr>
          <w:trHeight w:val="216"/>
        </w:trPr>
        <w:tc>
          <w:tcPr>
            <w:tcW w:w="5080" w:type="dxa"/>
            <w:vAlign w:val="bottom"/>
          </w:tcPr>
          <w:p>
            <w:pPr>
              <w:ind w:left="140"/>
              <w:spacing w:after="0"/>
              <w:rPr>
                <w:sz w:val="20"/>
                <w:szCs w:val="20"/>
                <w:color w:val="auto"/>
              </w:rPr>
            </w:pPr>
            <w:r>
              <w:rPr>
                <w:rFonts w:ascii="Arial" w:cs="Arial" w:eastAsia="Arial" w:hAnsi="Arial"/>
                <w:sz w:val="18"/>
                <w:szCs w:val="18"/>
                <w:color w:val="auto"/>
              </w:rPr>
              <w:t>Interest income</w:t>
            </w:r>
          </w:p>
        </w:tc>
        <w:tc>
          <w:tcPr>
            <w:tcW w:w="2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33</w:t>
            </w: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120</w:t>
            </w: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212</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537</w:t>
            </w:r>
          </w:p>
        </w:tc>
        <w:tc>
          <w:tcPr>
            <w:tcW w:w="120" w:type="dxa"/>
            <w:vAlign w:val="bottom"/>
          </w:tcPr>
          <w:p>
            <w:pPr>
              <w:spacing w:after="0"/>
              <w:rPr>
                <w:sz w:val="18"/>
                <w:szCs w:val="18"/>
                <w:color w:val="auto"/>
              </w:rPr>
            </w:pPr>
          </w:p>
        </w:tc>
      </w:tr>
      <w:tr>
        <w:trPr>
          <w:trHeight w:val="216"/>
        </w:trPr>
        <w:tc>
          <w:tcPr>
            <w:tcW w:w="5080" w:type="dxa"/>
            <w:vAlign w:val="bottom"/>
            <w:shd w:val="clear" w:color="auto" w:fill="CFF0FC"/>
          </w:tcPr>
          <w:p>
            <w:pPr>
              <w:ind w:left="140"/>
              <w:spacing w:after="0"/>
              <w:rPr>
                <w:sz w:val="20"/>
                <w:szCs w:val="20"/>
                <w:color w:val="auto"/>
              </w:rPr>
            </w:pPr>
            <w:r>
              <w:rPr>
                <w:rFonts w:ascii="Arial" w:cs="Arial" w:eastAsia="Arial" w:hAnsi="Arial"/>
                <w:sz w:val="18"/>
                <w:szCs w:val="18"/>
                <w:color w:val="auto"/>
              </w:rPr>
              <w:t>Grant income</w:t>
            </w:r>
          </w:p>
        </w:tc>
        <w:tc>
          <w:tcPr>
            <w:tcW w:w="200" w:type="dxa"/>
            <w:vAlign w:val="bottom"/>
            <w:shd w:val="clear" w:color="auto" w:fill="CFF0FC"/>
          </w:tcPr>
          <w:p>
            <w:pPr>
              <w:spacing w:after="0"/>
              <w:rPr>
                <w:sz w:val="18"/>
                <w:szCs w:val="18"/>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787</w:t>
            </w:r>
          </w:p>
        </w:tc>
        <w:tc>
          <w:tcPr>
            <w:tcW w:w="2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54</w:t>
            </w:r>
          </w:p>
        </w:tc>
        <w:tc>
          <w:tcPr>
            <w:tcW w:w="4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2,152</w:t>
            </w:r>
          </w:p>
        </w:tc>
        <w:tc>
          <w:tcPr>
            <w:tcW w:w="1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54</w:t>
            </w:r>
          </w:p>
        </w:tc>
        <w:tc>
          <w:tcPr>
            <w:tcW w:w="120" w:type="dxa"/>
            <w:vAlign w:val="bottom"/>
            <w:shd w:val="clear" w:color="auto" w:fill="CFF0FC"/>
          </w:tcPr>
          <w:p>
            <w:pPr>
              <w:spacing w:after="0"/>
              <w:rPr>
                <w:sz w:val="18"/>
                <w:szCs w:val="18"/>
                <w:color w:val="auto"/>
              </w:rPr>
            </w:pPr>
          </w:p>
        </w:tc>
      </w:tr>
      <w:tr>
        <w:trPr>
          <w:trHeight w:val="216"/>
        </w:trPr>
        <w:tc>
          <w:tcPr>
            <w:tcW w:w="5080" w:type="dxa"/>
            <w:vAlign w:val="bottom"/>
          </w:tcPr>
          <w:p>
            <w:pPr>
              <w:ind w:left="140"/>
              <w:spacing w:after="0"/>
              <w:rPr>
                <w:sz w:val="20"/>
                <w:szCs w:val="20"/>
                <w:color w:val="auto"/>
              </w:rPr>
            </w:pPr>
            <w:r>
              <w:rPr>
                <w:rFonts w:ascii="Arial" w:cs="Arial" w:eastAsia="Arial" w:hAnsi="Arial"/>
                <w:sz w:val="18"/>
                <w:szCs w:val="18"/>
                <w:color w:val="auto"/>
              </w:rPr>
              <w:t>Foreign currency transaction losses</w:t>
            </w:r>
          </w:p>
        </w:tc>
        <w:tc>
          <w:tcPr>
            <w:tcW w:w="200" w:type="dxa"/>
            <w:vAlign w:val="bottom"/>
          </w:tcPr>
          <w:p>
            <w:pPr>
              <w:spacing w:after="0"/>
              <w:rPr>
                <w:sz w:val="18"/>
                <w:szCs w:val="18"/>
                <w:color w:val="auto"/>
              </w:rPr>
            </w:pP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(530)</w:t>
            </w: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80" w:type="dxa"/>
            <w:vAlign w:val="bottom"/>
            <w:gridSpan w:val="2"/>
          </w:tcPr>
          <w:p>
            <w:pPr>
              <w:jc w:val="right"/>
              <w:ind w:right="400"/>
              <w:spacing w:after="0"/>
              <w:rPr>
                <w:sz w:val="20"/>
                <w:szCs w:val="20"/>
                <w:color w:val="auto"/>
              </w:rPr>
            </w:pPr>
            <w:r>
              <w:rPr>
                <w:rFonts w:ascii="Arial" w:cs="Arial" w:eastAsia="Arial" w:hAnsi="Arial"/>
                <w:sz w:val="18"/>
                <w:szCs w:val="18"/>
                <w:color w:val="auto"/>
              </w:rPr>
              <w:t>(186)</w:t>
            </w:r>
          </w:p>
        </w:tc>
        <w:tc>
          <w:tcPr>
            <w:tcW w:w="20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(709)</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60"/>
              <w:spacing w:after="0"/>
              <w:rPr>
                <w:sz w:val="20"/>
                <w:szCs w:val="20"/>
                <w:color w:val="auto"/>
              </w:rPr>
            </w:pPr>
            <w:r>
              <w:rPr>
                <w:rFonts w:ascii="Arial" w:cs="Arial" w:eastAsia="Arial" w:hAnsi="Arial"/>
                <w:sz w:val="18"/>
                <w:szCs w:val="18"/>
                <w:color w:val="auto"/>
              </w:rPr>
              <w:t>(417)</w:t>
            </w:r>
          </w:p>
        </w:tc>
      </w:tr>
      <w:tr>
        <w:trPr>
          <w:trHeight w:val="215"/>
        </w:trPr>
        <w:tc>
          <w:tcPr>
            <w:tcW w:w="5080" w:type="dxa"/>
            <w:vAlign w:val="bottom"/>
            <w:shd w:val="clear" w:color="auto" w:fill="CFF0FC"/>
          </w:tcPr>
          <w:p>
            <w:pPr>
              <w:ind w:left="140"/>
              <w:spacing w:after="0"/>
              <w:rPr>
                <w:sz w:val="20"/>
                <w:szCs w:val="20"/>
                <w:color w:val="auto"/>
              </w:rPr>
            </w:pPr>
            <w:r>
              <w:rPr>
                <w:rFonts w:ascii="Arial" w:cs="Arial" w:eastAsia="Arial" w:hAnsi="Arial"/>
                <w:sz w:val="18"/>
                <w:szCs w:val="18"/>
                <w:color w:val="auto"/>
              </w:rPr>
              <w:t>Change in fair value of the redeemable convertible</w:t>
            </w:r>
          </w:p>
        </w:tc>
        <w:tc>
          <w:tcPr>
            <w:tcW w:w="20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03"/>
        </w:trPr>
        <w:tc>
          <w:tcPr>
            <w:tcW w:w="5080" w:type="dxa"/>
            <w:vAlign w:val="bottom"/>
            <w:shd w:val="clear" w:color="auto" w:fill="CFF0FC"/>
          </w:tcPr>
          <w:p>
            <w:pPr>
              <w:ind w:left="140"/>
              <w:spacing w:after="0" w:line="203" w:lineRule="exact"/>
              <w:rPr>
                <w:sz w:val="20"/>
                <w:szCs w:val="20"/>
                <w:color w:val="auto"/>
              </w:rPr>
            </w:pPr>
            <w:r>
              <w:rPr>
                <w:rFonts w:ascii="Arial" w:cs="Arial" w:eastAsia="Arial" w:hAnsi="Arial"/>
                <w:sz w:val="18"/>
                <w:szCs w:val="18"/>
                <w:color w:val="auto"/>
              </w:rPr>
              <w:t>preferred stock tranche liability</w:t>
            </w:r>
          </w:p>
        </w:tc>
        <w:tc>
          <w:tcPr>
            <w:tcW w:w="200" w:type="dxa"/>
            <w:vAlign w:val="bottom"/>
            <w:shd w:val="clear" w:color="auto" w:fill="CFF0FC"/>
          </w:tcPr>
          <w:p>
            <w:pPr>
              <w:spacing w:after="0"/>
              <w:rPr>
                <w:sz w:val="17"/>
                <w:szCs w:val="17"/>
                <w:color w:val="auto"/>
              </w:rPr>
            </w:pPr>
          </w:p>
        </w:tc>
        <w:tc>
          <w:tcPr>
            <w:tcW w:w="1260" w:type="dxa"/>
            <w:vAlign w:val="bottom"/>
            <w:gridSpan w:val="2"/>
            <w:shd w:val="clear" w:color="auto" w:fill="CFF0FC"/>
          </w:tcPr>
          <w:p>
            <w:pPr>
              <w:jc w:val="right"/>
              <w:ind w:right="260"/>
              <w:spacing w:after="0" w:line="203" w:lineRule="exact"/>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820" w:type="dxa"/>
            <w:vAlign w:val="bottom"/>
            <w:shd w:val="clear" w:color="auto" w:fill="CFF0FC"/>
          </w:tcPr>
          <w:p>
            <w:pPr>
              <w:jc w:val="right"/>
              <w:spacing w:after="0" w:line="203" w:lineRule="exact"/>
              <w:rPr>
                <w:sz w:val="20"/>
                <w:szCs w:val="20"/>
                <w:color w:val="auto"/>
              </w:rPr>
            </w:pPr>
            <w:r>
              <w:rPr>
                <w:rFonts w:ascii="Arial" w:cs="Arial" w:eastAsia="Arial" w:hAnsi="Arial"/>
                <w:sz w:val="18"/>
                <w:szCs w:val="18"/>
                <w:color w:val="auto"/>
              </w:rPr>
              <w:t>844</w:t>
            </w:r>
          </w:p>
        </w:tc>
        <w:tc>
          <w:tcPr>
            <w:tcW w:w="46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200" w:type="dxa"/>
            <w:vAlign w:val="bottom"/>
            <w:gridSpan w:val="2"/>
            <w:shd w:val="clear" w:color="auto" w:fill="CFF0FC"/>
          </w:tcPr>
          <w:p>
            <w:pPr>
              <w:jc w:val="right"/>
              <w:ind w:right="200"/>
              <w:spacing w:after="0" w:line="203" w:lineRule="exact"/>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960" w:type="dxa"/>
            <w:vAlign w:val="bottom"/>
            <w:shd w:val="clear" w:color="auto" w:fill="CFF0FC"/>
          </w:tcPr>
          <w:p>
            <w:pPr>
              <w:jc w:val="right"/>
              <w:spacing w:after="0" w:line="203" w:lineRule="exact"/>
              <w:rPr>
                <w:sz w:val="20"/>
                <w:szCs w:val="20"/>
                <w:color w:val="auto"/>
              </w:rPr>
            </w:pPr>
            <w:r>
              <w:rPr>
                <w:rFonts w:ascii="Arial" w:cs="Arial" w:eastAsia="Arial" w:hAnsi="Arial"/>
                <w:sz w:val="18"/>
                <w:szCs w:val="18"/>
                <w:color w:val="auto"/>
              </w:rPr>
              <w:t>2,520</w:t>
            </w:r>
          </w:p>
        </w:tc>
        <w:tc>
          <w:tcPr>
            <w:tcW w:w="120" w:type="dxa"/>
            <w:vAlign w:val="bottom"/>
            <w:shd w:val="clear" w:color="auto" w:fill="CFF0FC"/>
          </w:tcPr>
          <w:p>
            <w:pPr>
              <w:spacing w:after="0"/>
              <w:rPr>
                <w:sz w:val="17"/>
                <w:szCs w:val="17"/>
                <w:color w:val="auto"/>
              </w:rPr>
            </w:pPr>
          </w:p>
        </w:tc>
      </w:tr>
      <w:tr>
        <w:trPr>
          <w:trHeight w:val="216"/>
        </w:trPr>
        <w:tc>
          <w:tcPr>
            <w:tcW w:w="50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46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r>
      <w:tr>
        <w:trPr>
          <w:trHeight w:val="209"/>
        </w:trPr>
        <w:tc>
          <w:tcPr>
            <w:tcW w:w="5080" w:type="dxa"/>
            <w:vAlign w:val="bottom"/>
          </w:tcPr>
          <w:p>
            <w:pPr>
              <w:ind w:left="380"/>
              <w:spacing w:after="0"/>
              <w:rPr>
                <w:sz w:val="20"/>
                <w:szCs w:val="20"/>
                <w:color w:val="auto"/>
              </w:rPr>
            </w:pPr>
            <w:r>
              <w:rPr>
                <w:rFonts w:ascii="Arial" w:cs="Arial" w:eastAsia="Arial" w:hAnsi="Arial"/>
                <w:sz w:val="18"/>
                <w:szCs w:val="18"/>
                <w:color w:val="auto"/>
              </w:rPr>
              <w:t>Total other income (expense), net</w:t>
            </w:r>
          </w:p>
        </w:tc>
        <w:tc>
          <w:tcPr>
            <w:tcW w:w="2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290</w:t>
            </w: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823</w:t>
            </w:r>
          </w:p>
        </w:tc>
        <w:tc>
          <w:tcPr>
            <w:tcW w:w="46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1,648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2,661</w:t>
            </w:r>
          </w:p>
        </w:tc>
        <w:tc>
          <w:tcPr>
            <w:tcW w:w="120" w:type="dxa"/>
            <w:vAlign w:val="bottom"/>
          </w:tcPr>
          <w:p>
            <w:pPr>
              <w:spacing w:after="0"/>
              <w:rPr>
                <w:sz w:val="18"/>
                <w:szCs w:val="18"/>
                <w:color w:val="auto"/>
              </w:rPr>
            </w:pPr>
          </w:p>
        </w:tc>
      </w:tr>
      <w:tr>
        <w:trPr>
          <w:trHeight w:val="209"/>
        </w:trPr>
        <w:tc>
          <w:tcPr>
            <w:tcW w:w="5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5080" w:type="dxa"/>
            <w:vAlign w:val="bottom"/>
            <w:shd w:val="clear" w:color="auto" w:fill="CFF0FC"/>
          </w:tcPr>
          <w:p>
            <w:pPr>
              <w:spacing w:after="0"/>
              <w:rPr>
                <w:sz w:val="20"/>
                <w:szCs w:val="20"/>
                <w:color w:val="auto"/>
              </w:rPr>
            </w:pPr>
            <w:r>
              <w:rPr>
                <w:rFonts w:ascii="Arial" w:cs="Arial" w:eastAsia="Arial" w:hAnsi="Arial"/>
                <w:sz w:val="18"/>
                <w:szCs w:val="18"/>
                <w:color w:val="auto"/>
              </w:rPr>
              <w:t>Net loss and comprehensive loss</w:t>
            </w: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(21,018)</w:t>
            </w:r>
          </w:p>
        </w:tc>
        <w:tc>
          <w:tcPr>
            <w:tcW w:w="58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FF0FC"/>
          </w:tcPr>
          <w:p>
            <w:pPr>
              <w:jc w:val="right"/>
              <w:ind w:right="400"/>
              <w:spacing w:after="0"/>
              <w:rPr>
                <w:sz w:val="20"/>
                <w:szCs w:val="20"/>
                <w:color w:val="auto"/>
              </w:rPr>
            </w:pPr>
            <w:r>
              <w:rPr>
                <w:rFonts w:ascii="Arial" w:cs="Arial" w:eastAsia="Arial" w:hAnsi="Arial"/>
                <w:sz w:val="18"/>
                <w:szCs w:val="18"/>
                <w:color w:val="auto"/>
              </w:rPr>
              <w:t>(11,317)</w:t>
            </w: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20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(68,480)</w:t>
            </w:r>
          </w:p>
        </w:tc>
        <w:tc>
          <w:tcPr>
            <w:tcW w:w="36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(35,653)</w:t>
            </w:r>
          </w:p>
        </w:tc>
      </w:tr>
      <w:tr>
        <w:trPr>
          <w:trHeight w:val="20"/>
        </w:trPr>
        <w:tc>
          <w:tcPr>
            <w:tcW w:w="508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r>
      <w:tr>
        <w:trPr>
          <w:trHeight w:val="413"/>
        </w:trPr>
        <w:tc>
          <w:tcPr>
            <w:tcW w:w="5080" w:type="dxa"/>
            <w:vAlign w:val="bottom"/>
          </w:tcPr>
          <w:p>
            <w:pPr>
              <w:spacing w:after="0"/>
              <w:rPr>
                <w:sz w:val="20"/>
                <w:szCs w:val="20"/>
                <w:color w:val="auto"/>
              </w:rPr>
            </w:pPr>
            <w:r>
              <w:rPr>
                <w:rFonts w:ascii="Arial" w:cs="Arial" w:eastAsia="Arial" w:hAnsi="Arial"/>
                <w:sz w:val="18"/>
                <w:szCs w:val="18"/>
                <w:color w:val="auto"/>
              </w:rPr>
              <w:t>Net loss per share, basic and diluted</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(0.41)</w:t>
            </w:r>
          </w:p>
        </w:tc>
        <w:tc>
          <w:tcPr>
            <w:tcW w:w="5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400"/>
              <w:spacing w:after="0"/>
              <w:rPr>
                <w:sz w:val="20"/>
                <w:szCs w:val="20"/>
                <w:color w:val="auto"/>
              </w:rPr>
            </w:pPr>
            <w:r>
              <w:rPr>
                <w:rFonts w:ascii="Arial" w:cs="Arial" w:eastAsia="Arial" w:hAnsi="Arial"/>
                <w:sz w:val="18"/>
                <w:szCs w:val="18"/>
                <w:color w:val="auto"/>
              </w:rPr>
              <w:t>(2.93)</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(3.06)</w:t>
            </w: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60"/>
              <w:spacing w:after="0"/>
              <w:rPr>
                <w:sz w:val="20"/>
                <w:szCs w:val="20"/>
                <w:color w:val="auto"/>
              </w:rPr>
            </w:pPr>
            <w:r>
              <w:rPr>
                <w:rFonts w:ascii="Arial" w:cs="Arial" w:eastAsia="Arial" w:hAnsi="Arial"/>
                <w:sz w:val="18"/>
                <w:szCs w:val="18"/>
                <w:color w:val="auto"/>
              </w:rPr>
              <w:t>(9.54)</w:t>
            </w:r>
          </w:p>
        </w:tc>
      </w:tr>
      <w:tr>
        <w:trPr>
          <w:trHeight w:val="20"/>
        </w:trPr>
        <w:tc>
          <w:tcPr>
            <w:tcW w:w="50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196"/>
        </w:trPr>
        <w:tc>
          <w:tcPr>
            <w:tcW w:w="50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r>
      <w:tr>
        <w:trPr>
          <w:trHeight w:val="216"/>
        </w:trPr>
        <w:tc>
          <w:tcPr>
            <w:tcW w:w="50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Weighted-average shares outstanding, basic and diluted</w:t>
            </w:r>
          </w:p>
        </w:tc>
        <w:tc>
          <w:tcPr>
            <w:tcW w:w="200" w:type="dxa"/>
            <w:vAlign w:val="bottom"/>
            <w:tcBorders>
              <w:bottom w:val="single" w:sz="8" w:color="auto"/>
            </w:tcBorders>
            <w:shd w:val="clear" w:color="auto" w:fill="CFF0FC"/>
          </w:tcPr>
          <w:p>
            <w:pPr>
              <w:spacing w:after="0"/>
              <w:rPr>
                <w:sz w:val="18"/>
                <w:szCs w:val="18"/>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50,895,358</w:t>
            </w:r>
          </w:p>
        </w:tc>
        <w:tc>
          <w:tcPr>
            <w:tcW w:w="26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3,857,298</w:t>
            </w:r>
          </w:p>
        </w:tc>
        <w:tc>
          <w:tcPr>
            <w:tcW w:w="46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22,354,212</w:t>
            </w:r>
          </w:p>
        </w:tc>
        <w:tc>
          <w:tcPr>
            <w:tcW w:w="180" w:type="dxa"/>
            <w:vAlign w:val="bottom"/>
            <w:tcBorders>
              <w:bottom w:val="single" w:sz="8" w:color="CFF0FC"/>
            </w:tcBorders>
            <w:shd w:val="clear" w:color="auto" w:fill="CFF0FC"/>
          </w:tcPr>
          <w:p>
            <w:pPr>
              <w:spacing w:after="0"/>
              <w:rPr>
                <w:sz w:val="18"/>
                <w:szCs w:val="18"/>
                <w:color w:val="auto"/>
              </w:rPr>
            </w:pPr>
          </w:p>
        </w:tc>
        <w:tc>
          <w:tcPr>
            <w:tcW w:w="10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auto"/>
            </w:tcBorders>
            <w:shd w:val="clear" w:color="auto" w:fill="CFF0FC"/>
          </w:tcPr>
          <w:p>
            <w:pPr>
              <w:spacing w:after="0"/>
              <w:rPr>
                <w:sz w:val="18"/>
                <w:szCs w:val="18"/>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3,737,779</w:t>
            </w:r>
          </w:p>
        </w:tc>
        <w:tc>
          <w:tcPr>
            <w:tcW w:w="120" w:type="dxa"/>
            <w:vAlign w:val="bottom"/>
            <w:tcBorders>
              <w:bottom w:val="single" w:sz="8" w:color="CFF0FC"/>
            </w:tcBorders>
            <w:shd w:val="clear" w:color="auto" w:fill="CFF0FC"/>
          </w:tcPr>
          <w:p>
            <w:pPr>
              <w:spacing w:after="0"/>
              <w:rPr>
                <w:sz w:val="18"/>
                <w:szCs w:val="18"/>
                <w:color w:val="auto"/>
              </w:rPr>
            </w:pPr>
          </w:p>
        </w:tc>
      </w:tr>
      <w:tr>
        <w:trPr>
          <w:trHeight w:val="20"/>
        </w:trPr>
        <w:tc>
          <w:tcPr>
            <w:tcW w:w="50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274320</wp:posOffset>
            </wp:positionV>
            <wp:extent cx="504063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040630" cy="8255"/>
                    </a:xfrm>
                    <a:prstGeom prst="rect">
                      <a:avLst/>
                    </a:prstGeom>
                    <a:noFill/>
                  </pic:spPr>
                </pic:pic>
              </a:graphicData>
            </a:graphic>
          </wp:anchor>
        </w:drawing>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(1) Amounts include stock-based compensation expense as follows:</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40" w:type="dxa"/>
            <w:vAlign w:val="bottom"/>
            <w:shd w:val="clear" w:color="auto" w:fill="CFF0FC"/>
          </w:tcPr>
          <w:p>
            <w:pPr>
              <w:spacing w:after="0"/>
              <w:rPr>
                <w:sz w:val="20"/>
                <w:szCs w:val="20"/>
                <w:color w:val="auto"/>
              </w:rPr>
            </w:pPr>
            <w:r>
              <w:rPr>
                <w:rFonts w:ascii="Arial" w:cs="Arial" w:eastAsia="Arial" w:hAnsi="Arial"/>
                <w:sz w:val="18"/>
                <w:szCs w:val="18"/>
                <w:color w:val="auto"/>
              </w:rPr>
              <w:t>Research and development</w:t>
            </w:r>
          </w:p>
        </w:tc>
        <w:tc>
          <w:tcPr>
            <w:tcW w:w="1680" w:type="dxa"/>
            <w:vAlign w:val="bottom"/>
            <w:gridSpan w:val="2"/>
            <w:shd w:val="clear" w:color="auto" w:fill="CFF0FC"/>
          </w:tcPr>
          <w:p>
            <w:pPr>
              <w:jc w:val="right"/>
              <w:ind w:right="440"/>
              <w:spacing w:after="0"/>
              <w:rPr>
                <w:sz w:val="20"/>
                <w:szCs w:val="20"/>
                <w:color w:val="auto"/>
              </w:rPr>
            </w:pPr>
            <w:r>
              <w:rPr>
                <w:rFonts w:ascii="Arial" w:cs="Arial" w:eastAsia="Arial" w:hAnsi="Arial"/>
                <w:sz w:val="18"/>
                <w:szCs w:val="18"/>
                <w:color w:val="auto"/>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558</w:t>
            </w:r>
          </w:p>
        </w:tc>
        <w:tc>
          <w:tcPr>
            <w:tcW w:w="420" w:type="dxa"/>
            <w:vAlign w:val="bottom"/>
            <w:shd w:val="clear" w:color="auto" w:fill="CFF0FC"/>
          </w:tcPr>
          <w:p>
            <w:pPr>
              <w:spacing w:after="0"/>
              <w:rPr>
                <w:sz w:val="18"/>
                <w:szCs w:val="18"/>
                <w:color w:val="auto"/>
              </w:rPr>
            </w:pPr>
          </w:p>
        </w:tc>
        <w:tc>
          <w:tcPr>
            <w:tcW w:w="1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w:t>
            </w:r>
          </w:p>
        </w:tc>
        <w:tc>
          <w:tcPr>
            <w:tcW w:w="4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20"/>
                <w:szCs w:val="20"/>
                <w:color w:val="auto"/>
              </w:rPr>
            </w:pPr>
            <w:r>
              <w:rPr>
                <w:rFonts w:ascii="Arial" w:cs="Arial" w:eastAsia="Arial" w:hAnsi="Arial"/>
                <w:sz w:val="18"/>
                <w:szCs w:val="18"/>
                <w:color w:val="auto"/>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1,081</w:t>
            </w:r>
          </w:p>
        </w:tc>
        <w:tc>
          <w:tcPr>
            <w:tcW w:w="100" w:type="dxa"/>
            <w:vAlign w:val="bottom"/>
            <w:shd w:val="clear" w:color="auto" w:fill="CFF0FC"/>
          </w:tcPr>
          <w:p>
            <w:pPr>
              <w:spacing w:after="0"/>
              <w:rPr>
                <w:sz w:val="18"/>
                <w:szCs w:val="18"/>
                <w:color w:val="auto"/>
              </w:rPr>
            </w:pPr>
          </w:p>
        </w:tc>
        <w:tc>
          <w:tcPr>
            <w:tcW w:w="680" w:type="dxa"/>
            <w:vAlign w:val="bottom"/>
            <w:gridSpan w:val="2"/>
            <w:shd w:val="clear" w:color="auto" w:fill="CFF0FC"/>
          </w:tcPr>
          <w:p>
            <w:pPr>
              <w:jc w:val="right"/>
              <w:ind w:right="400"/>
              <w:spacing w:after="0"/>
              <w:rPr>
                <w:sz w:val="20"/>
                <w:szCs w:val="20"/>
                <w:color w:val="auto"/>
              </w:rPr>
            </w:pPr>
            <w:r>
              <w:rPr>
                <w:rFonts w:ascii="Arial" w:cs="Arial" w:eastAsia="Arial" w:hAnsi="Arial"/>
                <w:sz w:val="18"/>
                <w:szCs w:val="18"/>
                <w:color w:val="auto"/>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262</w:t>
            </w:r>
          </w:p>
        </w:tc>
        <w:tc>
          <w:tcPr>
            <w:tcW w:w="120" w:type="dxa"/>
            <w:vAlign w:val="bottom"/>
            <w:shd w:val="clear" w:color="auto" w:fill="CFF0FC"/>
          </w:tcPr>
          <w:p>
            <w:pPr>
              <w:spacing w:after="0"/>
              <w:rPr>
                <w:sz w:val="18"/>
                <w:szCs w:val="18"/>
                <w:color w:val="auto"/>
              </w:rPr>
            </w:pPr>
          </w:p>
        </w:tc>
      </w:tr>
      <w:tr>
        <w:trPr>
          <w:trHeight w:val="216"/>
        </w:trPr>
        <w:tc>
          <w:tcPr>
            <w:tcW w:w="39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General and administrative</w:t>
            </w:r>
          </w:p>
        </w:tc>
        <w:tc>
          <w:tcPr>
            <w:tcW w:w="1140" w:type="dxa"/>
            <w:vAlign w:val="bottom"/>
            <w:tcBorders>
              <w:bottom w:val="single" w:sz="8" w:color="CFF0FC"/>
            </w:tcBorders>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1,280</w:t>
            </w:r>
          </w:p>
        </w:tc>
        <w:tc>
          <w:tcPr>
            <w:tcW w:w="420" w:type="dxa"/>
            <w:vAlign w:val="bottom"/>
            <w:tcBorders>
              <w:bottom w:val="single" w:sz="8" w:color="CFF0FC"/>
            </w:tcBorders>
          </w:tcPr>
          <w:p>
            <w:pPr>
              <w:spacing w:after="0"/>
              <w:rPr>
                <w:sz w:val="18"/>
                <w:szCs w:val="18"/>
                <w:color w:val="auto"/>
              </w:rPr>
            </w:pPr>
          </w:p>
        </w:tc>
        <w:tc>
          <w:tcPr>
            <w:tcW w:w="40" w:type="dxa"/>
            <w:vAlign w:val="bottom"/>
            <w:tcBorders>
              <w:bottom w:val="single" w:sz="8" w:color="CFF0FC"/>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178</w:t>
            </w:r>
          </w:p>
        </w:tc>
        <w:tc>
          <w:tcPr>
            <w:tcW w:w="460" w:type="dxa"/>
            <w:vAlign w:val="bottom"/>
            <w:tcBorders>
              <w:bottom w:val="single" w:sz="8" w:color="CFF0FC"/>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2,418</w:t>
            </w:r>
          </w:p>
        </w:tc>
        <w:tc>
          <w:tcPr>
            <w:tcW w:w="100" w:type="dxa"/>
            <w:vAlign w:val="bottom"/>
            <w:tcBorders>
              <w:bottom w:val="single" w:sz="8" w:color="CFF0FC"/>
            </w:tcBorders>
          </w:tcPr>
          <w:p>
            <w:pPr>
              <w:spacing w:after="0"/>
              <w:rPr>
                <w:sz w:val="18"/>
                <w:szCs w:val="18"/>
                <w:color w:val="auto"/>
              </w:rPr>
            </w:pPr>
          </w:p>
        </w:tc>
        <w:tc>
          <w:tcPr>
            <w:tcW w:w="180" w:type="dxa"/>
            <w:vAlign w:val="bottom"/>
            <w:tcBorders>
              <w:bottom w:val="single" w:sz="8" w:color="CFF0FC"/>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548</w:t>
            </w:r>
          </w:p>
        </w:tc>
        <w:tc>
          <w:tcPr>
            <w:tcW w:w="120" w:type="dxa"/>
            <w:vAlign w:val="bottom"/>
            <w:tcBorders>
              <w:bottom w:val="single" w:sz="8" w:color="CFF0FC"/>
            </w:tcBorders>
          </w:tcPr>
          <w:p>
            <w:pPr>
              <w:spacing w:after="0"/>
              <w:rPr>
                <w:sz w:val="18"/>
                <w:szCs w:val="18"/>
                <w:color w:val="auto"/>
              </w:rPr>
            </w:pPr>
          </w:p>
        </w:tc>
      </w:tr>
      <w:tr>
        <w:trPr>
          <w:trHeight w:val="209"/>
        </w:trPr>
        <w:tc>
          <w:tcPr>
            <w:tcW w:w="3940" w:type="dxa"/>
            <w:vAlign w:val="bottom"/>
            <w:shd w:val="clear" w:color="auto" w:fill="CFF0FC"/>
          </w:tcPr>
          <w:p>
            <w:pPr>
              <w:ind w:left="380"/>
              <w:spacing w:after="0"/>
              <w:rPr>
                <w:sz w:val="20"/>
                <w:szCs w:val="20"/>
                <w:color w:val="auto"/>
              </w:rPr>
            </w:pPr>
            <w:r>
              <w:rPr>
                <w:rFonts w:ascii="Arial" w:cs="Arial" w:eastAsia="Arial" w:hAnsi="Arial"/>
                <w:sz w:val="18"/>
                <w:szCs w:val="18"/>
                <w:color w:val="auto"/>
              </w:rPr>
              <w:t>Total stock-based compensation expense</w:t>
            </w:r>
          </w:p>
        </w:tc>
        <w:tc>
          <w:tcPr>
            <w:tcW w:w="1680" w:type="dxa"/>
            <w:vAlign w:val="bottom"/>
            <w:gridSpan w:val="2"/>
            <w:shd w:val="clear" w:color="auto" w:fill="CFF0FC"/>
          </w:tcPr>
          <w:p>
            <w:pPr>
              <w:jc w:val="right"/>
              <w:ind w:right="440"/>
              <w:spacing w:after="0"/>
              <w:rPr>
                <w:sz w:val="20"/>
                <w:szCs w:val="20"/>
                <w:color w:val="auto"/>
              </w:rPr>
            </w:pPr>
            <w:r>
              <w:rPr>
                <w:rFonts w:ascii="Arial" w:cs="Arial" w:eastAsia="Arial" w:hAnsi="Arial"/>
                <w:sz w:val="18"/>
                <w:szCs w:val="18"/>
                <w:color w:val="auto"/>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1,838</w:t>
            </w:r>
          </w:p>
        </w:tc>
        <w:tc>
          <w:tcPr>
            <w:tcW w:w="420" w:type="dxa"/>
            <w:vAlign w:val="bottom"/>
            <w:shd w:val="clear" w:color="auto" w:fill="CFF0FC"/>
          </w:tcPr>
          <w:p>
            <w:pPr>
              <w:spacing w:after="0"/>
              <w:rPr>
                <w:sz w:val="18"/>
                <w:szCs w:val="18"/>
                <w:color w:val="auto"/>
              </w:rPr>
            </w:pPr>
          </w:p>
        </w:tc>
        <w:tc>
          <w:tcPr>
            <w:tcW w:w="1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266</w:t>
            </w:r>
          </w:p>
        </w:tc>
        <w:tc>
          <w:tcPr>
            <w:tcW w:w="4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20"/>
                <w:szCs w:val="20"/>
                <w:color w:val="auto"/>
              </w:rPr>
            </w:pPr>
            <w:r>
              <w:rPr>
                <w:rFonts w:ascii="Arial" w:cs="Arial" w:eastAsia="Arial" w:hAnsi="Arial"/>
                <w:sz w:val="18"/>
                <w:szCs w:val="18"/>
                <w:color w:val="auto"/>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3,499</w:t>
            </w:r>
          </w:p>
        </w:tc>
        <w:tc>
          <w:tcPr>
            <w:tcW w:w="100" w:type="dxa"/>
            <w:vAlign w:val="bottom"/>
            <w:shd w:val="clear" w:color="auto" w:fill="CFF0FC"/>
          </w:tcPr>
          <w:p>
            <w:pPr>
              <w:spacing w:after="0"/>
              <w:rPr>
                <w:sz w:val="18"/>
                <w:szCs w:val="18"/>
                <w:color w:val="auto"/>
              </w:rPr>
            </w:pPr>
          </w:p>
        </w:tc>
        <w:tc>
          <w:tcPr>
            <w:tcW w:w="680" w:type="dxa"/>
            <w:vAlign w:val="bottom"/>
            <w:gridSpan w:val="2"/>
            <w:shd w:val="clear" w:color="auto" w:fill="CFF0FC"/>
          </w:tcPr>
          <w:p>
            <w:pPr>
              <w:jc w:val="right"/>
              <w:ind w:right="400"/>
              <w:spacing w:after="0"/>
              <w:rPr>
                <w:sz w:val="20"/>
                <w:szCs w:val="20"/>
                <w:color w:val="auto"/>
              </w:rPr>
            </w:pPr>
            <w:r>
              <w:rPr>
                <w:rFonts w:ascii="Arial" w:cs="Arial" w:eastAsia="Arial" w:hAnsi="Arial"/>
                <w:sz w:val="18"/>
                <w:szCs w:val="18"/>
                <w:color w:val="auto"/>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810</w:t>
            </w:r>
          </w:p>
        </w:tc>
        <w:tc>
          <w:tcPr>
            <w:tcW w:w="120" w:type="dxa"/>
            <w:vAlign w:val="bottom"/>
            <w:shd w:val="clear" w:color="auto" w:fill="CFF0FC"/>
          </w:tcPr>
          <w:p>
            <w:pPr>
              <w:spacing w:after="0"/>
              <w:rPr>
                <w:sz w:val="18"/>
                <w:szCs w:val="18"/>
                <w:color w:val="auto"/>
              </w:rPr>
            </w:pPr>
          </w:p>
        </w:tc>
      </w:tr>
      <w:tr>
        <w:trPr>
          <w:trHeight w:val="20"/>
        </w:trPr>
        <w:tc>
          <w:tcPr>
            <w:tcW w:w="3940" w:type="dxa"/>
            <w:vAlign w:val="bottom"/>
            <w:tcBorders>
              <w:top w:val="single" w:sz="8" w:color="CFF0FC"/>
            </w:tcBorders>
          </w:tcPr>
          <w:p>
            <w:pPr>
              <w:spacing w:after="0" w:line="20" w:lineRule="exact"/>
              <w:rPr>
                <w:sz w:val="1"/>
                <w:szCs w:val="1"/>
                <w:color w:val="auto"/>
              </w:rPr>
            </w:pPr>
          </w:p>
        </w:tc>
        <w:tc>
          <w:tcPr>
            <w:tcW w:w="1140" w:type="dxa"/>
            <w:vAlign w:val="bottom"/>
            <w:tcBorders>
              <w:top w:val="single" w:sz="8" w:color="CFF0FC"/>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CFF0FC"/>
            </w:tcBorders>
          </w:tcPr>
          <w:p>
            <w:pPr>
              <w:spacing w:after="0" w:line="20" w:lineRule="exact"/>
              <w:rPr>
                <w:sz w:val="1"/>
                <w:szCs w:val="1"/>
                <w:color w:val="auto"/>
              </w:rPr>
            </w:pPr>
          </w:p>
        </w:tc>
        <w:tc>
          <w:tcPr>
            <w:tcW w:w="4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r>
      <w:tr>
        <w:trPr>
          <w:trHeight w:val="403"/>
        </w:trPr>
        <w:tc>
          <w:tcPr>
            <w:tcW w:w="3940" w:type="dxa"/>
            <w:vAlign w:val="bottom"/>
          </w:tcPr>
          <w:p>
            <w:pPr>
              <w:spacing w:after="0"/>
              <w:rPr>
                <w:sz w:val="24"/>
                <w:szCs w:val="24"/>
                <w:color w:val="auto"/>
              </w:rPr>
            </w:pPr>
          </w:p>
        </w:tc>
        <w:tc>
          <w:tcPr>
            <w:tcW w:w="1680" w:type="dxa"/>
            <w:vAlign w:val="bottom"/>
            <w:gridSpan w:val="2"/>
          </w:tcPr>
          <w:p>
            <w:pPr>
              <w:jc w:val="center"/>
              <w:spacing w:after="0"/>
              <w:rPr>
                <w:sz w:val="20"/>
                <w:szCs w:val="20"/>
                <w:color w:val="auto"/>
              </w:rPr>
            </w:pPr>
            <w:r>
              <w:rPr>
                <w:rFonts w:ascii="Arial" w:cs="Arial" w:eastAsia="Arial" w:hAnsi="Arial"/>
                <w:sz w:val="18"/>
                <w:szCs w:val="18"/>
                <w:b w:val="1"/>
                <w:bCs w:val="1"/>
                <w:color w:val="auto"/>
                <w:w w:val="98"/>
              </w:rPr>
              <w:t>Vaxcyte, Inc.</w:t>
            </w:r>
          </w:p>
        </w:tc>
        <w:tc>
          <w:tcPr>
            <w:tcW w:w="6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16"/>
        </w:trPr>
        <w:tc>
          <w:tcPr>
            <w:tcW w:w="6700" w:type="dxa"/>
            <w:vAlign w:val="bottom"/>
            <w:gridSpan w:val="5"/>
          </w:tcPr>
          <w:p>
            <w:pPr>
              <w:jc w:val="center"/>
              <w:ind w:left="2830"/>
              <w:spacing w:after="0"/>
              <w:rPr>
                <w:sz w:val="20"/>
                <w:szCs w:val="20"/>
                <w:color w:val="auto"/>
              </w:rPr>
            </w:pPr>
            <w:r>
              <w:rPr>
                <w:rFonts w:ascii="Arial" w:cs="Arial" w:eastAsia="Arial" w:hAnsi="Arial"/>
                <w:sz w:val="18"/>
                <w:szCs w:val="18"/>
                <w:b w:val="1"/>
                <w:bCs w:val="1"/>
                <w:color w:val="auto"/>
              </w:rPr>
              <w:t>Summary Consolidated Balance Sheet Data</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3940" w:type="dxa"/>
            <w:vAlign w:val="bottom"/>
          </w:tcPr>
          <w:p>
            <w:pPr>
              <w:spacing w:after="0"/>
              <w:rPr>
                <w:sz w:val="18"/>
                <w:szCs w:val="18"/>
                <w:color w:val="auto"/>
              </w:rPr>
            </w:pPr>
          </w:p>
        </w:tc>
        <w:tc>
          <w:tcPr>
            <w:tcW w:w="1680" w:type="dxa"/>
            <w:vAlign w:val="bottom"/>
            <w:gridSpan w:val="2"/>
          </w:tcPr>
          <w:p>
            <w:pPr>
              <w:jc w:val="center"/>
              <w:spacing w:after="0"/>
              <w:rPr>
                <w:sz w:val="20"/>
                <w:szCs w:val="20"/>
                <w:color w:val="auto"/>
              </w:rPr>
            </w:pPr>
            <w:r>
              <w:rPr>
                <w:rFonts w:ascii="Arial" w:cs="Arial" w:eastAsia="Arial" w:hAnsi="Arial"/>
                <w:sz w:val="18"/>
                <w:szCs w:val="18"/>
                <w:b w:val="1"/>
                <w:bCs w:val="1"/>
                <w:color w:val="auto"/>
                <w:w w:val="99"/>
              </w:rPr>
              <w:t>(in thousands)</w:t>
            </w:r>
          </w:p>
        </w:tc>
        <w:tc>
          <w:tcPr>
            <w:tcW w:w="6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39"/>
        </w:trPr>
        <w:tc>
          <w:tcPr>
            <w:tcW w:w="3940" w:type="dxa"/>
            <w:vAlign w:val="bottom"/>
          </w:tcPr>
          <w:p>
            <w:pPr>
              <w:spacing w:after="0"/>
              <w:rPr>
                <w:sz w:val="20"/>
                <w:szCs w:val="20"/>
                <w:color w:val="auto"/>
              </w:rPr>
            </w:pPr>
          </w:p>
        </w:tc>
        <w:tc>
          <w:tcPr>
            <w:tcW w:w="1680" w:type="dxa"/>
            <w:vAlign w:val="bottom"/>
            <w:gridSpan w:val="2"/>
          </w:tcPr>
          <w:p>
            <w:pPr>
              <w:jc w:val="center"/>
              <w:spacing w:after="0"/>
              <w:rPr>
                <w:sz w:val="20"/>
                <w:szCs w:val="20"/>
                <w:color w:val="auto"/>
              </w:rPr>
            </w:pPr>
            <w:r>
              <w:rPr>
                <w:rFonts w:ascii="Arial" w:cs="Arial" w:eastAsia="Arial" w:hAnsi="Arial"/>
                <w:sz w:val="18"/>
                <w:szCs w:val="18"/>
                <w:b w:val="1"/>
                <w:bCs w:val="1"/>
                <w:color w:val="auto"/>
                <w:w w:val="99"/>
              </w:rPr>
              <w:t>(unaudited)</w:t>
            </w:r>
          </w:p>
        </w:tc>
        <w:tc>
          <w:tcPr>
            <w:tcW w:w="6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20" w:type="dxa"/>
            <w:vAlign w:val="bottom"/>
          </w:tcPr>
          <w:p>
            <w:pPr>
              <w:spacing w:after="0"/>
              <w:rPr>
                <w:sz w:val="20"/>
                <w:szCs w:val="20"/>
                <w:color w:val="auto"/>
              </w:rPr>
            </w:pPr>
          </w:p>
        </w:tc>
      </w:tr>
      <w:tr>
        <w:trPr>
          <w:trHeight w:val="396"/>
        </w:trPr>
        <w:tc>
          <w:tcPr>
            <w:tcW w:w="39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40" w:type="dxa"/>
            <w:vAlign w:val="bottom"/>
            <w:gridSpan w:val="2"/>
          </w:tcPr>
          <w:p>
            <w:pPr>
              <w:ind w:left="20"/>
              <w:spacing w:after="0"/>
              <w:rPr>
                <w:sz w:val="20"/>
                <w:szCs w:val="20"/>
                <w:color w:val="auto"/>
              </w:rPr>
            </w:pPr>
            <w:r>
              <w:rPr>
                <w:rFonts w:ascii="Arial" w:cs="Arial" w:eastAsia="Arial" w:hAnsi="Arial"/>
                <w:sz w:val="18"/>
                <w:szCs w:val="18"/>
                <w:b w:val="1"/>
                <w:bCs w:val="1"/>
                <w:color w:val="auto"/>
              </w:rPr>
              <w:t>September</w:t>
            </w:r>
          </w:p>
        </w:tc>
        <w:tc>
          <w:tcPr>
            <w:tcW w:w="2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16"/>
        </w:trPr>
        <w:tc>
          <w:tcPr>
            <w:tcW w:w="39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tcPr>
          <w:p>
            <w:pPr>
              <w:jc w:val="right"/>
              <w:ind w:right="390"/>
              <w:spacing w:after="0"/>
              <w:rPr>
                <w:sz w:val="20"/>
                <w:szCs w:val="20"/>
                <w:color w:val="auto"/>
              </w:rPr>
            </w:pPr>
            <w:r>
              <w:rPr>
                <w:rFonts w:ascii="Arial" w:cs="Arial" w:eastAsia="Arial" w:hAnsi="Arial"/>
                <w:sz w:val="18"/>
                <w:szCs w:val="18"/>
                <w:b w:val="1"/>
                <w:bCs w:val="1"/>
                <w:color w:val="auto"/>
              </w:rPr>
              <w:t>30,</w:t>
            </w:r>
          </w:p>
        </w:tc>
        <w:tc>
          <w:tcPr>
            <w:tcW w:w="460" w:type="dxa"/>
            <w:vAlign w:val="bottom"/>
          </w:tcPr>
          <w:p>
            <w:pPr>
              <w:spacing w:after="0"/>
              <w:rPr>
                <w:sz w:val="18"/>
                <w:szCs w:val="18"/>
                <w:color w:val="auto"/>
              </w:rPr>
            </w:pPr>
          </w:p>
        </w:tc>
        <w:tc>
          <w:tcPr>
            <w:tcW w:w="1320" w:type="dxa"/>
            <w:vAlign w:val="bottom"/>
            <w:gridSpan w:val="3"/>
          </w:tcPr>
          <w:p>
            <w:pPr>
              <w:ind w:left="20"/>
              <w:spacing w:after="0"/>
              <w:rPr>
                <w:sz w:val="20"/>
                <w:szCs w:val="20"/>
                <w:color w:val="auto"/>
              </w:rPr>
            </w:pPr>
            <w:r>
              <w:rPr>
                <w:rFonts w:ascii="Arial" w:cs="Arial" w:eastAsia="Arial" w:hAnsi="Arial"/>
                <w:sz w:val="18"/>
                <w:szCs w:val="18"/>
                <w:b w:val="1"/>
                <w:bCs w:val="1"/>
                <w:color w:val="auto"/>
              </w:rPr>
              <w:t>December 31,</w:t>
            </w: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25"/>
        </w:trPr>
        <w:tc>
          <w:tcPr>
            <w:tcW w:w="39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2020</w:t>
            </w:r>
          </w:p>
        </w:tc>
        <w:tc>
          <w:tcPr>
            <w:tcW w:w="4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10"/>
        </w:trPr>
        <w:tc>
          <w:tcPr>
            <w:tcW w:w="394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1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397,048</w:t>
            </w:r>
          </w:p>
        </w:tc>
        <w:tc>
          <w:tcPr>
            <w:tcW w:w="46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58,976</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3940" w:type="dxa"/>
            <w:vAlign w:val="bottom"/>
            <w:shd w:val="clear" w:color="auto" w:fill="CFF0FC"/>
          </w:tcPr>
          <w:p>
            <w:pPr>
              <w:spacing w:after="0"/>
              <w:rPr>
                <w:sz w:val="20"/>
                <w:szCs w:val="20"/>
                <w:color w:val="auto"/>
              </w:rPr>
            </w:pPr>
            <w:r>
              <w:rPr>
                <w:rFonts w:ascii="Arial" w:cs="Arial" w:eastAsia="Arial" w:hAnsi="Arial"/>
                <w:sz w:val="18"/>
                <w:szCs w:val="18"/>
                <w:color w:val="auto"/>
              </w:rPr>
              <w:t>Total assets</w:t>
            </w:r>
          </w:p>
        </w:tc>
        <w:tc>
          <w:tcPr>
            <w:tcW w:w="114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403,816</w:t>
            </w:r>
          </w:p>
        </w:tc>
        <w:tc>
          <w:tcPr>
            <w:tcW w:w="4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65,698</w:t>
            </w:r>
          </w:p>
        </w:tc>
        <w:tc>
          <w:tcPr>
            <w:tcW w:w="100" w:type="dxa"/>
            <w:vAlign w:val="bottom"/>
            <w:shd w:val="clear" w:color="auto" w:fill="CFF0FC"/>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Redeemable convertible preferred stock</w:t>
            </w:r>
          </w:p>
        </w:tc>
        <w:tc>
          <w:tcPr>
            <w:tcW w:w="1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4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160,310</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3940" w:type="dxa"/>
            <w:vAlign w:val="bottom"/>
            <w:shd w:val="clear" w:color="auto" w:fill="CFF0FC"/>
          </w:tcPr>
          <w:p>
            <w:pPr>
              <w:spacing w:after="0"/>
              <w:rPr>
                <w:sz w:val="20"/>
                <w:szCs w:val="20"/>
                <w:color w:val="auto"/>
              </w:rPr>
            </w:pPr>
            <w:r>
              <w:rPr>
                <w:rFonts w:ascii="Arial" w:cs="Arial" w:eastAsia="Arial" w:hAnsi="Arial"/>
                <w:sz w:val="18"/>
                <w:szCs w:val="18"/>
                <w:color w:val="auto"/>
              </w:rPr>
              <w:t>Total stockholders' equity (deficit)</w:t>
            </w:r>
          </w:p>
        </w:tc>
        <w:tc>
          <w:tcPr>
            <w:tcW w:w="114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364,075</w:t>
            </w:r>
          </w:p>
        </w:tc>
        <w:tc>
          <w:tcPr>
            <w:tcW w:w="4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0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(106,373)</w:t>
            </w: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r>
    </w:tbl>
    <w:p>
      <w:pPr>
        <w:spacing w:after="0" w:line="1" w:lineRule="exact"/>
        <w:rPr>
          <w:sz w:val="20"/>
          <w:szCs w:val="20"/>
          <w:color w:val="auto"/>
        </w:rPr>
      </w:pPr>
    </w:p>
    <w:sectPr>
      <w:pgSz w:w="11900" w:h="16838" w:orient="portrait"/>
      <w:cols w:equalWidth="0" w:num="1">
        <w:col w:w="11240"/>
      </w:cols>
      <w:pgMar w:left="320" w:top="373"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2020-11-12T15:39:40Z</dcterms:created>
  <dcterms:modified xsi:type="dcterms:W3CDTF">2020-11-12T15:39:40Z</dcterms:modified>
</cp:coreProperties>
</file>