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640912.xml.htm"/>
      <w:bookmarkStart w:id="1" w:name="kswkform4_17816409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Lukatch Heath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VAXCYTE,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825 INDUSTRIAL ROAD, STE.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Vaxcyte, Inc.</w:t>
              </w:r>
            </w:hyperlink>
            <w:r>
              <w:rPr/>
              <w:t xml:space="preserve"> [ </w:t>
            </w:r>
            <w:r>
              <w:rPr>
                <w:rFonts w:ascii="Times;serif" w:hAnsi="Times;serif"/>
                <w:color w:val="0000FF"/>
                <w:sz w:val="24"/>
                <w:shd w:fill="FFFFFF" w:val="clear"/>
              </w:rPr>
              <w:t>PCVX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2,265</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19,481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49.56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11,389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underlying restricted stock units ("RSUs"). Each RSU represents the contingent right to receive one share of the Issuer's Common Stock. The RSUs will fully vest on the earlier of June 15, 2027 or the day prior to the next annual meeting of stockholders, subject to acceleration, and subject to the Reporting Person's continuous service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of Common Stock subject to the option will vest monthly and fully vest on the earlier of June 15, 2027 or the day prior to the next annual meeting of stockholders, subject to acceleration, and subject to the Reporting Person's continuous service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Heath Lukatch, by /s/ Peter N. Efremenko,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6385" TargetMode="External"/><Relationship Id="rId5" Type="http://schemas.openxmlformats.org/officeDocument/2006/relationships/hyperlink" Target="http://www.sec.gov/cgi-bin/browse-edgar?action=getcompany&amp;CIK=00016490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3726</Characters>
  <CharactersWithSpaces>4352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