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SEC Form 4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9" w:lineRule="exact"/>
        <w:rPr>
          <w:sz w:val="24"/>
          <w:szCs w:val="24"/>
          <w:color w:val="auto"/>
        </w:rPr>
      </w:pPr>
    </w:p>
    <w:p>
      <w:pPr>
        <w:ind w:left="36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1"/>
          <w:szCs w:val="11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1"/>
          <w:szCs w:val="11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33655</wp:posOffset>
            </wp:positionH>
            <wp:positionV relativeFrom="paragraph">
              <wp:posOffset>-233045</wp:posOffset>
            </wp:positionV>
            <wp:extent cx="129540" cy="129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49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0"/>
        </w:trPr>
        <w:tc>
          <w:tcPr>
            <w:tcW w:w="6260" w:type="dxa"/>
            <w:vAlign w:val="bottom"/>
          </w:tcPr>
          <w:p>
            <w:pPr>
              <w:jc w:val="center"/>
              <w:ind w:right="21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260" w:type="dxa"/>
            <w:vAlign w:val="bottom"/>
            <w:vMerge w:val="restart"/>
          </w:tcPr>
          <w:p>
            <w:pPr>
              <w:jc w:val="center"/>
              <w:ind w:right="237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7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2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2"/>
        </w:trPr>
        <w:tc>
          <w:tcPr>
            <w:tcW w:w="6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260" w:type="dxa"/>
            <w:vAlign w:val="bottom"/>
            <w:vMerge w:val="restart"/>
          </w:tcPr>
          <w:p>
            <w:pPr>
              <w:jc w:val="center"/>
              <w:ind w:right="217"/>
              <w:spacing w:after="0" w:line="18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5"/>
        </w:trPr>
        <w:tc>
          <w:tcPr>
            <w:tcW w:w="62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OMB Number: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jc w:val="right"/>
              <w:ind w:right="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6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2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6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6260" w:type="dxa"/>
            <w:vAlign w:val="bottom"/>
            <w:vMerge w:val="restart"/>
          </w:tcPr>
          <w:p>
            <w:pPr>
              <w:jc w:val="center"/>
              <w:ind w:right="21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7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hours per response: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626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26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5242560</wp:posOffset>
            </wp:positionH>
            <wp:positionV relativeFrom="paragraph">
              <wp:posOffset>-617855</wp:posOffset>
            </wp:positionV>
            <wp:extent cx="57785" cy="6311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3958590</wp:posOffset>
            </wp:positionH>
            <wp:positionV relativeFrom="paragraph">
              <wp:posOffset>-617855</wp:posOffset>
            </wp:positionV>
            <wp:extent cx="57785" cy="6311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-1661795</wp:posOffset>
            </wp:positionH>
            <wp:positionV relativeFrom="paragraph">
              <wp:posOffset>13970</wp:posOffset>
            </wp:positionV>
            <wp:extent cx="7047230" cy="44354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230" cy="443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20" w:space="380"/>
            <w:col w:w="8480"/>
          </w:cols>
          <w:pgMar w:left="460" w:top="220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1"/>
          <w:szCs w:val="21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0"/>
          <w:szCs w:val="20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0"/>
            <w:szCs w:val="20"/>
            <w:u w:val="single" w:color="auto"/>
            <w:color w:val="0000EE"/>
          </w:rPr>
          <w:t>GUGGENHIME ANDREW</w:t>
        </w:r>
      </w:hyperlink>
    </w:p>
    <w:p>
      <w:pPr>
        <w:spacing w:after="0" w:line="30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59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C/O VAXCYTE, INC.</w:t>
      </w:r>
    </w:p>
    <w:p>
      <w:pPr>
        <w:spacing w:after="0" w:line="59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353 HATCH DRIVE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0"/>
          <w:szCs w:val="20"/>
          <w:color w:val="0000EE"/>
        </w:rPr>
      </w:pPr>
      <w:hyperlink r:id="rId13">
        <w:r>
          <w:rPr>
            <w:rFonts w:ascii="Arial" w:cs="Arial" w:eastAsia="Arial" w:hAnsi="Arial"/>
            <w:sz w:val="20"/>
            <w:szCs w:val="20"/>
            <w:u w:val="single" w:color="auto"/>
            <w:color w:val="0000EE"/>
          </w:rPr>
          <w:t>Vaxcyte, Inc.</w:t>
        </w:r>
        <w:r>
          <w:rPr>
            <w:rFonts w:ascii="Arial" w:cs="Arial" w:eastAsia="Arial" w:hAnsi="Arial"/>
            <w:sz w:val="20"/>
            <w:szCs w:val="20"/>
            <w:color w:val="0000EE"/>
          </w:rPr>
          <w:t xml:space="preserve"> </w:t>
        </w:r>
      </w:hyperlink>
      <w:r>
        <w:rPr>
          <w:rFonts w:ascii="Arial" w:cs="Arial" w:eastAsia="Arial" w:hAnsi="Arial"/>
          <w:sz w:val="20"/>
          <w:szCs w:val="20"/>
          <w:color w:val="000000"/>
        </w:rPr>
        <w:t>[</w:t>
      </w:r>
      <w:r>
        <w:rPr>
          <w:rFonts w:ascii="Arial" w:cs="Arial" w:eastAsia="Arial" w:hAnsi="Arial"/>
          <w:sz w:val="20"/>
          <w:szCs w:val="20"/>
          <w:color w:val="0000EE"/>
        </w:rPr>
        <w:t xml:space="preserve"> </w:t>
      </w:r>
      <w:r>
        <w:rPr>
          <w:rFonts w:ascii="Arial" w:cs="Arial" w:eastAsia="Arial" w:hAnsi="Arial"/>
          <w:sz w:val="16"/>
          <w:szCs w:val="16"/>
          <w:color w:val="0000FF"/>
        </w:rPr>
        <w:t>PCVX</w:t>
      </w:r>
      <w:r>
        <w:rPr>
          <w:rFonts w:ascii="Arial" w:cs="Arial" w:eastAsia="Arial" w:hAnsi="Arial"/>
          <w:sz w:val="20"/>
          <w:szCs w:val="20"/>
          <w:color w:val="0000EE"/>
        </w:rPr>
        <w:t xml:space="preserve"> </w:t>
      </w:r>
      <w:r>
        <w:rPr>
          <w:rFonts w:ascii="Arial" w:cs="Arial" w:eastAsia="Arial" w:hAnsi="Arial"/>
          <w:sz w:val="20"/>
          <w:szCs w:val="20"/>
          <w:color w:val="000000"/>
        </w:rPr>
        <w:t>]</w:t>
      </w:r>
    </w:p>
    <w:p>
      <w:pPr>
        <w:spacing w:after="0" w:line="35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04/01/2021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5" w:right="660" w:hanging="5"/>
        <w:spacing w:after="0" w:line="235" w:lineRule="auto"/>
        <w:tabs>
          <w:tab w:leader="none" w:pos="146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25" w:lineRule="exact"/>
        <w:rPr>
          <w:sz w:val="24"/>
          <w:szCs w:val="24"/>
          <w:color w:val="auto"/>
        </w:rPr>
      </w:pPr>
    </w:p>
    <w:tbl>
      <w:tblPr>
        <w:tblLayout w:type="fixed"/>
        <w:tblInd w:w="185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3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2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2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3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2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0" w:lineRule="exact"/>
        <w:rPr>
          <w:sz w:val="24"/>
          <w:szCs w:val="24"/>
          <w:color w:val="auto"/>
        </w:rPr>
      </w:pPr>
    </w:p>
    <w:p>
      <w:pPr>
        <w:ind w:left="94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President and CFO</w:t>
      </w:r>
    </w:p>
    <w:p>
      <w:pPr>
        <w:spacing w:after="0" w:line="38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180" w:space="720"/>
            <w:col w:w="3115" w:space="720"/>
            <w:col w:w="3345"/>
          </w:cols>
          <w:pgMar w:left="460" w:top="220" w:right="35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40" w:type="dxa"/>
            <w:vAlign w:val="bottom"/>
            <w:gridSpan w:val="7"/>
          </w:tcPr>
          <w:p>
            <w:pPr>
              <w:ind w:left="14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3680" w:type="dxa"/>
            <w:vAlign w:val="bottom"/>
            <w:gridSpan w:val="10"/>
          </w:tcPr>
          <w:p>
            <w:pPr>
              <w:ind w:left="34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80" w:type="dxa"/>
            <w:vAlign w:val="bottom"/>
            <w:gridSpan w:val="10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20" w:type="dxa"/>
            <w:vAlign w:val="bottom"/>
            <w:gridSpan w:val="3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FOSTER CITY  CA</w:t>
            </w:r>
          </w:p>
        </w:tc>
        <w:tc>
          <w:tcPr>
            <w:tcW w:w="108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94404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8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60" w:type="dxa"/>
            <w:vAlign w:val="bottom"/>
            <w:gridSpan w:val="7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96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vMerge w:val="restart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820" w:type="dxa"/>
            <w:vAlign w:val="bottom"/>
            <w:gridSpan w:val="2"/>
            <w:vMerge w:val="restart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08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8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7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8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8"/>
              </w:rPr>
              <w:t>Table I - Non-Derivative Securities Acquired, Disposed of, or Beneficially Owned</w:t>
            </w:r>
          </w:p>
        </w:tc>
        <w:tc>
          <w:tcPr>
            <w:tcW w:w="5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50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40" w:type="dxa"/>
            <w:vAlign w:val="bottom"/>
            <w:gridSpan w:val="3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3.</w:t>
            </w:r>
          </w:p>
        </w:tc>
        <w:tc>
          <w:tcPr>
            <w:tcW w:w="2020" w:type="dxa"/>
            <w:vAlign w:val="bottom"/>
            <w:gridSpan w:val="4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7. Nature of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ind w:left="820"/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Date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60"/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40" w:type="dxa"/>
            <w:vAlign w:val="bottom"/>
            <w:gridSpan w:val="5"/>
          </w:tcPr>
          <w:p>
            <w:pPr>
              <w:ind w:left="60"/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Transaction  Disposed Of (D) (Instr. 3, 4 and 5)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60"/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gridSpan w:val="3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if any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Reported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Amount</w:t>
            </w:r>
          </w:p>
        </w:tc>
        <w:tc>
          <w:tcPr>
            <w:tcW w:w="6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(A) or</w:t>
            </w:r>
          </w:p>
        </w:tc>
        <w:tc>
          <w:tcPr>
            <w:tcW w:w="6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Price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(D)</w:t>
            </w:r>
          </w:p>
        </w:tc>
        <w:tc>
          <w:tcPr>
            <w:tcW w:w="6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0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20" w:type="dxa"/>
            <w:vAlign w:val="bottom"/>
            <w:tcBorders>
              <w:top w:val="single" w:sz="8" w:color="2C2C2C"/>
            </w:tcBorders>
            <w:gridSpan w:val="1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5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540" w:type="dxa"/>
            <w:vAlign w:val="bottom"/>
            <w:gridSpan w:val="11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2.</w:t>
            </w:r>
          </w:p>
        </w:tc>
        <w:tc>
          <w:tcPr>
            <w:tcW w:w="10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0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4.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5. Number of</w:t>
            </w:r>
          </w:p>
        </w:tc>
        <w:tc>
          <w:tcPr>
            <w:tcW w:w="146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32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7. Title and Amount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10.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Date</w:t>
            </w:r>
          </w:p>
        </w:tc>
        <w:tc>
          <w:tcPr>
            <w:tcW w:w="10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6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6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32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of Securities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5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6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Ownership  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if any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6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6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Security</w:t>
            </w:r>
          </w:p>
        </w:tc>
        <w:tc>
          <w:tcPr>
            <w:tcW w:w="5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8)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Acquired (A)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or Disposed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Owned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of (D) (Instr.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  <w:w w:val="98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3, 4 and 5)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Reported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Amount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Number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Code  V</w:t>
            </w:r>
          </w:p>
        </w:tc>
        <w:tc>
          <w:tcPr>
            <w:tcW w:w="6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(A)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Date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Title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of Shares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Option</w:t>
            </w:r>
          </w:p>
        </w:tc>
        <w:tc>
          <w:tcPr>
            <w:tcW w:w="7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$</w:t>
            </w: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20.93</w:t>
            </w:r>
          </w:p>
        </w:tc>
        <w:tc>
          <w:tcPr>
            <w:tcW w:w="10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04/01/2021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6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145,000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8"/>
              </w:rPr>
              <w:t>03/31/2031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7"/>
              </w:rPr>
              <w:t>145,000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$</w:t>
            </w: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0.00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145,000</w:t>
            </w:r>
          </w:p>
        </w:tc>
        <w:tc>
          <w:tcPr>
            <w:tcW w:w="6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9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0000FF"/>
              </w:rPr>
              <w:t>(right to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160"/>
              <w:spacing w:after="0" w:line="9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0000FF"/>
              </w:rPr>
              <w:t>Stock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00FF"/>
        </w:rPr>
        <w:t>buy)</w:t>
      </w:r>
    </w:p>
    <w:p>
      <w:pPr>
        <w:spacing w:after="0" w:line="87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49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8000"/>
        </w:rPr>
        <w:t>1. 1/48 of shares subject to the option vest on May 1, 2021, and 1/48 of the shares vest monthly thereafter.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09" w:lineRule="exact"/>
        <w:rPr>
          <w:sz w:val="24"/>
          <w:szCs w:val="24"/>
          <w:color w:val="auto"/>
        </w:rPr>
      </w:pPr>
    </w:p>
    <w:tbl>
      <w:tblPr>
        <w:tblLayout w:type="fixed"/>
        <w:tblInd w:w="66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14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6"/>
              </w:rPr>
              <w:t>/s/ Winston Macaraeg,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4"/>
              </w:rPr>
              <w:t>04/06/2021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2200" w:type="dxa"/>
            <w:vAlign w:val="bottom"/>
            <w:gridSpan w:val="3"/>
            <w:vMerge w:val="restart"/>
          </w:tcPr>
          <w:p>
            <w:pPr>
              <w:spacing w:after="0" w:line="18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Attorney-in-Fact</w:t>
            </w: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2"/>
        </w:trPr>
        <w:tc>
          <w:tcPr>
            <w:tcW w:w="22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11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0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22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29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jc w:val="both"/>
        <w:ind w:left="40" w:right="3700"/>
        <w:spacing w:after="0" w:line="328" w:lineRule="auto"/>
        <w:tabs>
          <w:tab w:leader="none" w:pos="174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0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230724" TargetMode="External"/><Relationship Id="rId13" Type="http://schemas.openxmlformats.org/officeDocument/2006/relationships/hyperlink" Target="http://www.sec.gov/cgi-bin/browse-edgar?action=getcompany&amp;CIK=0001649094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2021-04-06T19:04:11Z</dcterms:created>
  <dcterms:modified xsi:type="dcterms:W3CDTF">2021-04-06T19:04:11Z</dcterms:modified>
</cp:coreProperties>
</file>