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7446d424b5.htm"/>
      <w:bookmarkStart w:id="1" w:name="ksd177446d424b5"/>
      <w:bookmarkEnd w:id="0"/>
      <w:bookmarkEnd w:id="1"/>
      <w:r>
        <w:rPr>
          <w:rFonts w:ascii="Times New Roman" w:hAnsi="Times New Roman"/>
          <w:b/>
          <w:sz w:val="20"/>
        </w:rPr>
        <w:t xml:space="preserve">Filed Pursuant to Rule 424(b)(5) </w:t>
        <w:br/>
        <w:t xml:space="preserve">Registration No. 333-279735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18"/>
              </w:rPr>
            </w:pPr>
            <w:r>
              <w:rPr>
                <w:rFonts w:ascii="Times New Roman" w:hAnsi="Times New Roman"/>
                <w:b/>
                <w:sz w:val="18"/>
              </w:rPr>
              <w:t>PROSPECTUS SUPPLEMENT</w:t>
            </w:r>
          </w:p>
          <w:p>
            <w:pPr>
              <w:pStyle w:val="TableContents"/>
              <w:bidi w:val="0"/>
              <w:spacing w:before="0" w:after="20"/>
              <w:jc w:val="left"/>
              <w:rPr>
                <w:rFonts w:ascii="Times New Roman" w:hAnsi="Times New Roman"/>
                <w:b/>
                <w:sz w:val="18"/>
              </w:rPr>
            </w:pPr>
            <w:r>
              <w:rPr>
                <w:rFonts w:ascii="Times New Roman" w:hAnsi="Times New Roman"/>
                <w:b/>
                <w:sz w:val="18"/>
              </w:rPr>
              <w:t>(To Prospectus dated May 24, 2024)</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9840" cy="404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9840" cy="4044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1.50% Convertible Senior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We are offering $500,000,000 aggregate principal amount of our 1.50% convertible senior notes due 2032. In addition, we have granted the underwriters an option, which is exercisable within 30 days after the date of this prospectus supplement, to purchase up to an additional $75,000,000 aggregate principal amount of notes solely to cover over-allotments. </w:t>
      </w:r>
    </w:p>
    <w:p>
      <w:pPr>
        <w:pStyle w:val="TextBody"/>
        <w:bidi w:val="0"/>
        <w:spacing w:before="360" w:after="0"/>
        <w:jc w:val="left"/>
        <w:rPr>
          <w:rFonts w:ascii="Times New Roman" w:hAnsi="Times New Roman"/>
          <w:b/>
          <w:sz w:val="18"/>
        </w:rPr>
      </w:pPr>
      <w:r>
        <w:rPr>
          <w:rFonts w:ascii="Times New Roman" w:hAnsi="Times New Roman"/>
          <w:b/>
          <w:sz w:val="18"/>
        </w:rPr>
        <w:t xml:space="preserve">MATURITY; INTEREST </w:t>
      </w:r>
    </w:p>
    <w:p>
      <w:pPr>
        <w:pStyle w:val="TextBody"/>
        <w:bidi w:val="0"/>
        <w:spacing w:before="120" w:after="0"/>
        <w:jc w:val="left"/>
        <w:rPr>
          <w:rFonts w:ascii="Times New Roman" w:hAnsi="Times New Roman"/>
          <w:sz w:val="18"/>
        </w:rPr>
      </w:pPr>
      <w:r>
        <w:rPr>
          <w:rFonts w:ascii="Times New Roman" w:hAnsi="Times New Roman"/>
          <w:sz w:val="18"/>
        </w:rPr>
        <w:t xml:space="preserve">We will pay interest on the notes at an annual rate of 1.50%, payable semi-annually in arrears on April 15 and October 15 of each year, beginning on April 15, 2027. The notes will mature on October 15, 2032, unless earlier converted or redeemed or repurchased by us. </w:t>
      </w:r>
    </w:p>
    <w:p>
      <w:pPr>
        <w:pStyle w:val="TextBody"/>
        <w:bidi w:val="0"/>
        <w:spacing w:before="360" w:after="0"/>
        <w:jc w:val="left"/>
        <w:rPr>
          <w:rFonts w:ascii="Times New Roman" w:hAnsi="Times New Roman"/>
          <w:b/>
          <w:sz w:val="18"/>
        </w:rPr>
      </w:pPr>
      <w:r>
        <w:rPr>
          <w:rFonts w:ascii="Times New Roman" w:hAnsi="Times New Roman"/>
          <w:b/>
          <w:sz w:val="18"/>
        </w:rPr>
        <w:t xml:space="preserve">CONVERSION </w:t>
      </w:r>
    </w:p>
    <w:p>
      <w:pPr>
        <w:pStyle w:val="TextBody"/>
        <w:bidi w:val="0"/>
        <w:spacing w:before="120" w:after="0"/>
        <w:jc w:val="left"/>
        <w:rPr>
          <w:rFonts w:ascii="Times New Roman" w:hAnsi="Times New Roman"/>
          <w:sz w:val="18"/>
        </w:rPr>
      </w:pPr>
      <w:r>
        <w:rPr>
          <w:rFonts w:ascii="Times New Roman" w:hAnsi="Times New Roman"/>
          <w:sz w:val="18"/>
        </w:rPr>
        <w:t xml:space="preserve">Noteholders may convert their notes at their option only in the following circumstances: (1) during the 30 consecutive trading days immediately after the period consisting of the first 20 trading days of any calendar quarter commencing after the calendar quarter ending on December 31, 2026, if the last reported sale price per share of our common stock (the “common stock”) exceeds 130% of the conversion price for each of at least five trading days during such 20 trading day period;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as described in this prospectus supplement; (4) if we call such notes for redemption; and (5) at any time from, and including, July 15, 2032 until the close of business on the second scheduled trading day immediately before the maturity date. We will settle conversions by paying or delivering, as applicable, cash, shares of our common stock or a combination of cash and shares of our common stock, at our election, based on the applicable conversion rate(s). The initial conversion rate is 11.1607 shares per $1,000 principal amount of notes, which represents an initial conversion price of approximately $89.60 per share, and is subject to adjustment as described in this prospectus supplement. If a “make-whole fundamental change” (as defined in this prospectus supplement) occurs, then we will in certain circumstances increase the conversion rate for a specified period of time. </w:t>
      </w:r>
    </w:p>
    <w:p>
      <w:pPr>
        <w:pStyle w:val="TextBody"/>
        <w:bidi w:val="0"/>
        <w:spacing w:before="360" w:after="0"/>
        <w:jc w:val="left"/>
        <w:rPr>
          <w:rFonts w:ascii="Times New Roman" w:hAnsi="Times New Roman"/>
          <w:b/>
          <w:sz w:val="18"/>
        </w:rPr>
      </w:pPr>
      <w:r>
        <w:rPr>
          <w:rFonts w:ascii="Times New Roman" w:hAnsi="Times New Roman"/>
          <w:b/>
          <w:sz w:val="18"/>
        </w:rPr>
        <w:t xml:space="preserve">REDEMPTION AND REPURCHASE </w:t>
      </w:r>
    </w:p>
    <w:p>
      <w:pPr>
        <w:pStyle w:val="TextBody"/>
        <w:bidi w:val="0"/>
        <w:spacing w:before="120" w:after="0"/>
        <w:jc w:val="left"/>
        <w:rPr>
          <w:rFonts w:ascii="Times New Roman" w:hAnsi="Times New Roman"/>
          <w:sz w:val="18"/>
        </w:rPr>
      </w:pPr>
      <w:r>
        <w:rPr>
          <w:rFonts w:ascii="Times New Roman" w:hAnsi="Times New Roman"/>
          <w:sz w:val="18"/>
        </w:rPr>
        <w:t xml:space="preserve">We will have the right, at our election, to redeem all, or any portion (subject to certain limitations described in this prospectus supplement),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We refer to a redemption pursuant to the provision described in the preceding sentence as a “provisional redemption.” We will also have the right, at our election, to redeem all, but not less than all, of the notes, at a cash redemption price equal to the principal amount of the notes to be redeemed, plus accrued and unpaid interest, if any, to, but excluding, the redemption date, if the principal amount of the notes then outstanding is less than 10% of the aggregate principal amount of the notes issued in this offering (including any additional notes issued pursuant to any exercise of the underwriters’ option to purchase additional notes). We refer to a redemption pursuant to the provision described in the preceding sentence as a “cleanup redemption.” In addition, calling any note for provisional redemption or cleanup redemption will constitute a make-whole fundamental change with respect to that note, in which case the conversion rate applicable to the conversion of that note will be increased in certain circumstances if it is converted after it is called for such redemption.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18"/>
        </w:rPr>
      </w:pPr>
      <w:r>
        <w:rPr>
          <w:rFonts w:ascii="Times New Roman" w:hAnsi="Times New Roman"/>
          <w:sz w:val="18"/>
        </w:rPr>
        <w:t xml:space="preserve">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 </w:t>
      </w:r>
    </w:p>
    <w:p>
      <w:pPr>
        <w:pStyle w:val="TextBody"/>
        <w:bidi w:val="0"/>
        <w:spacing w:before="360" w:after="0"/>
        <w:jc w:val="left"/>
        <w:rPr>
          <w:rFonts w:ascii="Times New Roman" w:hAnsi="Times New Roman"/>
          <w:b/>
          <w:sz w:val="18"/>
        </w:rPr>
      </w:pPr>
      <w:r>
        <w:rPr>
          <w:rFonts w:ascii="Times New Roman" w:hAnsi="Times New Roman"/>
          <w:b/>
          <w:sz w:val="18"/>
        </w:rPr>
        <w:t xml:space="preserve">RANKING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our senior, unsecured obligations and will be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The notes will be structurally subordinated to all existing and future indebtedness and other liabilities, including trade payables, and (to the extent we are not a holder thereof) preferred equity, if any, of our subsidiaries. </w:t>
      </w:r>
    </w:p>
    <w:p>
      <w:pPr>
        <w:pStyle w:val="TextBody"/>
        <w:bidi w:val="0"/>
        <w:spacing w:before="360" w:after="0"/>
        <w:jc w:val="left"/>
        <w:rPr>
          <w:rFonts w:ascii="Times New Roman" w:hAnsi="Times New Roman"/>
          <w:b/>
          <w:sz w:val="18"/>
        </w:rPr>
      </w:pPr>
      <w:r>
        <w:rPr>
          <w:rFonts w:ascii="Times New Roman" w:hAnsi="Times New Roman"/>
          <w:b/>
          <w:sz w:val="18"/>
        </w:rPr>
        <w:t xml:space="preserve">CONCURRENT EQUITY OFFERING </w:t>
      </w:r>
    </w:p>
    <w:p>
      <w:pPr>
        <w:pStyle w:val="TextBody"/>
        <w:bidi w:val="0"/>
        <w:spacing w:before="120" w:after="0"/>
        <w:jc w:val="left"/>
        <w:rPr>
          <w:rFonts w:ascii="Times New Roman" w:hAnsi="Times New Roman"/>
          <w:sz w:val="18"/>
        </w:rPr>
      </w:pPr>
      <w:r>
        <w:rPr>
          <w:rFonts w:ascii="Times New Roman" w:hAnsi="Times New Roman"/>
          <w:sz w:val="18"/>
        </w:rPr>
        <w:t xml:space="preserve">Concurrently with this offering, we are offering, pursuant to a separate prospectus supplement 7,412,500 shares of our common stock and pre-funded warrants to purchase 400,000 shares of our common stock, plus up to an additional 1,171,875 shares of our common stock that the underwriters of the concurrent equity offering have the option to purchase from us (“concurrent equity offering”). The completion of this offering is not contingent on the completion of the concurrent equity offering, and the completion of the concurrent equity offering is not contingent on the completion of this offering. </w:t>
      </w:r>
    </w:p>
    <w:p>
      <w:pPr>
        <w:pStyle w:val="TextBody"/>
        <w:bidi w:val="0"/>
        <w:spacing w:before="360" w:after="0"/>
        <w:jc w:val="left"/>
        <w:rPr>
          <w:rFonts w:ascii="Times New Roman" w:hAnsi="Times New Roman"/>
          <w:b/>
          <w:sz w:val="18"/>
        </w:rPr>
      </w:pPr>
      <w:r>
        <w:rPr>
          <w:rFonts w:ascii="Times New Roman" w:hAnsi="Times New Roman"/>
          <w:b/>
          <w:sz w:val="18"/>
        </w:rPr>
        <w:t xml:space="preserve">LISTING; COMMON STOCK </w:t>
      </w:r>
    </w:p>
    <w:p>
      <w:pPr>
        <w:pStyle w:val="TextBody"/>
        <w:bidi w:val="0"/>
        <w:spacing w:before="120" w:after="0"/>
        <w:jc w:val="left"/>
        <w:rPr>
          <w:rFonts w:ascii="Times New Roman" w:hAnsi="Times New Roman"/>
          <w:sz w:val="18"/>
        </w:rPr>
      </w:pPr>
      <w:r>
        <w:rPr>
          <w:rFonts w:ascii="Times New Roman" w:hAnsi="Times New Roman"/>
          <w:sz w:val="18"/>
        </w:rPr>
        <w:t xml:space="preserve">No public market currently exists for the notes, and we do not intend to apply to list the notes on any securities exchange or for quotation on any inter-dealer quotation system. Our common stock is listed on the Nasdaq Global Select Market under the symbol “PCVX.” On October 6, 2026, the last reported sale price of our common stock was $66.70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2"/>
        <w:gridCol w:w="349"/>
        <w:gridCol w:w="60"/>
        <w:gridCol w:w="824"/>
        <w:gridCol w:w="279"/>
        <w:gridCol w:w="257"/>
        <w:gridCol w:w="141"/>
        <w:gridCol w:w="1249"/>
        <w:gridCol w:w="64"/>
      </w:tblGrid>
      <w:tr>
        <w:trPr/>
        <w:tc>
          <w:tcPr>
            <w:tcW w:w="453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3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27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53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price(1)</w:t>
            </w:r>
          </w:p>
        </w:tc>
        <w:tc>
          <w:tcPr>
            <w:tcW w:w="3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100.000</w:t>
            </w:r>
          </w:p>
        </w:tc>
        <w:tc>
          <w:tcPr>
            <w:tcW w:w="27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500,000,000</w:t>
            </w:r>
          </w:p>
        </w:tc>
        <w:tc>
          <w:tcPr>
            <w:tcW w:w="64" w:type="dxa"/>
            <w:tcBorders/>
            <w:shd w:fill="CCEEFF" w:val="clear"/>
            <w:vAlign w:val="bottom"/>
          </w:tcPr>
          <w:p>
            <w:pPr>
              <w:pStyle w:val="TableContents"/>
              <w:bidi w:val="0"/>
              <w:spacing w:before="0" w:after="283"/>
              <w:jc w:val="left"/>
              <w:rPr/>
            </w:pPr>
            <w:r>
              <w:rPr/>
              <w:t> </w:t>
            </w:r>
          </w:p>
        </w:tc>
      </w:tr>
      <w:tr>
        <w:trPr/>
        <w:tc>
          <w:tcPr>
            <w:tcW w:w="4532"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commissions(2)</w:t>
            </w:r>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2.750</w:t>
            </w:r>
          </w:p>
        </w:tc>
        <w:tc>
          <w:tcPr>
            <w:tcW w:w="27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13,750,000</w:t>
            </w:r>
          </w:p>
        </w:tc>
        <w:tc>
          <w:tcPr>
            <w:tcW w:w="64" w:type="dxa"/>
            <w:tcBorders/>
            <w:vAlign w:val="bottom"/>
          </w:tcPr>
          <w:p>
            <w:pPr>
              <w:pStyle w:val="TableContents"/>
              <w:bidi w:val="0"/>
              <w:spacing w:before="0" w:after="283"/>
              <w:jc w:val="left"/>
              <w:rPr/>
            </w:pPr>
            <w:r>
              <w:rPr/>
              <w:t> </w:t>
            </w:r>
          </w:p>
        </w:tc>
      </w:tr>
      <w:tr>
        <w:trPr/>
        <w:tc>
          <w:tcPr>
            <w:tcW w:w="453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3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97.250</w:t>
            </w:r>
          </w:p>
        </w:tc>
        <w:tc>
          <w:tcPr>
            <w:tcW w:w="27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486,250,000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and including, October 9,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refer you to “Underwriting” beginning on page S-78 of this prospectus supplement for additional information regarding underwriting compensation. </w:t>
            </w:r>
          </w:p>
        </w:tc>
      </w:tr>
    </w:tbl>
    <w:p>
      <w:pPr>
        <w:pStyle w:val="TextBody"/>
        <w:bidi w:val="0"/>
        <w:spacing w:before="240" w:after="0"/>
        <w:jc w:val="left"/>
        <w:rPr/>
      </w:pPr>
      <w:r>
        <w:rPr>
          <w:rFonts w:ascii="Times New Roman" w:hAnsi="Times New Roman"/>
          <w:sz w:val="18"/>
        </w:rPr>
        <w:t>An investment in the notes involves risks. See “</w:t>
      </w:r>
      <w:hyperlink w:anchor="supptx177446_4">
        <w:r>
          <w:rPr>
            <w:rStyle w:val="InternetLink"/>
            <w:rFonts w:ascii="Times New Roman" w:hAnsi="Times New Roman"/>
            <w:sz w:val="18"/>
          </w:rPr>
          <w:t>Risk Factors</w:t>
        </w:r>
      </w:hyperlink>
      <w:r>
        <w:rPr>
          <w:rFonts w:ascii="Times New Roman" w:hAnsi="Times New Roman"/>
          <w:sz w:val="18"/>
        </w:rPr>
        <w:t xml:space="preserve">” beginning on page S-15.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or foreign securities commission or regulatory authority has approved or disapproved of the notes or the shares of our common stock, if any, issuable upon conversion of the notes or passed upon the adequacy or accuracy of this prospectus supplement or the accompanying base prospectus. Any representation to the contrary is a criminal offense. </w:t>
      </w:r>
    </w:p>
    <w:p>
      <w:pPr>
        <w:pStyle w:val="TextBody"/>
        <w:bidi w:val="0"/>
        <w:spacing w:before="240" w:after="0"/>
        <w:jc w:val="left"/>
        <w:rPr>
          <w:rFonts w:ascii="Times New Roman" w:hAnsi="Times New Roman"/>
          <w:sz w:val="18"/>
        </w:rPr>
      </w:pPr>
      <w:r>
        <w:rPr>
          <w:rFonts w:ascii="Times New Roman" w:hAnsi="Times New Roman"/>
          <w:sz w:val="18"/>
        </w:rPr>
        <w:t xml:space="preserve">We expect to deliver the notes in book-entry form through the facilities of The Depository Trust Company on or about October 9, 2026, which will be the second business day after the initial trade date for the notes (this settlement cycle being referred to as “T+2”).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87"/>
        <w:gridCol w:w="82"/>
        <w:gridCol w:w="2073"/>
        <w:gridCol w:w="82"/>
        <w:gridCol w:w="1942"/>
        <w:gridCol w:w="82"/>
        <w:gridCol w:w="2862"/>
        <w:gridCol w:w="82"/>
        <w:gridCol w:w="1713"/>
      </w:tblGrid>
      <w:tr>
        <w:trPr/>
        <w:tc>
          <w:tcPr>
            <w:tcW w:w="128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b/>
              </w:rPr>
            </w:pPr>
            <w:r>
              <w:rPr>
                <w:b/>
              </w:rPr>
              <w:t>Jefferies</w:t>
            </w:r>
          </w:p>
        </w:tc>
        <w:tc>
          <w:tcPr>
            <w:tcW w:w="82"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left"/>
              <w:rPr>
                <w:b/>
              </w:rPr>
            </w:pPr>
            <w:r>
              <w:rPr>
                <w:b/>
              </w:rPr>
              <w:t>Leerink Partners</w:t>
            </w:r>
          </w:p>
        </w:tc>
        <w:tc>
          <w:tcPr>
            <w:tcW w:w="82"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left"/>
              <w:rPr>
                <w:b/>
              </w:rPr>
            </w:pPr>
            <w:r>
              <w:rPr>
                <w:b/>
              </w:rPr>
              <w:t>BofA Securities</w:t>
            </w:r>
          </w:p>
        </w:tc>
        <w:tc>
          <w:tcPr>
            <w:tcW w:w="82" w:type="dxa"/>
            <w:tcBorders/>
            <w:vAlign w:val="bottom"/>
          </w:tcPr>
          <w:p>
            <w:pPr>
              <w:pStyle w:val="TableContents"/>
              <w:bidi w:val="0"/>
              <w:spacing w:before="0" w:after="283"/>
              <w:jc w:val="left"/>
              <w:rPr/>
            </w:pPr>
            <w:r>
              <w:rPr/>
              <w:t> </w:t>
            </w:r>
          </w:p>
        </w:tc>
        <w:tc>
          <w:tcPr>
            <w:tcW w:w="2862" w:type="dxa"/>
            <w:tcBorders/>
          </w:tcPr>
          <w:p>
            <w:pPr>
              <w:pStyle w:val="TableContents"/>
              <w:bidi w:val="0"/>
              <w:spacing w:before="0" w:after="283"/>
              <w:jc w:val="left"/>
              <w:rPr>
                <w:b/>
              </w:rPr>
            </w:pPr>
            <w:r>
              <w:rPr>
                <w:b/>
              </w:rPr>
              <w:t>Goldman Sachs &amp; Co. LLC</w:t>
            </w:r>
          </w:p>
        </w:tc>
        <w:tc>
          <w:tcPr>
            <w:tcW w:w="82"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right"/>
              <w:rPr>
                <w:b/>
              </w:rPr>
            </w:pPr>
            <w:r>
              <w:rPr>
                <w:b/>
              </w:rPr>
              <w:t>Evercore ISI</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center"/>
              <w:rPr>
                <w:b/>
              </w:rPr>
            </w:pPr>
            <w:r>
              <w:rPr>
                <w:b/>
              </w:rPr>
              <w:t>Guggenheim Securities</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center"/>
              <w:rPr>
                <w:b/>
              </w:rPr>
            </w:pPr>
            <w:r>
              <w:rPr>
                <w:b/>
              </w:rPr>
              <w:t>Mizuho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i/>
              </w:rPr>
            </w:pPr>
            <w:r>
              <w:rPr>
                <w:i/>
              </w:rPr>
              <w:t>Lead Manager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sz w:val="18"/>
              </w:rPr>
            </w:pPr>
            <w:r>
              <w:rPr>
                <w:b/>
                <w:sz w:val="18"/>
              </w:rPr>
              <w:t>Needham &amp; Company</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i/>
              </w:rPr>
            </w:pPr>
            <w:r>
              <w:rPr>
                <w:i/>
              </w:rPr>
              <w:t>Financial Advisor to Vaxcyte, Inc.</w:t>
            </w:r>
          </w:p>
        </w:tc>
      </w:tr>
      <w:tr>
        <w:trPr/>
        <w:tc>
          <w:tcPr>
            <w:tcW w:w="10205" w:type="dxa"/>
            <w:gridSpan w:val="3"/>
            <w:tcBorders/>
            <w:vAlign w:val="bottom"/>
          </w:tcPr>
          <w:p>
            <w:pPr>
              <w:pStyle w:val="TableContents"/>
              <w:bidi w:val="0"/>
              <w:spacing w:before="0" w:after="283"/>
              <w:jc w:val="center"/>
              <w:rPr>
                <w:b/>
                <w:sz w:val="18"/>
              </w:rPr>
            </w:pPr>
            <w:r>
              <w:rPr>
                <w:b/>
                <w:sz w:val="18"/>
              </w:rPr>
              <w:t>J. Wood Capital Advisors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October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ptx17744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9">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0">
              <w:r>
                <w:rPr>
                  <w:rStyle w:val="InternetLink"/>
                  <w:rFonts w:ascii="Times New Roman" w:hAnsi="Times New Roman"/>
                  <w:sz w:val="20"/>
                </w:rPr>
                <w:t>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0a">
              <w:r>
                <w:rPr>
                  <w:rStyle w:val="InternetLink"/>
                  <w:rFonts w:ascii="Times New Roman" w:hAnsi="Times New Roman"/>
                  <w:sz w:val="20"/>
                </w:rPr>
                <w:t xml:space="preserve">THE CONCURRENT EQUITY OFFERING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1">
              <w:r>
                <w:rPr>
                  <w:rStyle w:val="InternetLink"/>
                  <w:rFonts w:ascii="Times New Roman" w:hAnsi="Times New Roman"/>
                  <w:sz w:val="20"/>
                </w:rPr>
                <w:t xml:space="preserve">UNDERWRITING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1a">
              <w:r>
                <w:rPr>
                  <w:rStyle w:val="InternetLink"/>
                  <w:rFonts w:ascii="Times New Roman" w:hAnsi="Times New Roman"/>
                  <w:sz w:val="20"/>
                </w:rPr>
                <w:t xml:space="preserve">LEGAL MATTERS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2">
              <w:r>
                <w:rPr>
                  <w:rStyle w:val="InternetLink"/>
                  <w:rFonts w:ascii="Times New Roman" w:hAnsi="Times New Roman"/>
                  <w:sz w:val="20"/>
                </w:rPr>
                <w:t xml:space="preserve">EXPERTS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2a">
              <w:r>
                <w:rPr>
                  <w:rStyle w:val="InternetLink"/>
                  <w:rFonts w:ascii="Times New Roman" w:hAnsi="Times New Roman"/>
                  <w:sz w:val="20"/>
                </w:rPr>
                <w:t xml:space="preserve">WHERE YOU CAN FIND MORE INFORMATION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S-86</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7744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notes. Before buying any of the notes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notes and also adds to, updates and changes information contained in the accompanying prospectus and the documents incorporated by reference herein and therein. The second part is the accompanying prospectus, which gives more general information. To the extent the information contained in this prospectus supplement differs from or conflicts with the information contained in the accompanying prospectus or any document incorporated by reference herein or therein, the information in this prospectus supplement will control. If any statement in one of these documents is inconsistent with a statement in another document having a later date—for example, a document incorporated by reference into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 we have authorized for use in connection with this offering. We take, and the underwriters take, no responsibility for, and can provide no assurance as to the reliability of, any other information that others may give you. We are offering to sell, and seeking offers to buy, the notes only in jurisdictions where offers and sales are permitted. The information contained in this prospectus supplement, the accompanying prospectus and any authorized free writing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the notes.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done anything that would permit this offering or possession or distribution of this prospectus supplement and the accompanying prospectus in any jurisdiction where action for that purpose is required, other than in the United States. Persons who come into possession of this prospectus supplement, the accompanying prospectus and any free writing prospectus related to this offering in jurisdictions outside the United States are required to inform themselves about and to observe any restrictions as to this offering and the distribution of this prospectus supplement, the accompanying prospectus and any such free writing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“our company” and “Vaxcyte” refer to Vaxcyte, Inc. and its consolidated subsidiary, as reflected in the consolidated financial statements incorporated by reference herein. Accordingly, references in this prospectus supplement to our “subsidiary” or “subsidiaries,” as the context requires, refer to our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may include trademarks, service marks and trade names owned by us or other companies. All trademarks, service marks and trade names included or incorporated by reference into this prospectus supplement or the accompanying prospectus are the property of their respective owners. Vaxcyte, the Vaxcyte logo and our other registered or common law trade names, trademarks or service marks appearing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the accompanying prospectus and the documents incorporated by reference herein and therein are the property of Vaxcyte, Inc. or exclusively licensed for Vaxcyte’s use. Solely for convenience, trademarks and tradenames referred to in this prospectus supplement, the accompanying prospectus and the documents incorporated by reference herein and therein may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tx177446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notes. You should read and consider carefully the more detailed information in this prospectus supplement and the accompanying prospectus (including the documents incorporated by reference herein and therein), including the factors described under the heading “Risk Factors” in this prospectus supplement and documents incorporated by reference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Vaccines are one of the most successful and cost-effective global health interventions and prevent millions of deaths worldwide each year. Routine pediatric vaccinations in the United States are estimated to prevent approximately 17 million cases of disease over the lifetimes of each annual birth cohort, and it is estimated that every $1 spent on childhood vaccination results in savings of approximately $11. Adult vaccination has increased with the introduction of new vaccines along with expanded age recommendations and growing international adoption, which is contributing to the growth of the overall vaccine market. Given the critical role vaccines play in preventing disease from childhood through adulthood, the global vaccine market is large, durable and growing. There are areas of significant unmet medical need, including vaccines that can provide broader protection, against both currently circulating and historically prevalent strains,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bdr w:val="single" w:sz="8" w:space="1" w:color="000000"/>
        </w:rPr>
      </w:pPr>
      <w:r>
        <w:rPr>
          <w:bdr w:val="single" w:sz="8" w:space="1" w:color="000000"/>
        </w:rPr>
        <w:drawing>
          <wp:inline distT="0" distB="0" distL="0" distR="0">
            <wp:extent cx="5778500" cy="2533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0" cy="25330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candidates that we believe are among the broadest-spectrum PCV candidates currently in development, targeting the approximately $8.5 billion global pneumococcal vaccine market. Pneumococcal disease (“PD”) is an infection caused by </w:t>
            </w:r>
            <w:r>
              <w:rPr>
                <w:rFonts w:ascii="Times New Roman" w:hAnsi="Times New Roman"/>
                <w:i/>
                <w:sz w:val="20"/>
              </w:rPr>
              <w:t xml:space="preserve">Streptococcus pneumoniae </w:t>
            </w:r>
            <w:r>
              <w:rPr>
                <w:rFonts w:ascii="Times New Roman" w:hAnsi="Times New Roman"/>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Adult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(Low, Middle and High) and compared to Prevnar 20® (“PCV20”) in 1,015 healthy adults aged 50 and older. VAX-31 was observed to be well tolerated and demonstrated a safety profile at all doses studied through the full six-month evaluation period similar to PCV20. VAX-31 showed robust OPA immune responses for all 31 serotypes at all doses studied.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these positive results, we selected the High Dose of VAX-31 to advance to an adult Phase 3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2024, we announced that the U.S. Food and Drug Administration (“FDA”) granted breakthrough therapy designation (“BTD”) for VAX-31 for the prevention of IPD in adults and, in August 2025, we announced that the FDA expanded the BTD for VAX-31 to include the prevention of pneumonia caused by </w:t>
            </w:r>
            <w:r>
              <w:rPr>
                <w:rFonts w:ascii="Times New Roman" w:hAnsi="Times New Roman"/>
                <w:i/>
                <w:sz w:val="20"/>
              </w:rPr>
              <w:t>Streptococcus pneumoniae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2025, following an FDA End-of-Phase 2 meeting, we announced that the first participants were dosed in a Phase 3 pivotal, non-inferiority trial (“OPUS-1”) evaluating the safety, tolerability and immune responses of VAX-31 in healthy, pneumococcal-naïve (defined as having no known prior history of IPD or pneumococcal pneumonia, or receipt of any licensed or investigational pneumococcal vaccine) adults aged 50 and older through direct, head-to-head comparisons with both PCV20 and PCV21, the current standard-of-care PCVs. In March 2026, we announced that we completed enrollment of this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0"/>
        <w:gridCol w:w="7964"/>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the initiation of an additional Phase 3 trial evaluating VAX-31 when administered concomitantly with a licensed, high-dose seasonal influenza vaccine in pneumococcal-naïve adults aged 50 years and older (“OPUS-2”). In February 2026, we announced the initiation of a separate Phase 3 study evaluating VAX-31 in adults previously vaccinated with a lower-valency pneumococcal vaccine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manufacturing consistency study (e.g., a lot-to-lot study) to be the final Phase 3 study to enable the potential submission of a Biologics License Application (“BLA”).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Phase 3 study, VAX-31 was well tolerated and demonstrated a safety profile similar to PCV20 and Capvaxive® (“PCV21”) at all ages studied. VAX-31 met all prespecified co-primary immunogenicity endpoints in adults 50 and older. All 28 VAX-31 serotypes shared with PCV20 and/or PCV21 met the prespecified noninferiority criteria (lower bound of the 95% confidence interval (“LBCI”) &gt;0.667). For the 11 serotypes shared by VAX-31, PCV20 and PCV21, VAX-31 met all 11 primary noninferiority assessments based on opsonophagocytic activity (“OPA”) geometric mean ratios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20 serotypes shared with PCV20 and 17 of 19 shared with PCV21. Compared to PCV21, serotypes 3 and 12F missed the LBCI &gt;0.667 noninferiority criterion and met the historical LBCI &gt;0.5 threshold.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Pediatric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 w:hAnsi="Times New Roman"/>
                <w:i/>
                <w:sz w:val="20"/>
              </w:rPr>
              <w:t>Streptococcus pneumoniae</w:t>
            </w:r>
            <w:r>
              <w:rPr>
                <w:rFonts w:ascii="Times New Roman" w:hAnsi="Times New Roman"/>
                <w:sz w:val="20"/>
              </w:rPr>
              <w:t xml:space="preserve"> in U.S. children five years of age or under.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2"/>
        <w:gridCol w:w="101"/>
        <w:gridCol w:w="7963"/>
      </w:tblGrid>
      <w:tr>
        <w:trPr/>
        <w:tc>
          <w:tcPr>
            <w:tcW w:w="193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3.3mcg, respectively, except serotypes 1, 5 and 22F, which were dosed at 1.65mcg, 3.3mcg, and 4.4mcg, respectively. Participants who received VAX-31 in Stage 1 continued the standard dosing regimen as part of Stage 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discontinued further enrollment in the Low Dose arm. The Middle and High Dose arms continued as planned.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modified study is evaluating the safety, tolerability and immunogenicity of VAX-31 compared to PCV20 in 900 participants, including the 100 participants previously enrolled in the Low Dose arm.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that we completed enrollment of this study. We expect to announce topline safety, tolerability and immunogenicity data from the primary three-dose immunization series and booster dose either sequentially or together by the end of the first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the VAX-31 Phase 2 infant study readout, we plan to initiate a Phase 3 program in infants with an Optimized Dose formulation of VAX-24 or VAX-31.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3"/>
        <w:gridCol w:w="202"/>
        <w:gridCol w:w="8273"/>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VAX-24 is a 24-valent, broad-spectrum, carrier-sparing investigational PCV being developed for the prevention of IPD in infants, and it covers more serotypes than any pneumococcal infant vaccine on the market today.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announced positive topline, interim data from the VAX-24 infant Phase 2 study, a randomized, observer-blind, dose-finding two-stage clinical study evaluating the safety, tolerability and immunogenicity of VAX-24 in healthy infants that enrolled 803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938"/>
        <w:gridCol w:w="203"/>
        <w:gridCol w:w="101"/>
        <w:gridCol w:w="7963"/>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study, VAX-24 was well-tolerated and demonstrated a safety profile similar to PCV20 across all doses studied. Post-dose 3 and post-dose 4, all VAX-24 doses evaluated demonstrated robust IgG and OPA immunogenicity responses.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percentage of IPD caused in individuals &lt;5 years of age in the U.S. in 2023 based on the U.S. Center for Disease Control (“CDC”) active bacterial core (“ABC”)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4, all VAX-24 doses met our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0"/>
        <w:gridCol w:w="7963"/>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the four incremental serotypes unique to VAX-24 that provide expanded serotype coverage relative to PCV20 elicited robust immune responses and met all target criteria across all endpoints at all doses evaluated.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2"/>
        <w:gridCol w:w="7961"/>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the final data from the VAX-24 infant Phase 2 dose-finding study further supported our rationale for exploring higher doses in the ongoing VAX-31 infant Phase 2 study.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VAX-XL is a third-generation PCV candidate designed to provide the broadest coverage of any PCV currently in 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VAX-A1 is a novel conjugate vaccine candidate designed to prevent disease caused by Group A Streptococcus (</w:t>
            </w:r>
            <w:r>
              <w:rPr>
                <w:rFonts w:ascii="Times New Roman" w:hAnsi="Times New Roman"/>
                <w:i/>
                <w:sz w:val="20"/>
              </w:rPr>
              <w:t>Streptococcus pyogenes</w:t>
            </w:r>
            <w:r>
              <w:rPr>
                <w:rFonts w:ascii="Times New Roman" w:hAnsi="Times New Roman"/>
                <w:sz w:val="20"/>
              </w:rPr>
              <w:t xml:space="preserve">)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June 2026, we initiated a Phase 1 adult study for VAX-A1, with the primary objective of assessing safety and tolerability, along with a secondary objective of evaluating initial immunogenicity data, to support potential further advancement. We expect to report topline data from this study in the second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VAX-GI is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Other discovery-stage programs that leverage our cell-free protein synthesis platform, which, if proven successful in preclinical studies, could also be advanced into IND-enabling activities and clinical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VAX-31 Phase 3 OPUS-1 Study in Adults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5,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In this study, VAX-31 was well tolerated and demonstrated a safety profile similar to PCV20 and PCV21 at all ages studied. VAX-31 met all prespecified co-primary immunogenicity endpoints in adults 50 and older. All 28 VAX-31 serotypes shared with PCV20 and/or PCV21 met the prespecified noninferiority criteria (LBCI &gt;0.667). For the 11 serotypes shared by VAX-31, PCV20 and PCV21, VAX-31 met all 11 primary noninferiority assessments based on OPA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PCV21. Compared to PCV21, serotypes 3 and 12F missed the LBCI &gt;0.667 noninferiority criterion and met the historical LBCI &gt;0.5 threshold.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Concurrent Equity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this offering, we are offering, pursuant to a separate prospectus supplement, 7,412,500 shares of our common stock and pre-funded warrants to purchase 400,000 shares of common stock, plus up to an additional 1,171,875 shares of our common stock that the underwriters of the concurrent equity offering have the option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purchase from us. 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that we are offering pursuant to this prospectus supplement. See “The Concurrent Equity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Certain Unaudited Preliminary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our financial results as of and for the three months ended September 30, 2026 are not yet finalized, based on currently available information, we expect cash, cash equivalents and investments as of September 30, 2026 to be reported as approximately $2.3 billion. Neither our independent accountants, nor any other independent accountants, have compiled, examined, or performed any procedures with respect to the preliminary financial information contained herein, nor have they expressed any opinion or any other form of assurance on such information, and assume no responsibility for, and disclaim any association with, the preliminary financial information.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2013 as SutroVax, Inc. and changed our name to Vaxcyte, Inc. in May 2020. Our principal executive offices are located at 825 Industrial Road, Suite 300, San Carlos, California 94070. Our telephone number is (650) 837-0111. Our website address is https://www.vaxcyte.com. Information contained on, or that can be accessed through, our website is not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177446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summary below describes the principal terms of the notes. Certain of the terms of the notes described below are subject to important limitations and exceptions that are described in more detail under the caption </w:t>
      </w:r>
      <w:r>
        <w:rPr>
          <w:rFonts w:ascii="Times New Roman" w:hAnsi="Times New Roman"/>
          <w:sz w:val="20"/>
          <w:bdr w:val="single" w:sz="8" w:space="1" w:color="000000"/>
        </w:rPr>
        <w:t>“</w:t>
      </w:r>
      <w:r>
        <w:rPr>
          <w:rFonts w:ascii="Times New Roman" w:hAnsi="Times New Roman"/>
          <w:i/>
          <w:sz w:val="20"/>
          <w:bdr w:val="single" w:sz="8" w:space="1" w:color="000000"/>
        </w:rPr>
        <w:t>Description of Notes.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As used in this section, (i) </w:t>
      </w:r>
      <w:r>
        <w:rPr>
          <w:rFonts w:ascii="Times New Roman" w:hAnsi="Times New Roman"/>
          <w:sz w:val="20"/>
          <w:bdr w:val="single" w:sz="8" w:space="1" w:color="000000"/>
        </w:rPr>
        <w:t>“</w:t>
      </w:r>
      <w:r>
        <w:rPr>
          <w:rFonts w:ascii="Times New Roman" w:hAnsi="Times New Roman"/>
          <w:i/>
          <w:sz w:val="20"/>
          <w:bdr w:val="single" w:sz="8" w:space="1" w:color="000000"/>
        </w:rPr>
        <w:t>we,</w:t>
      </w:r>
      <w:r>
        <w:rPr>
          <w:rFonts w:ascii="Times New Roman" w:hAnsi="Times New Roman"/>
          <w:sz w:val="20"/>
          <w:bdr w:val="single" w:sz="8" w:space="1" w:color="000000"/>
        </w:rPr>
        <w:t>” “</w:t>
      </w:r>
      <w:r>
        <w:rPr>
          <w:rFonts w:ascii="Times New Roman" w:hAnsi="Times New Roman"/>
          <w:i/>
          <w:sz w:val="20"/>
          <w:bdr w:val="single" w:sz="8" w:space="1" w:color="000000"/>
        </w:rPr>
        <w:t>our</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w:t>
      </w:r>
      <w:r>
        <w:rPr>
          <w:rFonts w:ascii="Times New Roman" w:hAnsi="Times New Roman"/>
          <w:sz w:val="20"/>
          <w:bdr w:val="single" w:sz="8" w:space="1" w:color="000000"/>
        </w:rPr>
        <w:t>“</w:t>
      </w:r>
      <w:r>
        <w:rPr>
          <w:rFonts w:ascii="Times New Roman" w:hAnsi="Times New Roman"/>
          <w:i/>
          <w:sz w:val="20"/>
          <w:bdr w:val="single" w:sz="8" w:space="1" w:color="000000"/>
        </w:rPr>
        <w:t>us</w:t>
      </w:r>
      <w:r>
        <w:rPr>
          <w:rFonts w:ascii="Times New Roman" w:hAnsi="Times New Roman"/>
          <w:sz w:val="20"/>
          <w:bdr w:val="single" w:sz="8" w:space="1" w:color="000000"/>
        </w:rPr>
        <w:t xml:space="preserve">” </w:t>
      </w:r>
      <w:r>
        <w:rPr>
          <w:rFonts w:ascii="Times New Roman" w:hAnsi="Times New Roman"/>
          <w:i/>
          <w:sz w:val="20"/>
          <w:bdr w:val="single" w:sz="8" w:space="1" w:color="000000"/>
        </w:rPr>
        <w:t>refer to Vaxcyte, Inc. and not to its consolidated subsidiary; and (ii)</w:t>
      </w:r>
      <w:r>
        <w:rPr>
          <w:rFonts w:ascii="Times New Roman" w:hAnsi="Times New Roman"/>
          <w:sz w:val="20"/>
          <w:bdr w:val="single" w:sz="8" w:space="1" w:color="000000"/>
        </w:rPr>
        <w:t> </w:t>
      </w:r>
      <w:r>
        <w:rPr>
          <w:rFonts w:ascii="Times New Roman" w:hAnsi="Times New Roman"/>
          <w:i/>
          <w:sz w:val="20"/>
          <w:bdr w:val="single" w:sz="8" w:space="1" w:color="000000"/>
        </w:rPr>
        <w:t xml:space="preserve">our </w:t>
      </w:r>
      <w:r>
        <w:rPr>
          <w:rFonts w:ascii="Times New Roman" w:hAnsi="Times New Roman"/>
          <w:sz w:val="20"/>
          <w:bdr w:val="single" w:sz="8" w:space="1" w:color="000000"/>
        </w:rPr>
        <w:t>“</w:t>
      </w:r>
      <w:r>
        <w:rPr>
          <w:rFonts w:ascii="Times New Roman" w:hAnsi="Times New Roman"/>
          <w:i/>
          <w:sz w:val="20"/>
          <w:bdr w:val="single" w:sz="8" w:space="1" w:color="000000"/>
        </w:rPr>
        <w:t>common stock</w:t>
      </w:r>
      <w:r>
        <w:rPr>
          <w:rFonts w:ascii="Times New Roman" w:hAnsi="Times New Roman"/>
          <w:sz w:val="20"/>
          <w:bdr w:val="single" w:sz="8" w:space="1" w:color="000000"/>
        </w:rPr>
        <w:t xml:space="preserve">” </w:t>
      </w:r>
      <w:r>
        <w:rPr>
          <w:rFonts w:ascii="Times New Roman" w:hAnsi="Times New Roman"/>
          <w:i/>
          <w:sz w:val="20"/>
          <w:bdr w:val="single" w:sz="8" w:space="1" w:color="000000"/>
        </w:rPr>
        <w:t>refers</w:t>
      </w:r>
      <w:r>
        <w:rPr>
          <w:rFonts w:ascii="Times New Roman" w:hAnsi="Times New Roman"/>
          <w:sz w:val="20"/>
          <w:bdr w:val="single" w:sz="8" w:space="1" w:color="000000"/>
        </w:rPr>
        <w:t xml:space="preserve"> </w:t>
      </w:r>
      <w:r>
        <w:rPr>
          <w:rFonts w:ascii="Times New Roman" w:hAnsi="Times New Roman"/>
          <w:i/>
          <w:sz w:val="20"/>
          <w:bdr w:val="single" w:sz="8" w:space="1" w:color="000000"/>
        </w:rPr>
        <w:t>to our common stock, $0.001 par value per share</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Vaxcyte,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w:t>
            </w:r>
          </w:p>
        </w:tc>
        <w:tc>
          <w:tcPr>
            <w:tcW w:w="6329" w:type="dxa"/>
            <w:tcBorders/>
          </w:tcPr>
          <w:p>
            <w:pPr>
              <w:pStyle w:val="TableContents"/>
              <w:bidi w:val="0"/>
              <w:spacing w:before="0" w:after="283"/>
              <w:jc w:val="left"/>
              <w:rPr/>
            </w:pPr>
            <w:r>
              <w:rPr/>
              <w:t xml:space="preserve">$500,000,000 aggregate principal amount of 1.50% convertible senior notes due 2032. We have granted the underwriters an option, which is exercisable within 30 days after the date of this prospectus supplement, to purchase up to an additional $75,000,000 aggregate principal amount of notes solely to cover over-allotments.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w:t>
            </w:r>
          </w:p>
        </w:tc>
        <w:tc>
          <w:tcPr>
            <w:tcW w:w="6327" w:type="dxa"/>
            <w:tcBorders/>
          </w:tcPr>
          <w:p>
            <w:pPr>
              <w:pStyle w:val="TableContents"/>
              <w:bidi w:val="0"/>
              <w:spacing w:before="0" w:after="283"/>
              <w:jc w:val="left"/>
              <w:rPr/>
            </w:pPr>
            <w:r>
              <w:rPr/>
              <w:t xml:space="preserve">October 9, 2026, which will be the second business day following the initial trade date for the notes offered pursuant to this prospectus supplement (this settlement cycle being referred to as “T+2”). Under Rule 15c6-1 under the Exchange Act, trades in the secondary market generally are required to settle in one business day, unless the parties to any such trade expressly agree otherwise. Accordingly, purchasers who wish to trade the notes being offered hereby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7" w:type="dxa"/>
            <w:tcBorders/>
          </w:tcPr>
          <w:p>
            <w:pPr>
              <w:pStyle w:val="TableContents"/>
              <w:bidi w:val="0"/>
              <w:spacing w:before="0" w:after="283"/>
              <w:jc w:val="left"/>
              <w:rPr/>
            </w:pPr>
            <w:r>
              <w:rPr/>
              <w:t xml:space="preserve">The notes will be our senior, unsecured obligations and will 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our existing and future senior, unsecured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our existing and future indebtedness that is expressly subordinated to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our existing and future secured indebtedness, to the extent of the value of the collateral securing that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including trade payables, and (to the extent we are not a holder thereof) preferred equity, if any,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8" w:type="dxa"/>
            <w:tcBorders/>
          </w:tcPr>
          <w:p>
            <w:pPr>
              <w:pStyle w:val="TableContents"/>
              <w:bidi w:val="0"/>
              <w:spacing w:before="0" w:after="283"/>
              <w:jc w:val="left"/>
              <w:rPr/>
            </w:pPr>
            <w:r>
              <w:rPr/>
              <w:t xml:space="preserve">October 15, 2032, unless earlier repurchased, redeemed or converted.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9" w:type="dxa"/>
            <w:tcBorders/>
          </w:tcPr>
          <w:p>
            <w:pPr>
              <w:pStyle w:val="TableContents"/>
              <w:bidi w:val="0"/>
              <w:spacing w:before="0" w:after="283"/>
              <w:jc w:val="left"/>
              <w:rPr/>
            </w:pPr>
            <w:r>
              <w:rPr/>
              <w:t xml:space="preserve">1.50% per annum, payable semi-annually in arrears on April 15 and October 15 of each year, beginning on April 15, 2027. In addition, special interest will accrue on the notes in the circumstances described under the caption “Description of Notes—Events of Default—Special Interest as Sole Remedy for Certain Reporting Defaults”.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Conversion Rights </w:t>
            </w:r>
          </w:p>
        </w:tc>
        <w:tc>
          <w:tcPr>
            <w:tcW w:w="6327" w:type="dxa"/>
            <w:tcBorders/>
          </w:tcPr>
          <w:p>
            <w:pPr>
              <w:pStyle w:val="TableContents"/>
              <w:bidi w:val="0"/>
              <w:spacing w:before="0" w:after="283"/>
              <w:jc w:val="left"/>
              <w:rPr/>
            </w:pPr>
            <w:r>
              <w:rPr/>
              <w:t xml:space="preserve">Noteholders may convert their notes at their option only in the following circumstances: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30 consecutive trading days immediately after the period consisting of the first 20 trading days of any calendar quarter commencing after the calendar quarter ending on December 31, 2026, if the last reported sale price per share of our common stock exceeds 130% of the conversion price for each of at least five trading days during such 20 trading day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certain corporate events or distributions on our common stock, as described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call such notes for redemption;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from, and including, July 15, 2032 until the close of business on the second scheduled trading day immediately before the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will settle conversions by paying or delivering, as applicable, cash, shares of our common stock or a combination of cash and shares of our common stock, at our election, based on the applicable conversion rate(s). If we elect to deliver cash or a combination of cash and shares of our common stock, then the consideration due upon conversion will be determined over an observation period consisting of 20 “VWAP trading days” (as defined in this prospectus supplement). The initial conversion rate is 11.1607 shares per $1,000 principal amount of notes, which represents an initial conversion price of approximately $89.60 per share, and is subject to adjustment as described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a “make-whole fundamental change” (as defined in this prospectus supplement) occurs, then we will in certain circumstances increase the conversion rate for a specified period of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Notes—Conversion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Provisional Redemption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the right, at our election, to redeem (a “provisional redemption”) all, or any portion (subject to certain limitations described below),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notes pursuant to a provisional redemption unless at least $75.0 million aggregate principal amount of notes are outstanding and not called for redemption as of the time we send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See “Description of Notes—Optional Redemption—Provisional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Cleanup Redemption </w:t>
            </w:r>
          </w:p>
        </w:tc>
        <w:tc>
          <w:tcPr>
            <w:tcW w:w="6327" w:type="dxa"/>
            <w:tcBorders/>
          </w:tcPr>
          <w:p>
            <w:pPr>
              <w:pStyle w:val="TableContents"/>
              <w:bidi w:val="0"/>
              <w:spacing w:before="0" w:after="283"/>
              <w:jc w:val="left"/>
              <w:rPr/>
            </w:pPr>
            <w:r>
              <w:rPr/>
              <w:t xml:space="preserve">We will have the right, at our election,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 the notes outstanding at the time we send the related redemption notice is less than 10% of the aggregate principal amount of the notes issued in this offering (including any additional notes issued pursuant to any exercise of the underwriters’ option to purchase additional notes). In addition, calling the notes for cleanup redemption will constitute a make-whole fundamental change, which will require us to increase the conversion rate in certain circumstances for a specified period of time. See “Description of Notes—Optional Redemption—Cleanup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at the Option of the Noteholders After a Fundamental Change </w:t>
            </w:r>
          </w:p>
        </w:tc>
        <w:tc>
          <w:tcPr>
            <w:tcW w:w="6328" w:type="dxa"/>
            <w:tcBorders/>
          </w:tcPr>
          <w:p>
            <w:pPr>
              <w:pStyle w:val="TableContents"/>
              <w:bidi w:val="0"/>
              <w:spacing w:before="0" w:after="283"/>
              <w:jc w:val="left"/>
              <w:rPr/>
            </w:pPr>
            <w:r>
              <w:rPr/>
              <w:t xml:space="preserve">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 to, but excluding, the fundamental change repurchase date. See “Description of Notes—Fundamental Change Permits Noteholders to Require Us to Repurchase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Paying Agent and Conversion Agent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Public Market </w:t>
            </w:r>
          </w:p>
        </w:tc>
        <w:tc>
          <w:tcPr>
            <w:tcW w:w="6327" w:type="dxa"/>
            <w:tcBorders/>
          </w:tcPr>
          <w:p>
            <w:pPr>
              <w:pStyle w:val="TableContents"/>
              <w:bidi w:val="0"/>
              <w:spacing w:before="0" w:after="283"/>
              <w:jc w:val="left"/>
              <w:rPr/>
            </w:pPr>
            <w:r>
              <w:rPr/>
              <w:t xml:space="preserve">The notes are a new class of securities for which no public market currently exists. We do not intend to apply to list the notes on any securities exchange or for quotation on any inter-dealer quotation system. Accordingly, a liquid market for the notes may never develop. Certain of the underwriters have advised us that they intend to make a market in the notes. However, they are not obligated to do so and may discontinue any market-making activity at any time and without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6328" w:type="dxa"/>
            <w:tcBorders/>
          </w:tcPr>
          <w:p>
            <w:pPr>
              <w:pStyle w:val="TableContents"/>
              <w:bidi w:val="0"/>
              <w:spacing w:before="0" w:after="283"/>
              <w:jc w:val="left"/>
              <w:rPr/>
            </w:pPr>
            <w:r>
              <w:rPr/>
              <w:t xml:space="preserve">Our common stock is listed on the Nasdaq Global Select Market under the symbol “PCVX.” On October 6, 2026, the last reported sale price of our common stock was $66.70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to us from this offering will be approximately $485.8 million (or approximately $558.7 million if the underwriters fully exercise their option to purchase additional notes), after deducting the underwriting discounts and commissions and our estimated offering expenses. Our primary use of the net proceeds from this offering, together with the net proceeds from the concurrent equity offering described below, if it is consummated, will be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 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Concurrent Equity Offering </w:t>
            </w:r>
          </w:p>
        </w:tc>
        <w:tc>
          <w:tcPr>
            <w:tcW w:w="6330" w:type="dxa"/>
            <w:tcBorders/>
          </w:tcPr>
          <w:p>
            <w:pPr>
              <w:pStyle w:val="TableContents"/>
              <w:bidi w:val="0"/>
              <w:spacing w:before="0" w:after="283"/>
              <w:jc w:val="left"/>
              <w:rPr/>
            </w:pPr>
            <w:r>
              <w:rPr/>
              <w:t xml:space="preserve">Concurrently with this offering, we are offering, pursuant to a separate prospectus supplement, 7,412,500 shares of our common stock and pre-funded warrants to purchase 400,000 shares of common stock, plus up to an additional 1,171,875 shares of our common stock that the underwriters of the concurrent equity offering have the option to purchase from us. We estimate that the net proceeds to us from the concurrent equity offering, if it is consummated, will be approximately $473.3 million (or approximately $544.3 million if the underwriters of the concurrent equity offering fully exercise their option to purchase additional shares of common stock), after deducting the underwriting discounts and commissions and our estimated offering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we are offering pursuant to this prospectus supplement. See “The Concurrent Equity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the notes involves risks. See “Risk Factors.”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 Federal Income Tax Considerations </w:t>
            </w:r>
          </w:p>
        </w:tc>
        <w:tc>
          <w:tcPr>
            <w:tcW w:w="6328" w:type="dxa"/>
            <w:tcBorders/>
          </w:tcPr>
          <w:p>
            <w:pPr>
              <w:pStyle w:val="TableContents"/>
              <w:bidi w:val="0"/>
              <w:spacing w:before="0" w:after="283"/>
              <w:jc w:val="left"/>
              <w:rPr/>
            </w:pPr>
            <w:r>
              <w:rPr/>
              <w:t xml:space="preserve">For a description of U.S. federal income tax considerations of owning, converting and disposing of the notes and owning and disposing of shares of our common stock, if any, issuable upon conversion of the notes, see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Book-Entry Form </w:t>
            </w:r>
          </w:p>
        </w:tc>
        <w:tc>
          <w:tcPr>
            <w:tcW w:w="6326" w:type="dxa"/>
            <w:tcBorders/>
          </w:tcPr>
          <w:p>
            <w:pPr>
              <w:pStyle w:val="TableContents"/>
              <w:bidi w:val="0"/>
              <w:spacing w:before="0" w:after="283"/>
              <w:jc w:val="left"/>
              <w:rPr/>
            </w:pPr>
            <w:r>
              <w:rPr/>
              <w:t xml:space="preserve">We will initially issue the notes in the form of one or more global notes registered in the name of Cede &amp; Co., as nominee of The Depository Trust Company (“DTC”), without interest coupons, which we will deposit with the trustee as custodian for DTC. Beneficial interests in global notes will be shown on, and transfers of global notes will be effected only through, the records maintained by DTC. Except in limited circumstances, we will not issue certificated notes. See “Description of Notes—Book Entry, Settlement and Clearance.”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7744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a high degree of risk. In addition to the other information included and incorporated by reference in this prospectus supplement or the accompanying base prospectus, you should carefully consider the risks described or referred to below before deciding to purchase the notes. The occurrence of any of these risks may materially harm our business, results of operations and financial condition. As a result, the trading price of the notes and our common stock may decline, and you might lose part or all of your investment. Before deciding whether to invest, you should consider carefully the risk factors discussed below and those contained in the section titled “Risk Factors” contained in our Quarterly Report on Form 10-Q for the quarter ended June 30, 2026, as filed with the Securities and Exchange Commission (the “SEC”), which is incorporated herein by reference in its entirety. As used in this section, “we,” “our” and “us” refer to Vaxcyte, Inc. and not to its consolidated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effectively subordinated to our existing and future secured indebtedness and structurally subordinated to the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will guarantee the notes, the notes will be structurally subordinated to all existing and future indebtedness and other liabilities, including trade payables, and (to the extent we are not a holder thereof) preferred equity, if any, of our subsidiaries. As of June 30, 2026, excluding our subsidiary, we had no indebtedness for borrowed money, and our subsidiary had no indebtedness for borrowed money and no material liabilities (other than lease liabilities and trade payables). The indenture governing the notes will not prohibit us or our subsidiary from incurring additional indebtedness, including senior or secured indebtedness,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a bankruptcy, liquidation, dissolution, reorganization or similar proceeding occurs with respect to us, then the holders of any secured indebtedness that we may have in the future may proceed directly against the assets securing that indebtedness. Accordingly, those assets would not be available to satisfy any outstanding amounts under our unsecured indebtedness, including the notes, unless the secured indebtedness is first paid in full. The remaining assets, if any, would then be allocated pro rata among the holders of our senior indebtedness, including the notes. There may be insufficient assets to pay all amounts then due. </w:t>
      </w:r>
    </w:p>
    <w:p>
      <w:pPr>
        <w:pStyle w:val="TextBody"/>
        <w:bidi w:val="0"/>
        <w:spacing w:before="240" w:after="0"/>
        <w:jc w:val="left"/>
        <w:rPr>
          <w:rFonts w:ascii="Times New Roman" w:hAnsi="Times New Roman"/>
          <w:sz w:val="20"/>
        </w:rPr>
      </w:pPr>
      <w:r>
        <w:rPr>
          <w:rFonts w:ascii="Times New Roman" w:hAnsi="Times New Roman"/>
          <w:sz w:val="20"/>
        </w:rPr>
        <w:t xml:space="preserve">If a bankruptcy, liquidation, dissolution, reorganization or similar proceeding occurs with respect to any of our subsidiaries, then we, as a direct or indirect common equity owner of that subsidiary (and, accordingly, holders of our unsecured and unguaranteed indebtedness, including the notes), will be subject to the prior claims of that subsidiary’s creditors, including trade creditors and preferred equity holders. We may never receive any amounts from that subsidiary to satisfy amounts due under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our obligations only and are not and will not be guaranteed by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obligations exclusively and are not guaranteed by any of our operating subsidiaries.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indebtedness and liabilities could limit the cash flow available for our operations, expose us to risks that could adversely affect our business, financial condition and results of operations and impair our ability to satisfy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no consolidated indebtedness for borrowed money. We will incur $500.0 million (or, if the underwriters fully exercise their option to purchase additional notes, $575.0 million) principal amount of additional indebtedness as a result of this offering. We may also incur additional indebtedness to meet future financing needs. Our indebtedness could have significant negative consequences for our security holders and our business, results of operations and financial condition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to plan for, or react to, changes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interests of our existing stockholders as a result of issuing shares of our common stock upon conversion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possible competitive disadvantage with competitors that are less leveraged than us or have better access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amounts due under our indebtedness, including the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raise the funds necessary to repurchase the notes for cash following a fundamental change or to pay any cash amounts due upon maturity or conversion of the notes, and our other indebtedness may limit our ability to repurchase the notes or to pay any cash amounts due upon their maturity or conversion.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subject to a limited exception described in this prospectus supplement, require us to repurchase their notes following a fundamental change at a cash repurchase price generally equal to the principal amount of the notes to be repurchased, plus accrued and unpaid interest, if any. See “Description of Notes—Fundamental Change Permits Noteholders to Require Us to Repurchase Notes.” Upon maturity of the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any cash amounts due upon their maturity or conversion. In addition, applicable law, regulatory authorities and the agreements governing our other indebtedness may restrict our ability to repurchase the notes or to pay any cash amounts due upon their maturity or conversion. Our failure to repurchase notes or to pay any cash amounts due upon their maturity or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Not all events that may adversely affect the trading price of the notes and our common stock will result in an adjustment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We will adjust the conversion rate of the notes for certain events,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 dividends, splits and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certain rights, options or warrants to holders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distributions of assets, debt securities, capital stock or other property to holders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dividends on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tender or exchange offers.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“Description of Notes—Conversion Rights—Conversion Rate Adjustments.” We are not required to adjust the conversion rate for other events, such as third-party tender offers or an issuance of our common stock (or securities convertible into, or exercisable or exchangeable for, our common stock) for cash, which may adversely affect the trading price of the notes and our common stock. An event may occur that adversely affects the noteholders and the trading price of the notes and the underlying shares of our common stock but that does not result in an adjustment to the conversion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 all significant restructuring transactions will constitute a fundamental change, in which case you will not have the right to require us to repurchase your notes for cash. </w:t>
      </w:r>
    </w:p>
    <w:p>
      <w:pPr>
        <w:pStyle w:val="TextBody"/>
        <w:bidi w:val="0"/>
        <w:spacing w:before="120" w:after="0"/>
        <w:jc w:val="left"/>
        <w:rPr>
          <w:rFonts w:ascii="Times New Roman" w:hAnsi="Times New Roman"/>
          <w:sz w:val="20"/>
        </w:rPr>
      </w:pPr>
      <w:r>
        <w:rPr>
          <w:rFonts w:ascii="Times New Roman" w:hAnsi="Times New Roman"/>
          <w:sz w:val="20"/>
        </w:rPr>
        <w:t xml:space="preserve">If certain corporate events called “fundamental changes” occur, then, subject to a limited exception described in this prospectus supplement, you will have the right to require us to repurchase your notes for cash. See “Description of Notes—Fundamental Change Permits Noteholders to Require Us to Repurchase Notes.” However, the definition of “fundamental change” is limited to specific corporate events and does not include all events that may adversely affect our financial condition or the trading price of the notes. For example, a leveraged recapitalization, refinancing, restructuring or acquisition by us may not constitute a fundamental change that would require us to repurchase the notes. Nonetheless, these events could significantly increase the amount of our indebtedness, harm our credit rating or adversely affect our capital structure and the trading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increase to the conversion rate resulting from a make-whole fundamental change may not adequately compensate noteholders for the lost option value of their notes. In addition, a variety of transactions that do not constitute a make-whole fundamental change may significantly reduce the option value of the notes without a corresponding increase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If certain corporate events that constitute a “make-whole fundamental change” occur, then we will, in certain circumstances, temporarily increase the conversion rate. See “Description of Notes—Conversion Rights—Increase in Conversion Rate in Connection with a Make-Whole Fundamental Change.” The amount of the increase to the conversion rate will depend on the date on which the make-whole fundamental change becomes effective and the applicable “stock price.” While the increase to the conversion rate is designed to compensate noteholders for the lost option value of their notes resulting from a make-whole fundamental change, the increase is only an approximation and may not adequately compensate noteholders for the loss in option value. In addition, if the applicable “stock price” is greater than $650.00 per share or less than $64.00 per share (in each case, subject to adjustment), then we will not increase the conversion rate for the make-whole fundamental change. Moreover, we will not increase the conversion rate pursuant to these provisions to an amount that exceeds 15.6250 shares of our common stock per $1,000 principal amount of notes,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definition of make-whole fundamental change is limited to certain specific transactions. Accordingly, the make-whole fundamental change provisions of the indenture will not protect noteholders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transactions that could significantly reduce the option value of the notes. For example, a spin-off or sale of a subsidiary or business division with volatile earnings, or a change in our line of business, could significantly affect the trading characteristics of our common stock and reduce the option value of the notes without constituting a make-whole fundamental change that results in a temporary increase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obligation to increase the conversion rate in connection with a make-whole fundamental change could be considered a penalty, in which case its enforceability would be subject to general principles of reasonableness and equitable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trading market for the notes. If an active trading market for the notes does not develop, then noteholders may be unable to sell their notes at desired times or prices,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class of securities for which no market currently exists. We do not intend to apply to list the notes on any securities exchange or for quotation on any inter-dealer quotation system. Although certain of the underwriters have advised us that they intend to make a market in the notes, they are not obligated to do so and may discontinue any market-making activity at any time and without notice. Accordingly, an active market for the notes may never develop, and, even if one develops, it may not be maintained. If an active trading market for the notes does not develop or is not maintained, then the market price and liquidity of the notes will be adversely affected and noteholders may not be able to sell their notes at desired times or prices,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liquidity of the trading market, if any, and future trading prices of the notes will depend on many factors, including, among other things, the trading price and volatility of our common stock, prevailing interest rates, our dividend yield, financial condition, results of operations, business, prospects and credit quality relative to our competitors, the market for similar securities and the overall securities market. Many of these factors are beyond our control. Historically, the market for convertible debt has been volatile. Market volatility could significantly harm the market for the notes, regardless of our financial condition, results of operations, business, prospects or credit quality.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our common stock, the condition of the financial markets, prevailing interest rates and other factors could significantly affect the trading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trading price of our common stock will significantly affect the trading price of the notes, which could result in greater volatility in the trading price of the notes than would be expected for non-convertible securities. The trading price of our common stock will likely continue to fluctuate in response to the factors described or referred to elsewhere in this section and under the caption “Cautionary Note Regarding Forward-Looking Statements,” among others, many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condition of the financial markets and changes in prevailing interest rates can have an adverse effect on the trading price of the notes. For example, prevailing interest rates have fluctuated in the past and are likely to fluctuate in the future, and we would expect an increase in prevailing interest rates to depress the trading price of the notes. An increase in short- or long-term interest rates, including as a result of a rise in actual or expected inflation, could cause the trading price of the notes to fall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or sale of shares of our common stock, including pursuant to the concurrent equity offering, or rights to acquire shares of our common stock, could depress the trading price of our common stock and the notes.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offering 7,412,500 shares of our common stock and pre-funded warrants to purchase 400,000 shares of common stock, plus up to an additional 1,171,875 shares of our common stock that the underwriters of the concurrent equity offering have the option to purchase from us. We may also conduct future offerings of common stock, preferred stock or other securities that are convertible into, or exercisable or exchangeable for, our common stock to finance our operations or fund acquisitions, or for other purposes. In addition, as of June 30, 2026, we had reserved 12,111,431 shares of our common stock issuable upon the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outstanding options to purchase shares of common stock, 3,019,377 shares of our common stock issuable upon settlement of outstanding restricted stock units, 275,396 shares of our common stock issuable pursuant to purchase rights outstanding under our 2020 Employee Stock Purchase Plan, 13,407,465 shares of common stock for future issuance under our 2020 Equity Incentive Plan and 5,463,793 shares of common stock issuable upon the exercise of pre-funded warrants outstanding. The indenture for the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notes may significantly decline. In addition, our issuance of additional shares of common stock will dilute the ownership interests of our existing common stockholders, including noteholders who have received shares of our common stock upon conversion of their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This offering is not contingent on the consummation of the concurrent equity offering, and vice versa.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See “The Concurrent Equity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make only very limited covenants in the indenture, and these limited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Many debt instruments contain provisions that restrict the borrower’s activities and operations in a manner that is designed to preserve the borrower’s ability to make payments on the related indebtedness when due. These provisions include financial and operating covenants, and restrictions on the payments of dividends, the incurrence of indebtedness or the issuance or repurchase of securities by the borrower or any of its subsidiaries. The indenture for the notes will not contain any of these covenants or restrictions or otherwise place any meaningful restrictions on our ability to operate our business as management deems appropriate. As a result, your investment in the notes may not be as protected as an investment in an instrument that contains some or all of these types of covenants and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actions, changes in market conditions and other events may adversely affect the trading price and liquidity of the notes and the ability of investors to implement a convertible note arbitrage trading strategy.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many investors in the notes, including potential purchasers of the notes from investors in this offering, will seek to employ a convertible note arbitrage strategy. Under this strategy, investors typically short sell a certain number of shares of our common stock and adjust their short position over time while they continue to hold the notes. Investors may also implement this type of strategy by entering into swaps on our common stock in lieu of, or in addition to, short selling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SEC and other regulatory authorities have implemented various rules and taken certain actions, and may in the future adopt additional rules and take other actions, that may impact those engaging in short selling activity involving equity securities (including our common stock). These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investors’ ability to effect short sales of our common stock or enter into equity swaps on our common stock could depress the trading price of, and the liquidity of the market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liquidity of the market for our common stock and other market conditions could deteriorate, which could reduce, or eliminate entirely, the number of shares available for lending in connection with short sale transactions and the number of counterparties willing to enter into an equity swap on our common stock with a note investor. These and other market events could make implementing a convertible note arbitrage strategy prohibitively expensive or infeasible. If investors in this offering or potential purchasers of the notes that seek to employ a convertible note arbitrage strategy are unable to do so on commercial terms, or at all, then the trading price of, and the liquidity of the market for, the notes may significantly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subject to tax if we adjust, or fail to adjust, the conversion rate of the notes, even though you will not receive a corresponding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will adjust the conversion rate of the notes for certain events, including the payment of cash dividends. If we adjust the conversion rate as a result of a dividend that is taxable to our common stockholders, such as a cash dividend, then you may be deemed, for U.S. federal income tax purposes, to have received a taxable dividend to the extent of our earnings and profits, without the receipt of any cash or other property. In addition, if we do not adjust (or adjust adequately) the conversion rate after an event that increases your proportionate interest in us, then you could be deemed to have received a taxable dividend. Adjustments to the conversion rate made pursuant to a bona fide reasonable adjustment formula that has the effect of preventing the dilution of the interest of the holders of the notes will generally not be considered to result in a constructive distribution. If a make-whole fundamental change occurs prior to the maturity date, then, under some circumstances, we will increase the conversion rate for notes converted in connection with that make-whole fundamental change. Such an increase may also be treated as a distribution subject to U.S. federal income tax as a dividend. In the case of Non-U.S. Holders (defined below under “U.S. Federal Income Tax Considerations”), any such deemed dividends may be subject to U.S. federal withholding tax, which may be withheld from interest on the notes (including special interest and default interest), shares of the common stock, or proceeds from a sale. See “U.S. Federal Income Tax Considerations” for additional U.S. federal income tax considerations applicable to an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rating agency may not rate the notes or may assign a rating that is lower than expected.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seek to have the notes rated by any rating agency. However, if one or more rating agencies rate the notes and assign a rating that is lower than the rating that investors expect, or reduce their rating in the future, then the trading price of our common stock and the notes could significantly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market perceptions of our creditworthiness will directly affect the trading price of the notes. Accordingly, if a ratings agency rates any of our indebtedness in the future or downgrades or withdraws the rating, or puts us on credit watch, then the trading price of the notes will likely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indenture could delay or prevent an otherwise beneficial takeover of us.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notes and the indenture could make a third-party attempt to acquire us more difficult or expensive. For example, if a takeover constitutes a fundamental change, then, except as described in this prospectus supplement,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common stock may view as favorable.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unable to convert your notes before July 15, 2032, and the trading price of the notes could be less than the value of the consideration into which they could otherwise be converted. </w:t>
      </w:r>
    </w:p>
    <w:p>
      <w:pPr>
        <w:pStyle w:val="TextBody"/>
        <w:bidi w:val="0"/>
        <w:spacing w:before="120" w:after="0"/>
        <w:jc w:val="left"/>
        <w:rPr>
          <w:rFonts w:ascii="Times New Roman" w:hAnsi="Times New Roman"/>
          <w:sz w:val="20"/>
        </w:rPr>
      </w:pPr>
      <w:r>
        <w:rPr>
          <w:rFonts w:ascii="Times New Roman" w:hAnsi="Times New Roman"/>
          <w:sz w:val="20"/>
        </w:rPr>
        <w:t xml:space="preserve">Before July 15, 2032, you may convert your notes only if specific conditions are met. If these conditions are not met, then you will not be able to convert your notes and receive the cash, shares of our common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combination of cash and shares, as applicable, into which the notes would otherwise be convertible. As a result, the notes may trade at prices that are less than the value of the consideration into which they would otherwise be convertible.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the trading price of our common stock after you elect to convert your notes may cause you to receive less valuable consideration than expected. </w:t>
      </w:r>
    </w:p>
    <w:p>
      <w:pPr>
        <w:pStyle w:val="TextBody"/>
        <w:bidi w:val="0"/>
        <w:spacing w:before="120" w:after="0"/>
        <w:jc w:val="left"/>
        <w:rPr>
          <w:rFonts w:ascii="Times New Roman" w:hAnsi="Times New Roman"/>
          <w:sz w:val="20"/>
        </w:rPr>
      </w:pPr>
      <w:r>
        <w:rPr>
          <w:rFonts w:ascii="Times New Roman" w:hAnsi="Times New Roman"/>
          <w:sz w:val="20"/>
        </w:rPr>
        <w:t xml:space="preserve">We will generally have the right to settle conversions in cash, shares of our common stock or a combination of cash and shares. If we elect to settle conversions solely in cash or in a combination of cash and shares, then the consideration due upon conversion will be determined based on the volume-weighted average price of our common stock during the related “observation period,” which is defined under the caption “Description of Notes—Definitions” and will consist of 20 “VWAP trading days.” Except in certain circumstances, the observation period will begin after the related conversion date. Accordingly, a considerable amount of time may lapse between the time you elect to convert your notes and the time you receive the consideration due upon conversion, and if the trading price of our common stock declines during this time, then you may receive less consideration, or consideration that is less valuable, than expected.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investment in the notes may be harmed if we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have the right to redeem the notes in certain circumstances before the maturity date. See “Description of Notes—Optional Redemption.” If we redeem your notes, then you may not be entitled to benefit from potential future appreciation in the trading price of our common stock, and you may be unable to reinvest any proceeds from the redemption in comparable investments at favorable interest rates. In addition, we will be permitted, in certain circumstances, to redeem less than all of the outstanding notes in connection with a provisional redemption. A redemption of less than all of the outstanding notes will likely harm the liquidity of the market for the unredeemed notes following the redemption. Accordingly, if your notes are not redeemed in a partial redemption, then you may be unable to sell your notes at the times you desire or at favorable prices, if at all, and the trading price of your notes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how we use the proceeds of this offering and, if it is consummated, the concurrent equity offering, and may not use these proceeds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Although we have described in this prospectus supplement, under the caption “Use of Proceeds,” how we currently intend to use the proceeds to us from this offering and, if it is consummated, the concurrent equity offering, our management will have broad discretion to apply the net proceeds, and investors will rely on our judgment in spending the net proceeds with only limited information about our specific intentions for the use of the net proceeds. Our management may use the proceeds in ways that do not earn a profit or otherwise result in the creation of stockholder value. In addition, pending our use of the proceeds, we may invest the proceeds primarily in instruments that do not produce significant income or that may lose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accounting method for the notes could adversely affect our reported financial condition and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method for reflecting the notes on our balance sheet, accruing interest expense for the notes and reflecting the underlying shares of our common stock in our reported diluted earnings per share may adversely affect our reported earnings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accounting standards, we expect that the notes we are offering will be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we expect that the shares underlying the notes will be reflected in our diluted earnings per share using the “if converted” method. Under that method, diluted earnings per share would generally be calculated assuming that all the notes were converted solely into shares of our common stock at the beginning of the reporting period, unless the result would be anti-dilutive. The application of the if- converted method may reduce our reported diluted earnings per share, and accounting standards may change in the future in a manner that may adversely affect our diluted 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We have not reached a final determination regarding the accounting treatment for the notes, and the description above is preliminary. Accordingly, we may account for the notes in a manner that is significantly different than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notes will initially be held in book-entry form, noteholders must rely on DTC’s procedures to exercise their rights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issue the notes in the form of one or more “global notes” registered in the name of Cede &amp; Co., as nominee of DTC. Beneficial interests in global notes will be shown on, and transfers of global notes will be effected only through, the records maintained by DTC. Except in limited circumstances, we will not issue certificated notes. See “Description of Notes—Book Entry, Settlement and Clearance.” Accordingly, if you own a beneficial interest in a global note, then you will not be considered an owner or holder of the notes. Instead, DTC or its nominee will be the sole holder of the notes. Payments of principal, interest and other amounts on global notes will be made to the paying agent, who will remit the payments to DTC. We expect that DTC will then credit those payments to the DTC participant accounts that hold book-entry interests in the global notes and that those participants will credit the payments to indirect DTC participants. Unlike persons who have certificated notes registered in their names, owners of beneficial interests in global notes will not have the direct right to act on our solicitations for consents or requests for waivers or other actions from noteholders. Instead, those beneficial owners will be permitted to act only to the extent that they have received appropriate proxies to do so from DTC or, if applicable, a DTC participant. The applicable procedures for the granting of these proxies may not be sufficient to enable owners of beneficial interests in global notes to vote on any requested actions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Holding notes will not, in itself, confer any rights with respect to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Noteholders will generally not be entitled to any rights with respect to our common stock (including voting rights and rights to receive any dividends or other distributions on our common stock). However, noteholders will be subject to all changes affecting our common stock to the extent the trading price of the notes depends on the market price of our common stock and to the extent they receive shares of our common stock upon conversion of their notes. For example, if we propose an amendment to our charter documents that requires stockholder approval, then a noteholder will not, as such, be entitled to vote on the amendment, although the noteholder will be subject to any changes implemented by that amendment in the powers, preferences or special rights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77446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about us and our industry that involve substantial risks and uncertainties. All statements other than statements of historical facts contained in this prospectus supplement and the accompanying prospectus, including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in this prospectus supplement and the accompanying prospectus, including the documents incorporated by reference herein and therein,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concurrent equity offering and the expected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uses of the net proceeds from this offering and, if consummated, the concurrent equity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benefits, spectrum of coverage and immunogenicity of our vaccine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preclinical study results and prior clinical study results potentially being predictive of future clinical study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initiation, progress and potential results of our preclinical studies,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vaccine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third-party manufacturers’ manufacturing capabilities and the scalable nature of our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extensive or changes in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coverage and reimbursement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our third-party contract manufacturers to operate and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in this or future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supplement and the accompanying prospectus, including the documents incorporated by reference herein and therein,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supplement and the accompanying prospectus, including the documents incorporated by reference herein and therein. Moreover,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accompanying prospectus, including the documents incorporated by reference herein and therein.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supplement and the accompanying prospectus, including the documents incorporated by reference herein and therein.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and the accompanying prospectus, including the documents incorporated by reference herein and therein, relate only to events as of the date on which the statements are made. We undertake no obligation to update any forward-looking statements made in this prospectus supplement and the accompanying prospectus, including the documents incorporated by reference herein and therein,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7744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$485.8 million (or approximately $558.7 million if the underwriters fully exercise their option to purchase additional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concurrent equity offering, if it is consummated, will be approximately $473.3 million (or approximately $544.3 million if the underwriters exercise their option to purchase an additional 1,171,875 shares in full), based on the public offering price of $64.00 per share of common stock and $63.999 per pre-funded warrant, after deducting underwriting discounts and commissions and estimated offering expenses payable by us. We will receive only nominal additional proceeds from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and the concurrent equity offering are to increase our capitalization and financial flexibility. We currently intend to use the net proceeds we receive from this offering and, if it is consummated, the concurrent equity offering, together with our existing cash, cash equivalents and investments, to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affairs, commercial and systems-related investments to prepare for and execute the anticipated U.S. launch of VAX-31 in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research and development of our other early-stage pipeline vaccine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corporate purposes, including working capital, operating expenses and capital expenditures, as well as potential expansion of our research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and, if it is consummated, the concurrent equity offering, represents our intentions based on our current plans and business conditions, which could change in the future as our plans and business conditions evolve. Further, due to the uncertainties inherent in the vaccine development process, it is difficult to estimate with certainty the exact amounts of the net proceeds from this offering and, if it is consummated, the concurrent equity offering, that may be used for the above purposes. We cannot specify with certainty all of the particular uses for the remaining net proceeds to us from this offering and, if it is consummated, the concurrent equity offering. We may also use a portion of the net proceeds for acquisitions or strategic investments in complementary businesses, products, services or technologies or in connection with partnering and manufacturing arrangements. However, we do not have agreements or commitments to enter into any such acquisitions or investments at this time. We will have broad discretion over how to use the net proceeds from this offering and, if it is consummated, the concurrent equity offering, and our investors will be relying on the judgment of our management regarding the application of the net proceeds of this offering and, if it is consummated, the concurrent equity offering. The amounts and timing of our expenditures will depend upon numerous factors including the results of our research and development efforts, the timing and success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preclinical studies and any clinical trials we may commence in the future, the timing of regulatory submissions and the amount of cash obtained through any future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invest the net proceeds to us from this offering and, if it is consummated, the concurrent equity offering, that are not used as described above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77446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cash, cash equivalents and investments and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the issuance and sale of $500,000,000 aggregate principal amount of the notes we are offering, after deducting the underwriting discounts and commissions and our estimated offering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give further effect to the issuance and sale of our common stock and pre-funded warrants in the concurrent equity offering (assuming no exercise of the option of the underwriters of the concurrent equity offering to purchase additional shares of our common stock), after deducting the underwriting discounts and commissions and our estimated offering expenses, assuming the concurrent equity offering is consummated.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illustrative only, and our capitalization following the completion of this offering and the concurrent equity offering, if it is completed, will depend on the final terms of the offerings. Moreover, because the completion of this offering is not contingent on the completion of the concurrent equity offering, you should not assume that the concurrent equity offering, as reflected in the pro forma as adjusted column in the table below, will take place. </w:t>
      </w:r>
    </w:p>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in conjunction with the other information included or incorporated by reference in this prospectus supplement, including our consolidated financial statements and related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9"/>
        <w:gridCol w:w="317"/>
        <w:gridCol w:w="146"/>
        <w:gridCol w:w="1072"/>
        <w:gridCol w:w="155"/>
        <w:gridCol w:w="317"/>
        <w:gridCol w:w="146"/>
        <w:gridCol w:w="1072"/>
        <w:gridCol w:w="155"/>
        <w:gridCol w:w="317"/>
        <w:gridCol w:w="146"/>
        <w:gridCol w:w="1072"/>
        <w:gridCol w:w="164"/>
      </w:tblGrid>
      <w:tr>
        <w:trPr/>
        <w:tc>
          <w:tcPr>
            <w:tcW w:w="430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4598" w:type="dxa"/>
            <w:gridSpan w:val="10"/>
            <w:tcBorders>
              <w:bottom w:val="single" w:sz="8" w:space="0" w:color="000000"/>
            </w:tcBorders>
            <w:tcMar>
              <w:bottom w:w="28" w:type="dxa"/>
            </w:tcMar>
            <w:vAlign w:val="bottom"/>
          </w:tcPr>
          <w:p>
            <w:pPr>
              <w:pStyle w:val="TableContents"/>
              <w:bidi w:val="0"/>
              <w:spacing w:before="0" w:after="283"/>
              <w:jc w:val="center"/>
              <w:rPr/>
            </w:pPr>
            <w:r>
              <w:rPr/>
              <w:t>As of June 30, 2026</w:t>
            </w:r>
          </w:p>
        </w:tc>
        <w:tc>
          <w:tcPr>
            <w:tcW w:w="1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pPr>
            <w:r>
              <w:rPr/>
              <w:t>As adjusted</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pPr>
            <w:r>
              <w:rPr/>
              <w:t>Pro forma</w:t>
              <w:br/>
              <w:t>as adjusted</w:t>
            </w:r>
          </w:p>
        </w:tc>
        <w:tc>
          <w:tcPr>
            <w:tcW w:w="1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4598" w:type="dxa"/>
            <w:gridSpan w:val="10"/>
            <w:tcBorders/>
            <w:vAlign w:val="bottom"/>
          </w:tcPr>
          <w:p>
            <w:pPr>
              <w:pStyle w:val="TableContents"/>
              <w:bidi w:val="0"/>
              <w:spacing w:before="0" w:after="283"/>
              <w:jc w:val="center"/>
              <w:rPr/>
            </w:pPr>
            <w:r>
              <w:rPr/>
              <w:t>(In thousands, except share and per share data)</w:t>
            </w:r>
          </w:p>
        </w:tc>
        <w:tc>
          <w:tcPr>
            <w:tcW w:w="1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2,507,734</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2,993,484</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3,466,733</w:t>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amount of 1.50% convertible senior notes due 2032 we are offering(1)</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500,000</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500,000</w:t>
            </w:r>
          </w:p>
        </w:tc>
        <w:tc>
          <w:tcPr>
            <w:tcW w:w="164"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500,000</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500,000</w:t>
            </w:r>
          </w:p>
        </w:tc>
        <w:tc>
          <w:tcPr>
            <w:tcW w:w="1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$0.001 par value per share; 10,000,000 shares authorized, no shares outstanding, actual, as adjusted and pro forma as adjusted</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per share; 500,000,000 shares authorized; 144,785,934 shares outstanding, actual and as adjusted; 152,198,434 shares outstanding, pro forma as adjusted</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155</w:t>
            </w:r>
          </w:p>
        </w:tc>
        <w:tc>
          <w:tcPr>
            <w:tcW w:w="1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5,525,211</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5,525,211</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5,998,453</w:t>
            </w:r>
          </w:p>
        </w:tc>
        <w:tc>
          <w:tcPr>
            <w:tcW w:w="1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(2,759,871</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(2,759,871</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(2,759,871</w:t>
            </w:r>
          </w:p>
        </w:tc>
        <w:tc>
          <w:tcPr>
            <w:tcW w:w="1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(7,546</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(7,546</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(7,546</w:t>
            </w:r>
          </w:p>
        </w:tc>
        <w:tc>
          <w:tcPr>
            <w:tcW w:w="1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2,757,942</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2,757,942</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3,231,191</w:t>
            </w:r>
          </w:p>
        </w:tc>
        <w:tc>
          <w:tcPr>
            <w:tcW w:w="164"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2,757,942</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3,257,942</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3,731,191</w:t>
            </w:r>
          </w:p>
        </w:tc>
        <w:tc>
          <w:tcPr>
            <w:tcW w:w="164" w:type="dxa"/>
            <w:tcBorders/>
            <w:vAlign w:val="bottom"/>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table above for the notes we are offering represent their principal amount. However, we expect that the initial liability carrying amount of the notes for accounting purposes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recorded net of issuance costs, which will be treated as a debt discount for accounting purposes and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77446_9"/>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notes under an indenture (the “base indenture”), to be dated as of the initial closing date of this offering, between us and U.S. Bank Trust Company, National Association, as trustee (the “trustee”), as supplemented by a supplemental indenture (the base indenture, as so supplemented, the “indenture”), to be dated as of the initial closing date of this offering, between us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provisions of the notes and the indenture. It is only a summary and is not complete. We qualify this summary by referring you to the indenture and the notes, because they, and not this summary, define your rights as a holder of the notes. We will provide you with a copy of the indenture, which includes the form of the notes, as provided under the caption “Where You Can Find More Information.” In addition, the indenture and the notes will be deemed to include certain terms that are made a part of the indenture and the notes pursuant to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Notes” section supplements and, to the extent inconsistent therewith, supersedes the information in the accompanying prospectus under the caption “Description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this summary are defined below under the caption “ —Definitions.” Certain other terms used in this summary are defined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references to “we,” “us” and “our” refer to Vaxcyte, Inc. only and not to its consolidated subsidiary, as reflected in the consolidated financial statements incorporated by reference herein. Accordingly, references in this section to our “subsidiary” or “subsidiaries,” as the context requires, refer to our operating subsidiary. References to any “note” refers to any authorized denomination of a note, unless the context requires otherwise. References to our “common stock” refer to our common stock, $0.001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our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initially be limited to an aggregate principal amount of $500,000,000 (or $575,000,000, if the underwriters fully exercise their option to purchase additional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interest from, and including, October 9, 2026, at an annual rate of 1.50%, payable semi-annually in arrears on April 15 and October 15 of each year, beginning on April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special interest in the circumstances described below under the caption “ —Events of Default—Special Interest as Sole Remedy for Certain Reporting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mature on October 15, 2032, unless earlier repurchased, redeemed or converted;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redeemable, in whole or in part (subject to certain limitations), at our option, at any time, and from time to time, on or after October 22, 2029 and on or before the 20th “scheduled trading day” (as defined below under the caption “ —Definitions”) immediately before the maturity date, at a cash redemption price equal to the principal amount of the notes to be redeemed, plus accrued and unpaid interest to, but excluding, the redemption date (subject to the right of noteholders on a regular record date to receive the related interest payment), but only if the “last reported sale price” (as defined below under the caption “ —Definitions”) per share of our common stock exceeds 130% of the “conversion price” (as defined below under the caption “ —Definitions”) for a specified period of time, as described below under the caption “ —Optional Redemption—Provisional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redeemable, in whole and not in part, at our option, at any time, if the principal amount of the notes then outstanding is less than 10% of the aggregate principal amount of the notes issued in this offering (including any additional notes issued pursuant to any exercise of the underwriters’ option to purchase additional notes), at a cash redemption price equal to the principal amount of the notes to be redeemed,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and unpaid interest to, but excluding, the redemption date (subject to the right of noteholders on a regular record date to receive the related interest payment), as described below under the caption “ —Optional Redemption—Cleanup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repurchase by us at the noteholders’ option if a “fundamental change” (as defined below under the caption “ —Definitions”) occurs, at a cash repurchase price equal to the principal amount of the notes to be repurchased, plus accrued and unpaid interest to, but excluding, the fundamental change repurchase date (subject to the right of noteholders on a regular record date to receive the related interest payment), as described, and subject to the limited exception set forth, below under the caption “ —Fundamental Change Permits Noteholders to Require Us to Repurchase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convertible, at the noteholders’ option, into cash, shares of our common stock or a combination of cash and shares of our common stock (together with cash in lieu of any fractional share, if applicable), at our election, based on an initial conversion rate of 11.1607 shares per $1,000 principal amount of notes (which represents an initial conversion price of approximately $89.60 per share), under the conditions, and subject to the adjustments, described below under the caption “ —Conversion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issued in principal amount denominations of $1,000 or any integral multiple of $1,000 in excess thereof, which we refer to as an “authorized denomination”;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initially be represented by one or more registered notes in global form, but may, in certain circumstances, be exchanged for notes in definitive form, as described below under the caption “ —Book Entry, Settlement and Clearance.”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not contain any financial covenants and will not limit us or our subsidiaries from incurring additional indebtedness, paying dividends or issuing or repurchasing any securities. Except to the extent described below under the captions “ —Conversion Rights—Increase in Conversion Rate in Connection with a Make-Whole Fundamental Change,” “ —Fundamental Change Permits Noteholders to Require Us to Repurchase Notes” and “ — Consolidation, Merger and Asset Sale,” the indenture will not contain any provisions designed to protect noteholders upon a highly leveraged transaction involving us or a decline in our credit rating as a result of a recapitalization, takeover, highly leveraged transaction or other restructuring involving us.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noteholder, we may issue additional notes under the indenture with the same terms as the notes we are offering (except for certain differences, such as the date as of which interest begins to accrue on, and the first interest payment date for, such additional notes). However, such additional notes (and any notes that have been resold after they have been purchased or otherwise acquired by us or our subsidiaries) must be identified by a separate CUSIP number or by no CUSIP number if they are not fungible with other notes we issue under the indenture for purposes of federal income tax or federal securities laws or, if applicable, the “depositary procedures” (as defined below under the caption “ —Definitions”).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include them in any automated inter-dealer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Absent manifest error, a person in whose name a note is registered on the registrar’s books will be considered to be the holder of that note for all purposes, and only registered noteholders (which, in the case of notes held through DTC, will initially be DTC’s nominee, Cede &amp; Co.) will have rights under the indenture as noteholders.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we or our subsidiaries may directly or indirectly repurchase notes in the open market or otherwise, whether through private or public tender or exchange offers, cash-settled swaps or other cash-settled derivatives. Any notes that we or our subsidiaries have purchased or otherwise acquired will be deemed to remain outstanding until such time as we deliver them to the trustee for cancellation. However, subject to the terms of the indenture, notes that we or any of our affiliates own will be deemed not to be outstanding for purposes of determining whether the noteholders have concurred in any direction, waiver or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—Payments on the Notes” supersedes, in its entirety, the information in the accompanying prospectus under the caption “Description of Debt Securities—Payment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will pay (or cause the paying agent to pay) the principal of, and interest on, any global note by wire transfer of immediately available funds. We will pay (or cause the paying agent to pay) the principal of, and interest on, any physical note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of such note is at least $5.0 million (or such lower amount as we may choose in our sole and absolute discretion) and the holder of such note entitled to such payment has delivered to the paying agent or the trustee, no later than the time set forth below, a written request to receive payment by wire transfer to an account of such holder within the United States, by wire transfer of immediately available funds to such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other cases, by check mailed to the address of such holder set forth in the note register.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timely, a written request referred to in the first bullet point above must be delivered no later than the “close of business” (as defined below under the caption “ —Definitions”) on the following date: (i) with respect to the payment of any interest due on an interest payment date, the immediately preceding regular record date; and (ii) with respect to any other payment, the date that is 15 calendar days immediately before the date such payment is due. </w:t>
      </w:r>
    </w:p>
    <w:p>
      <w:pPr>
        <w:pStyle w:val="TextBody"/>
        <w:bidi w:val="0"/>
        <w:spacing w:before="240" w:after="0"/>
        <w:jc w:val="left"/>
        <w:rPr>
          <w:rFonts w:ascii="Times New Roman" w:hAnsi="Times New Roman"/>
          <w:sz w:val="20"/>
        </w:rPr>
      </w:pPr>
      <w:r>
        <w:rPr>
          <w:rFonts w:ascii="Times New Roman" w:hAnsi="Times New Roman"/>
          <w:sz w:val="20"/>
        </w:rPr>
        <w:t xml:space="preserve">If the due date for a payment on a note is not a “business day” (as defined below under the caption “ —Definitions”), then such payment may be made on the immediately following business day with the same force and effect as if such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Paying Agent and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—Registrar, Paying Agent and Conversion Agent” supersedes, in its entirety, the information in the accompanying prospectus under the caption “Description of Debt Securities—Payment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will maintain one or more offices or agencies in the continental United States where notes may be presented for registration of transfer or for exchange, payment and conversion, which we refer to as the “registrar,” “paying agent” and “conversion agent,” respectively. We have appointed the trustee as the initial registrar, paying agent and conversion agent and its office in the United States as a place where notes may be presented for payment. However, without prior notice to the noteholders, we may change the registrar, paying agent and conversion agent and we or any of our subsidiaries may choose to act in that capacity as well (except that the registrar, paying agent or conversion agent with respect to any global note must at all times be a person that is eligible to act in that capacity under the depositary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—Transfers and Exchanges” supersedes, in its entirety, the information in the accompanying prospectus under the caption “Description of Debt Securities—Form, Exchange and Transfer.” </w:t>
      </w:r>
    </w:p>
    <w:p>
      <w:pPr>
        <w:pStyle w:val="TextBody"/>
        <w:bidi w:val="0"/>
        <w:spacing w:before="240" w:after="0"/>
        <w:jc w:val="left"/>
        <w:rPr>
          <w:rFonts w:ascii="Times New Roman" w:hAnsi="Times New Roman"/>
          <w:sz w:val="20"/>
        </w:rPr>
      </w:pPr>
      <w:r>
        <w:rPr>
          <w:rFonts w:ascii="Times New Roman" w:hAnsi="Times New Roman"/>
          <w:sz w:val="20"/>
        </w:rPr>
        <w:t xml:space="preserve">A noteholder may transfer or exchange its notes at the office of the registrar in accordance with the indenture. We, the trustee and the registrar may require the noteholder to, among other things, deliver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endorsements or transfer instruments, and such certificates or other documentation or evidence as we or they may reasonably require to determine that such transfer or exchange complies with applicable securities laws. We, the trustee and the registrar may refuse to register the transfer or exchange of any note that is subject to conversion, redemption or required repurchase.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the trustee’s office in the continental United States as a place where notes may be presented for registration of transfer or for exchange. However, we may change the registrar or act as the registrar ourselves without prior notice to the noteholders.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bear cash interest at an annual rate of 1.50% (which we refer to as the “stated interest”), payable semi-annually in arrears on April 15 and October 15 of each year, beginning on April 15, 2027, to the noteholders of record of the notes as of the close of business on the immediately preceding April 1 and October 1, respectively. Interest will accrue from, and including, the last date to which interest has been paid or duly provided for (or, if no interest has been paid or duly provided for, from, and including, the date the notes are initially issued) to, but excluding, the next interest payment date. Interest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stated interest on the notes referred to above, special interest will accrue on the notes in the circumstances described below under the caption “ —Events of Default—Special Interest as Sole Remedy for Certain Reporting Defaults.” All references in this prospectus supplement to interest on the notes include any special interest and default interest (as described below under the caption “ —Events of Default—Default Interest”) payable on the notes,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If the first date on which any special interest begins to accrue on any global note is on or after the fifth business day before a regular record date and before the next interest payment date, then, notwithstanding anything to the contrary,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our existing and future senior,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our existing and future indebtedness that is expressly subordinated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our existing and future secured indebtedness, to the extent of the value of the collateral securing that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including trade payables, and (to the extent we are not a holder thereof) preferred equity, if any,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not prohibit us from incurring additional indebtedness, including secured indebtedness, which would be effectively senior to the notes to the extent of the value of the collateral securing that indebtedness, or indebtedness that would rank equal in right of payment with the notes. The indenture will also not prohibit our subsidiaries from incurring any additional indebtedness or other liabilities that would be structurally senior to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any indebtedness will not be available to make payments under the notes unless all of that indebtedness is first 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full. In the event of the bankruptcy, liquidation, reorganization or other winding up of any of our subsidiaries, we, as a common equity holder of that subsidiary, and, therefore, the noteholders, will rank behind that subsidiary’s creditors, including that subsidiary’s trade creditors, and (to the extent we are not a holder thereof) that subsidiary’s preferred equity holders. Even if we were a creditor of any of our subsidiaries, our rights as a creditor would be effectively subordinated to any security interest of others in the assets of that subsidiary, to the extent of the value of those assets, and would be subordinated to any indebtedness of that subsidiary that is senior in right of payment to that held by us.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will have no obligations under the notes. The ability of our subsidiaries to pay dividends or make other payments to us may be restricted by, among other things, corporate and other laws and by agreements to which our subsidiaries may become a party. Accordingly, we may be unable to gain access to the cash flow or assets of our subsidiaries to enable us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excluding our subsidiary, we had no indebtedness for borrowed money, and our subsidiary had no indebtedness for borrowed money and no material liabilities (other than lease liabilities and trade payables).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Factors—The notes will be effectively subordinated to our existing and future secured indebtedness and structurally subordinated to the liabilities of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not redeem the notes at our option at any time before October 22, 2029, except pursuant to the provisions described below under the caption “ —Cleanup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we have the right, at our election, to redeem all, or any portion in an authorized denomination, of the notes, at any time, and from time to time, on a redemption date on or after October 22, 2029 and on or before the 20th scheduled trading day immediately before the maturity date, for cash, but only if the last reported sale price per share of our common stock exceeds 130% of the conversion price on (i) each of at least 20 “trading days” (as defined below under the caption “ —Definitions”), whether or not consecutive, during the 30 consecutive trading days ending on, and including, the trading day immediately before the date we send the related redemption notice; and (ii) the trading day immediately before the date we send such notice. We refer to a redemption pursuant to the provision described in the preceding sentence as a “provisional redemption.” However, we will not call less than all of the outstanding notes for provisional redemption unless the excess of the principal amount of notes outstanding as of the time we send the related redemption notice over the aggregate principal amount of notes set forth in such notice as being subject to provisional redemption is at least $75.0 million. In addition, calling any note for provisional redemption will constitute a “make-whole fundamental change” (as defined below under the caption “ —Definitions”) with respect to that note, in which case the conversion rate applicable to the conversion of that note will be increased in certain circumstances if it is converted after it is called for provisional redemption. If we elect to redeem less than all of the outstanding notes pursuant to a provisional redemption, then the provisional redemption will not constitute a make-whole fundamental change with respect to the notes not called for provisional redemption, and holders of the notes not called for provisional redemption will not be entitled to an increased conversion rate for such notes as described above on account of the provisional redemption, except to the limited extent described further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Cleanup Redemption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we have the right, at our election, to redeem all, but not less than all, of the notes, at any time, for cash, but only if the principal amount of the notes outstanding at the time we send the related redemption notice is less than 10% of the aggregate principal amount of the notes issued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any additional notes issued pursuant to any exercise of the underwriters’ option to purchase additional notes). We refer to a redemption pursuant to the provision described in the preceding sentence as a “cleanup redemption.” In addition, calling any notes for cleanup redemption will constitute a make-whole fundamental change, which may result in a temporary increase to the conversion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date will be a business day of our choosing that is no more than 45, nor less than 25, scheduled trading days after the date we send the related redemption notice, as described below. However, if, in accordance with the provisions described below under the caption “ —Conversion Rights—Settlement Upon Conversion—Settlement Method,” we elect to settle all conversions for notes called for redemption with a conversion date that occurs on or after the date we send such redemption notice and on or before the second business day immediately before the related redemption date by physical settlement, then we may instead elect to choose a redemption date that is a business day no more than 60, nor less than 10, calendar days after the date we send such redemption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 on or, at our election, before such interest payment date, the unpaid interest that would have accrued on such note to, but excluding, such interest payment date; and (ii) the redemption price will not include accrued and unpaid interest on such note to, but excluding, such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Notice </w:t>
      </w:r>
    </w:p>
    <w:p>
      <w:pPr>
        <w:pStyle w:val="TextBody"/>
        <w:bidi w:val="0"/>
        <w:spacing w:before="120" w:after="0"/>
        <w:jc w:val="left"/>
        <w:rPr>
          <w:rFonts w:ascii="Times New Roman" w:hAnsi="Times New Roman"/>
          <w:sz w:val="20"/>
        </w:rPr>
      </w:pPr>
      <w:r>
        <w:rPr>
          <w:rFonts w:ascii="Times New Roman" w:hAnsi="Times New Roman"/>
          <w:sz w:val="20"/>
        </w:rPr>
        <w:t xml:space="preserve">We will send to each applicable noteholder notice of the redemption containing certain information set forth in the indenture, including the redemption price and the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Applicable to Partial Redemptions </w:t>
      </w:r>
    </w:p>
    <w:p>
      <w:pPr>
        <w:pStyle w:val="TextBody"/>
        <w:bidi w:val="0"/>
        <w:spacing w:before="120" w:after="0"/>
        <w:jc w:val="left"/>
        <w:rPr>
          <w:rFonts w:ascii="Times New Roman" w:hAnsi="Times New Roman"/>
          <w:sz w:val="20"/>
        </w:rPr>
      </w:pPr>
      <w:r>
        <w:rPr>
          <w:rFonts w:ascii="Times New Roman" w:hAnsi="Times New Roman"/>
          <w:sz w:val="20"/>
        </w:rPr>
        <w:t xml:space="preserve">If only a portion of a note is subject to redemption and that note is converted in part, then the converted portion of that note will be deemed to be from the portion of that note that was subject to redemption, subject to, in the case of any global note, applicable DTC procedures.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less than all of the outstanding notes pursuant to a provisional redemption, and the holder of any note, or any owner of a beneficial interest in any global note, is reasonably not able to determine, before the close of business on the 22nd scheduled trading day (or, if, as described above, we irrevocably elect physical settlement for all conversions with a conversion date that occurs on or after the date we send the related redemption notice and on or before the second business day immediately before the related redemption date, the 10th calendar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business day immediately before such redemption date, and each such conversion will be deemed to be of a note called for such redemption for purposes of these redemption provisions and the provisions described below under the captions “ —Conversion Rights—When the Notes May Be Converted—Conversion Upon Redemption” and “ —Conversion Rights—Increase in Conversion Rate in Connection with a Make-Whole Fundamental Change.” For the avoidance of doubt, each reference in this prospectus supplement to (i) any note that is called for redemption (or similar language) includes any note that is deemed to be called for redemption pursuant to the provision described in this paragraph; and (ii) any note that is not called for redemption (or similar language) excludes any note that is deemed to be called for redemption pursuant to the provision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Redemption Prohibited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above, we may not redeem any notes if the principal amount of the notes has been accelerated and such acceleration has not been rescinded on or before the redemption date (including as a result of the payment of the related redemption price and any related interest described above on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—Conversion Rights” supersedes, in its entirety, the information in the accompanying prospectus under the caption “Description of Debt Securities—Conversion or Exchange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Noteholders will have the right to convert their notes (or any portion of a note in an authorized denomination), in the circumstances described below, into consideration that consists, at our election, of cash, shares of our common stock or a combination of cash and shares of our common stock (together with cash in lieu of any fractional share, if applicable), based on an initial conversion rate of 11.1607 shares per $1,000 principal amount of notes (which represents an initial conversion price of approximately $89.60 per share). </w:t>
      </w:r>
    </w:p>
    <w:p>
      <w:pPr>
        <w:pStyle w:val="TextBody"/>
        <w:bidi w:val="0"/>
        <w:spacing w:before="240" w:after="0"/>
        <w:jc w:val="left"/>
        <w:rPr>
          <w:rFonts w:ascii="Times New Roman" w:hAnsi="Times New Roman"/>
          <w:sz w:val="20"/>
        </w:rPr>
      </w:pPr>
      <w:r>
        <w:rPr>
          <w:rFonts w:ascii="Times New Roman" w:hAnsi="Times New Roman"/>
          <w:sz w:val="20"/>
        </w:rPr>
        <w:t xml:space="preserve">Noteholders may convert their notes only in the circumstances described below under the caption “ —When the Notes May Be Converted.”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Interest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We will not adjust the conversion rate to account for any accrued and unpaid interest on any note being converted, and, except as described below, our delivery of the consideration due in respect of the conversion will be deemed to fully satisfy and discharge our obligation to pay the principal of, and accrued and unpaid interest, if any, on, such note to, but excluding, the “conversion date” (as defined below under the caption “ —Conversion Procedures”). As a result, except as described below, any accrued and unpaid interest on a converted note will be deemed to be paid in full rather than cancelled, extinguished or forfeited. In addition, if the consideration due upon conversion consists of both cash and shares of our common stock, then accrued and unpaid interest that is deemed to be paid therewith will be deemed to be paid first out of such cash.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above, if the conversion date of a note is after a regular record date and before the next interest payment date,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such note at the close of business on such regular record date will be entitled, notwithstanding such conversion, to receive, on or, at our election, before such interest payment date, the unpaid interest that would have accrued on such note to, but excluding, such interest payment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noteholder surrendering such note for conversion must deliver, at the time it surrenders such note, an amount of cash equal to the amount of such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such noteholder need not deliver such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specified a redemption date that is after such regular record date and on or before the second business day immediately after such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conversion date occurs after the regular record date immediately before the maturity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specified a “fundamental change repurchase date” (as defined below under the caption “ —Fundamental Change Permits Noteholders to Require Us to Repurchase Notes”) that is after such regular record date and on or before the business day immediately after such interest payment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of any special interest, overdue interest or interest that has accrued on any overdue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for the avoidance of doubt, all noteholders as of the close of business on the regular record date immediately before the maturity date, any redemption date described in the first bullet of the immediately preceding paragraph or any fundamental change repurchase date described in the third bullet of the immediately preceding paragraph will receive the full interest payment that would have been due on the maturity date or other applicable interest payment date regardless of whether their notes have been converted after such regular record date, and the converting holder will not be required to make a corresponding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the Notes May Be Converted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convert their notes only in the circumstances set forth below. However, in no event may notes be converted after the close of business on the second scheduled trading day immediately before the maturity date. </w:t>
      </w:r>
    </w:p>
    <w:p>
      <w:pPr>
        <w:pStyle w:val="TextBody"/>
        <w:bidi w:val="0"/>
        <w:spacing w:before="360" w:after="0"/>
        <w:jc w:val="left"/>
        <w:rPr>
          <w:rFonts w:ascii="Times New Roman" w:hAnsi="Times New Roman"/>
          <w:sz w:val="20"/>
        </w:rPr>
      </w:pPr>
      <w:r>
        <w:rPr>
          <w:rFonts w:ascii="Times New Roman" w:hAnsi="Times New Roman"/>
          <w:i/>
          <w:sz w:val="20"/>
        </w:rPr>
        <w:t>Conversion Upon Satisfaction of Common Stock Sale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at any time during the 30 consecutive trading days immediately after the period consisting of the first 20 trading days of any calendar quarter commencing after the calendar quarter ending on December 31, 2026, if the last reported sale price per share of our common stock exceeds 130% of the conversion price for each of at least five trading days, whether or not consecutive, during such 20 trading day period. </w:t>
      </w:r>
    </w:p>
    <w:p>
      <w:pPr>
        <w:pStyle w:val="TextBody"/>
        <w:bidi w:val="0"/>
        <w:spacing w:before="360" w:after="0"/>
        <w:jc w:val="left"/>
        <w:rPr>
          <w:rFonts w:ascii="Times New Roman" w:hAnsi="Times New Roman"/>
          <w:sz w:val="20"/>
        </w:rPr>
      </w:pPr>
      <w:r>
        <w:rPr>
          <w:rFonts w:ascii="Times New Roman" w:hAnsi="Times New Roman"/>
          <w:i/>
          <w:sz w:val="20"/>
        </w:rPr>
        <w:t>Conversion Upon Satisfaction of Note Trading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during the five consecutive business days immediately after any 10 consecutive trading day period (such 10 consecutive trading day period, the “measurement period”) if the “trading price” (as defined below under the caption “ —Definitions”) per $1,000 principal amount of notes, as determined following a request by a noteholder in accordance with the procedures described below, for each trading day of the measurement period was less than 98% of the product of the last reported sale price per share of our common stock on such trading day and the conversion rate on such trading day. We refer to this condition as the “trading price condition.”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will be determined by the bid solicitation agent as described below and in the definition of “trading price.” The bid solicitation agent (if not us) will have no obligation to determine the trading price of the notes unless we have requested such determination in writing, and we will have no obligation to make such request (or seek bids ourselves) unless a noteholder (or noteholders) of at least $5,000,000 in aggregate principal amount provides us with reasonable evidence that the trading price per $1,000 principal amount of notes would be less than 98% of the product of the last reported sale price per share of our common stock and the conversion rate. If a noteholder provides such evidence, then we will instruct the bid solicitation agent to (or, if we are acting as the bid solicitation agent, we will) determine the trading price of the notes beginning on the next trading day and on each successive trading day until the trading price per $1,000 principal amount of notes is greater than or equal to 98% of the product of the last reported sale price per share of our common stock on such trading day and the conversion rate on such trading day. If the trading price condition has been met as described above, then we will notify the noteholders of the same. If, on any trading day after the trading price condition has been met as described above, the trading price per $1,000 principal amount of notes is greater than or equal to 98% of the product of the last reported sale price per share of our common stock on such trading day and the conversion rate on such trading day, then we will notify the noteholders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act as the initial bid solicitation agent. However, we may change the bid solicitation agent, and we may appoint any of our subsidiaries to act in that capacity as well, without prior notice to the noteholders. </w:t>
      </w:r>
    </w:p>
    <w:p>
      <w:pPr>
        <w:pStyle w:val="TextBody"/>
        <w:bidi w:val="0"/>
        <w:spacing w:before="360" w:after="0"/>
        <w:jc w:val="left"/>
        <w:rPr>
          <w:rFonts w:ascii="Times New Roman" w:hAnsi="Times New Roman"/>
          <w:sz w:val="20"/>
        </w:rPr>
      </w:pPr>
      <w:r>
        <w:rPr>
          <w:rFonts w:ascii="Times New Roman" w:hAnsi="Times New Roman"/>
          <w:i/>
          <w:sz w:val="20"/>
        </w:rPr>
        <w:t>Conversion Upon Specified Corporate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Certain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before July 15, 2032, we elect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to all or substantially all holders of our common stock, any rights, options or warrants (other than rights issued pursuant to a stockholder rights plan, so long as such rights have not separated from our common stock and are not exercisable until the occurrence of a triggering event, except that such rights will be deemed to be distributed under this bullet point upon their separation from our common stock or upon the occurrence of such triggering event) entitling them, for a period of not more than 60 calendar days after the date such distribution is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(determined in accordance with the provisions described in the third paragraph of clause (2) under the heading “ —Conversion Rate Adjustments—Generally”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to all or substantially all holders of our common stock, assets or securities of ours or rights to purchase our securities, which distribution per share of our common stock has a value, as reasonably determined by us in good faith and in a commercially reasonable manner, exceeding 10% of the last reported sale price per share of our common stock on the trading day immediately before the date such distribution is announced,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in either case, we will send notice of such distribution, and of the related right to convert notes, to noteholders at least 25 scheduled trading days before the “ex-dividend date” (as defined below under the caption “ —Definitions”) for such distribution (or, if later in the case of any such separation of rights issued pursuant to a stockholder rights plan or the occurrence of any such triggering event under a stockholder rights plan, as soon as reasonably practicable after we become aware that such separation or triggering event has occurred or will occur). However, if we are then otherwise permitted to settle conversions by physical settlement (and, for the avoidance of doubt, we have not elected another settlement method to apply, including pursuant to the provision described in the third sentence under the caption “ —Settlement Upon Conversion—Settlement Method” below), then we may instead elect to provide such notice at least 10 scheduled trading days before such ex-dividend date. In that event, we will be required to settle all conversions with a conversion date occurring on or after the date we provide such notice and on or before the business day immediately before the ex-dividend date for such distribution (or any earlier announcement by us that such distribution will not take place) by physical settlement, and we will describe the same in the notice. Once we have sent such notice, noteholders may convert their notes at any time until the earlier of the close of business on the business day immediately before such ex-dividend date and our announcement that such distribution will not take place. However, the notes will not become convertible on account of such distribution (but we will still be required to send notice of such distribution as described above) if each noteholder participates, at the same time and on the same terms as holders of our common stock, and solely by virtue of being a noteholder, in such distribution without having to convert such noteholder’s notes and as if such noteholder held a number of shares of our common stock equal to the product of (i) the conversion rate in effect on the record date for such distribution; and (ii) the aggregate principal amount (expressed in thousands) of notes held by such noteholder on such record date. </w:t>
      </w:r>
    </w:p>
    <w:p>
      <w:pPr>
        <w:pStyle w:val="TextBody"/>
        <w:bidi w:val="0"/>
        <w:spacing w:before="360" w:after="0"/>
        <w:jc w:val="left"/>
        <w:rPr>
          <w:rFonts w:ascii="Times New Roman" w:hAnsi="Times New Roman"/>
          <w:i/>
          <w:sz w:val="20"/>
        </w:rPr>
      </w:pPr>
      <w:r>
        <w:rPr>
          <w:rFonts w:ascii="Times New Roman" w:hAnsi="Times New Roman"/>
          <w:i/>
          <w:sz w:val="20"/>
        </w:rPr>
        <w:t xml:space="preserve">Certain Corporate Events </w:t>
      </w:r>
    </w:p>
    <w:p>
      <w:pPr>
        <w:pStyle w:val="TextBody"/>
        <w:bidi w:val="0"/>
        <w:spacing w:before="120" w:after="0"/>
        <w:jc w:val="left"/>
        <w:rPr>
          <w:rFonts w:ascii="Times New Roman" w:hAnsi="Times New Roman"/>
          <w:sz w:val="20"/>
        </w:rPr>
      </w:pPr>
      <w:r>
        <w:rPr>
          <w:rFonts w:ascii="Times New Roman" w:hAnsi="Times New Roman"/>
          <w:sz w:val="20"/>
        </w:rPr>
        <w:t xml:space="preserve">If a fundamental change, make-whole fundamental change (other than a make-whole fundamental change pursuant to clause (ii) of the definition thereof) or “common stock change event” (as defined below under the caption “ —Effect of Common Stock Change Event”) occurs (other than a merger or other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that is effected solely to change our jurisdiction of incorporation and that does not constitute a fundamental change or a make-whole fundamental change), then, in each case, noteholders may convert their notes at any time from, and including, the effective date of such transaction or event to, and including, the 35th trading day after such effective date (or, if such transaction or event also constitutes a fundamental change (other than an “exempted fundamental change,” as defined below under the caption “ —Fundamental Change Permits Noteholders to Require Us to Repurchase Notes—No Repurchase Right in Certain Circumstances”), to, but excluding, the related fundamental change repurchase date). No later than the second business day after such effective date, we will send notice to the noteholders of such transaction or event, such effective date and the related right to convert notes. If we do not provide such notice by the second business day after the effective date, then the last day on which the notes are convertible will be extended by the number of business days from, and including, the second business day after the effective date to, but excluding, the date we provide the notice. </w:t>
      </w:r>
    </w:p>
    <w:p>
      <w:pPr>
        <w:pStyle w:val="TextBody"/>
        <w:bidi w:val="0"/>
        <w:spacing w:before="360" w:after="0"/>
        <w:jc w:val="left"/>
        <w:rPr>
          <w:rFonts w:ascii="Times New Roman" w:hAnsi="Times New Roman"/>
          <w:sz w:val="20"/>
        </w:rPr>
      </w:pPr>
      <w:r>
        <w:rPr>
          <w:rFonts w:ascii="Times New Roman" w:hAnsi="Times New Roman"/>
          <w:i/>
          <w:sz w:val="20"/>
        </w:rPr>
        <w:t>Conversion Upon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we call any note for redemption, then the holder of such note may convert such note at any time before the close of business on the second business day immediately before the related redemption date (or, if we fail to pay the redemption price due on such redemption date in full, at any time until such time as we pay such redemption price in full). </w:t>
      </w:r>
    </w:p>
    <w:p>
      <w:pPr>
        <w:pStyle w:val="TextBody"/>
        <w:bidi w:val="0"/>
        <w:spacing w:before="360" w:after="0"/>
        <w:jc w:val="left"/>
        <w:rPr>
          <w:rFonts w:ascii="Times New Roman" w:hAnsi="Times New Roman"/>
          <w:sz w:val="20"/>
        </w:rPr>
      </w:pPr>
      <w:r>
        <w:rPr>
          <w:rFonts w:ascii="Times New Roman" w:hAnsi="Times New Roman"/>
          <w:i/>
          <w:sz w:val="20"/>
        </w:rPr>
        <w:t>Conversions During Free Convertibility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at any time from, and including, July 15, 2032 until the close of business on the second scheduled trading day immediately before the maturity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Procedures </w:t>
      </w:r>
    </w:p>
    <w:p>
      <w:pPr>
        <w:pStyle w:val="TextBody"/>
        <w:bidi w:val="0"/>
        <w:spacing w:before="120" w:after="0"/>
        <w:jc w:val="left"/>
        <w:rPr>
          <w:rFonts w:ascii="Times New Roman" w:hAnsi="Times New Roman"/>
          <w:sz w:val="20"/>
        </w:rPr>
      </w:pPr>
      <w:r>
        <w:rPr>
          <w:rFonts w:ascii="Times New Roman" w:hAnsi="Times New Roman"/>
          <w:sz w:val="20"/>
        </w:rPr>
        <w:t xml:space="preserve">To convert a beneficial interest in a global note, the owner of the beneficial interest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depositary procedures for converting the beneficial interest (at which time such conversion will become irrevocable unless we, in our sole and absolute discretion, agree to permit the owner of the beneficial interest to withdraw such conversion and such withdrawal is reasonably feasible pursuant to the applicable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interest payable on the next interest payment date, as described above under the caption “ —Treatment of Interest Upon Conversion”;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documentary or other taxes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convert all or a portion of a physical note, the holder of such note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manually sign and deliver to the conversion agent the conversion notice attached to such note or a facsimile of such conversion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such note to the conversion agent (at which time such conversion will become irrevocable unless we, in our sole and absolute discretion, agree to permit the holder of such note to withdraw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endorsements and transfer documents that we or the conversion agent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interest payable on the next interest payment date, as described above under the caption “ —Treatment of Interest Upon Conversion”;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documentary or other taxes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may be surrendered for conversion only after the “open of business” (as defined below under the caption “ —Definitions”) and before the close of business on a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pay any documentary, stamp or similar issue or transfer tax or duty due on the issue or delivery of any shares of our common stock upon conversion. However, if any tax or duty is due because the converting noteholder requests those shares to be registered in a name other than such noteholder’s name, then such noteholder must pay such tax or duty. </w:t>
      </w:r>
    </w:p>
    <w:p>
      <w:pPr>
        <w:pStyle w:val="TextBody"/>
        <w:bidi w:val="0"/>
        <w:spacing w:before="240" w:after="0"/>
        <w:jc w:val="left"/>
        <w:rPr>
          <w:rFonts w:ascii="Times New Roman" w:hAnsi="Times New Roman"/>
          <w:sz w:val="20"/>
        </w:rPr>
      </w:pPr>
      <w:r>
        <w:rPr>
          <w:rFonts w:ascii="Times New Roman" w:hAnsi="Times New Roman"/>
          <w:sz w:val="20"/>
        </w:rPr>
        <w:t xml:space="preserve">We refer to the first business day on which the requirements described above to convert a note are satisfied as the “conversion date,” subject to the provision described in the last sentence under the caption “ —Settlement Upon Conversion—Delivery of the Conversion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 noteholder has validly delivered a “fundamental change repurchase notice” (as defined below under the caption “ —Fundamental Change Permits Noteholders to Require Us to Repurchase Notes”) with respect to a note, then such note may not be converted, except to the extent (i) such notice is withdrawn in accordance with the procedures described below; or (ii) we fail to pay the related fundamental change repurchase price for such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Settlement Upon Conversion </w:t>
      </w:r>
    </w:p>
    <w:p>
      <w:pPr>
        <w:pStyle w:val="TextBody"/>
        <w:bidi w:val="0"/>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conversion, we may choose to pay or deliver, as applicable, either cash (“cash settlement”), shares of our common stock (“physical settlement”) or a combination of cash and shares of our common stock (“combination settlement”), as described below. We refer to each of these settlement methods as a “settlement method.” If cash settlement or combination settlement applies to a conversion, then the consideration due will be determined based on the conversion rate, the “daily VWAPs” per share of our common stock over an “observation period” consisting of 20 consecutive “VWAP trading days” and, in the case of combination settlement, the “specified dollar amount” (as those terms are defined below under the caption “ —Definitions”) that applies to the conversion. </w:t>
      </w:r>
    </w:p>
    <w:p>
      <w:pPr>
        <w:pStyle w:val="TextBody"/>
        <w:bidi w:val="0"/>
        <w:spacing w:before="360" w:after="0"/>
        <w:jc w:val="left"/>
        <w:rPr>
          <w:rFonts w:ascii="Times New Roman" w:hAnsi="Times New Roman"/>
          <w:sz w:val="20"/>
        </w:rPr>
      </w:pPr>
      <w:r>
        <w:rPr>
          <w:rFonts w:ascii="Times New Roman" w:hAnsi="Times New Roman"/>
          <w:i/>
          <w:sz w:val="20"/>
        </w:rPr>
        <w:t>Settlement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the right, as described below, to elect the settlement method applicable to the conversion of any notes. Except as described below, we must use the same settlement method for all conversions with the same conversion date, but we will not be obligated to use the same settlement method for conversions with different conversion dates. All conversions with a conversion date that occurs on or after July 15, 2032 will be settled using the same settlement method, and we will send notice of such settlement method to noteholders no later than the open of business on July 15, 2032. If we elect a settlement method for a conversion with a conversion date that occurs before July 15, 2032, then we will send notice of such settlement method to the converting noteholder no later than the close of business on the business day immediately after the conversion date. However, as described above under the captions “ —Optional Redemption—Redemption Date” and “ —When the Notes May Be Converted—Conversion Upon Specified Corporate Events—Certain Distributions,” we may in certain circumstances elect that physical settlement apply to all conversions with a conversion date occurring during the periods referred to under those captions. Notwithstanding anything to the contrary described above, if we call any notes for redemption, then (i) we will specify in the related redemption notice (and, in the case of a provisional redemption of less than all outstanding notes where the related redemption notice is not sent to all holders, in a notice simultaneously sent to all holders of notes not called for redemption) the settlement method that will apply to all conversions with a conversion date that occurs on or after the date we send such redemption notice and on or before the second business day before the related redemption date; and (ii) if the related redemption date is on or after July 15, 2032, then such settlement method must be the same settlement method that applies to all conversions with a conversion date that occurs on or after July 15, 2032. </w:t>
      </w:r>
    </w:p>
    <w:p>
      <w:pPr>
        <w:pStyle w:val="TextBody"/>
        <w:bidi w:val="0"/>
        <w:spacing w:before="240" w:after="0"/>
        <w:jc w:val="left"/>
        <w:rPr>
          <w:rFonts w:ascii="Times New Roman" w:hAnsi="Times New Roman"/>
          <w:sz w:val="20"/>
        </w:rPr>
      </w:pPr>
      <w:r>
        <w:rPr>
          <w:rFonts w:ascii="Times New Roman" w:hAnsi="Times New Roman"/>
          <w:sz w:val="20"/>
        </w:rPr>
        <w:t xml:space="preserve">If we do not timely elect a settlement method with respect to any conversion, then we will be deemed to have elected the “default settlement method” (as defined below). If we timely elect combination settlement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a conversion but do not timely notify the converting noteholder of the applicable specified dollar amount, then the specified dollar amount for such conversion will be deemed to be $1,000 per $1,000 principal amount of notes. For the avoidance of doubt, our failure to timely elect a settlement method or specify the applicable specified dollar amount will not constitute a default or event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“default settlement method” will initially be combination settlement with a specified dollar amount of $1,000 per $1,000 principal amount of notes. However, we may, from time to time, change the default settlement method by sending notice of the new default settlement method to the noteholders. In addition, we may, by notice to the noteholders, elect to irrevocably fix the settlement method or to irrevocably eliminate any one or more (but not all) settlement methods (including eliminating combination settlement with a particular specified dollar amount or range of specified dollar amounts). If we make such an irrevocable election, then such election will apply to all note conversions with a conversion date that is on or after the date we send such notice and we will, if needed, simultaneously change the default settlement method to a settlement method that is consistent with such irrevocable election. However, in all cases, no such irrevocable election will affect any settlement method theretofore elected (or deemed to be elected) with respect to any note pursuant to the indenture. For the avoidance of doubt, such an irrevocable election, if made, will be effective without the need to amend the indenture or the notes, including pursuant to the provisions described in the seventh bullet point of the third paragraph under the caption “ —Modification and Amendment” below. However, we may nonetheless choose to execute such an amendment at our option. </w:t>
      </w:r>
    </w:p>
    <w:p>
      <w:pPr>
        <w:pStyle w:val="TextBody"/>
        <w:bidi w:val="0"/>
        <w:spacing w:before="240" w:after="0"/>
        <w:jc w:val="left"/>
        <w:rPr>
          <w:rFonts w:ascii="Times New Roman" w:hAnsi="Times New Roman"/>
          <w:sz w:val="20"/>
        </w:rPr>
      </w:pPr>
      <w:r>
        <w:rPr>
          <w:rFonts w:ascii="Times New Roman" w:hAnsi="Times New Roman"/>
          <w:sz w:val="20"/>
        </w:rPr>
        <w:t xml:space="preserve">If we change the default settlement method or irrevocably fix the settlement method pursuant to the provisions described above, then we will, substantially concurrently, either post the default settlement method or fixed settlement method, as applicable, on our website or disclose the same in a current report on Form 8-K (or any successor form) that is filed with, or furnished to, the SEC. </w:t>
      </w:r>
    </w:p>
    <w:p>
      <w:pPr>
        <w:pStyle w:val="TextBody"/>
        <w:bidi w:val="0"/>
        <w:spacing w:before="360" w:after="0"/>
        <w:jc w:val="left"/>
        <w:rPr>
          <w:rFonts w:ascii="Times New Roman" w:hAnsi="Times New Roman"/>
          <w:sz w:val="20"/>
        </w:rPr>
      </w:pPr>
      <w:r>
        <w:rPr>
          <w:rFonts w:ascii="Times New Roman" w:hAnsi="Times New Roman"/>
          <w:i/>
          <w:sz w:val="20"/>
        </w:rPr>
        <w:t>Consideration Due Upon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other provisions described in this section, the consideration due upon conversion of each $1,000 principal amount of a note will be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physical settlement applies, a number of shares of our common stock equal to the conversion rate in effect on the conversion date for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cash settlement applies, cash in an amount equal to the sum of the “daily conversion values” (as defined below under the caption “ —Definitions”) for each VWAP trading day in the observation period for such conversion;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combination settlement applies, (i) a number of shares of our common stock equal to the sum of the “daily share amounts” (as defined below under the caption “ —Definitions”) for each VWAP trading day in the observation period for such conversion; and (ii) an amount of cash equal to the sum of the “daily cash amounts” (as defined below under the caption “ —Definitions”) for each VWAP trading day in such observation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in lieu of delivering any fractional share of our common stock otherwise due upon conversion, we will pay cash based on (i) the daily VWAP on the applicable conversion date (or, if such conversion date is not a VWAP trading day, the immediately preceding VWAP trading day), in the case of physical settlement; or (ii) the daily VWAP on the last VWAP trading day of the applicable observation period, in the case of combination settlement. </w:t>
      </w:r>
    </w:p>
    <w:p>
      <w:pPr>
        <w:pStyle w:val="TextBody"/>
        <w:bidi w:val="0"/>
        <w:spacing w:before="240" w:after="0"/>
        <w:jc w:val="left"/>
        <w:rPr>
          <w:rFonts w:ascii="Times New Roman" w:hAnsi="Times New Roman"/>
          <w:sz w:val="20"/>
        </w:rPr>
      </w:pPr>
      <w:r>
        <w:rPr>
          <w:rFonts w:ascii="Times New Roman" w:hAnsi="Times New Roman"/>
          <w:sz w:val="20"/>
        </w:rPr>
        <w:t xml:space="preserve">If a noteholder converts more than one note on a conversion date, then the consideration due upon such conversion will (in the case of any global note, to the extent permitted by, and practicable under, the depositary procedures) be computed based on the total principal amount of notes converted on such conversion date by that noteholder.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Delivery of the Conversion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under the captions “ —Conversion Rate Adjustments” and “ —Effect of Common Stock Change Event,” we will pay or deliver, as applicable, the consideration due upon conversion as follows: (i) if cash settlement or combination settlement applies, on or before the second business day immediately after the last VWAP trading day of the observation period for such conversion; and (ii) if physical settlement applies, on or before the second business day immediately after the conversion date for such conversion. However, if physical settlement applies to the conversion of any note with a conversion date that is after the regular record date immediately before the maturity date, or of any note that has been called for redemption with a conversion date that occurs during the 15 calendar days preceding the related redemption date, then, solely for purposes of such conversion, (i) we will pay or deliver, as applicable, the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15 calendar days preceding such redemption date; and (ii) the conversion date will instead be deemed to be the second business day immediately before the date referred to in clause (i).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Converting Noteholders Become 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The person in whose name any share of our common stock is issuable upon conversion of any note will be deemed to become the holder of record of that share as of the close of business on (i) the conversion date for such conversion, in the case of physical settlement; or (ii) the last VWAP trading day of the observation period for such conversion, in the case of combination settlement.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Rate Adjustments </w:t>
      </w:r>
    </w:p>
    <w:p>
      <w:pPr>
        <w:pStyle w:val="TextBody"/>
        <w:bidi w:val="0"/>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rate will be adjusted for the events described below. However, we are not required to adjust the conversion rate for these events (other than a stock split or combination or a tender or exchange offer) if each noteholder participates, at the same time and on the same terms as holders of our common stock, and solely by virtue of being a holder of notes, in such transaction or event without having to convert such noteholder’s notes and as if such noteholder held a number of shares of our common stock equal to the product of (i) the conversion rate in effect on the related record date; and (ii) the aggregate principal amount (expressed in thousands) of notes held by such noteholder on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Stock Dividends, Splits and Combinations</w:t>
            </w:r>
            <w:r>
              <w:rPr>
                <w:rFonts w:ascii="Times New Roman" w:hAnsi="Times New Roman"/>
                <w:sz w:val="20"/>
              </w:rPr>
              <w:t xml:space="preserve">. If we issue solely shares of our common stock as a dividend or distribution on all or substantially all shares of our common stock, or if we effect a stock split or a stock combination of our common stock (in each case excluding an issuance solely pursuant to a common stock change event, as to which the provisions described below under the caption “ —Effect of Common Stock Change Event” will apply), then the conversion rate will be adjusted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050290" cy="365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0290" cy="3651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0 = the conversion rate in effect immediately before the open of business on the ex-dividend date for such dividend or distribution, or immediately before the open of business on the effective date of such stock split or stock combination, as applicable;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1 = the conversion rate in effect immediately after the open of business on such ex-dividend date or effective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0 = the number of shares of our common stock outstanding immediately before the open of business on such ex-dividend date or effective date, as applicable, without giving effect to such dividend, distribution, stock split or stock combination; and </w:t>
      </w:r>
    </w:p>
    <w:p>
      <w:pPr>
        <w:pStyle w:val="TextBody"/>
        <w:bidi w:val="0"/>
        <w:spacing w:before="12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1 = the number of shares of our common stock outstanding immediately after giving effect to such dividend, distribution, stock split or stock combination. </w:t>
      </w:r>
    </w:p>
    <w:p>
      <w:pPr>
        <w:pStyle w:val="TextBody"/>
        <w:bidi w:val="0"/>
        <w:spacing w:before="12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paragraph (1) is declared or announced, but not so paid or made, then the conversion rate will be readjusted, effective as of the date our board of directors determines not to pay such dividend or distribution or to effect such stock split or stock combination, to the conversion rate that would then be in effect had such dividend, distribution, stock split or stock combination not been declared or announced.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Rights, Options and Warrants</w:t>
            </w:r>
            <w:r>
              <w:rPr>
                <w:rFonts w:ascii="Times New Roman" w:hAnsi="Times New Roman"/>
                <w:sz w:val="20"/>
              </w:rPr>
              <w:t xml:space="preserve">. If we distribute, to all or substantially all holders of our common stock, rights, options or warrants (other than rights issued or otherwise distributed pursuant to a stockholder rights plan, as to which the provisions described below in paragraph (3)(a) and under the caption “ —Stockholder Rights Plans” will apply) entitling such holders, for a period of not more than 60 calendar days after the date such distribution is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241425" cy="3359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41425"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0 = the conversion rate in effect immediately before the open of business on the ex-dividend date for such distribution;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 = the number of shares of our common stock outstanding immediately before the open of business on such ex-dividend date; </w:t>
      </w:r>
    </w:p>
    <w:p>
      <w:pPr>
        <w:pStyle w:val="TextBody"/>
        <w:bidi w:val="0"/>
        <w:spacing w:before="120" w:after="0"/>
        <w:jc w:val="left"/>
        <w:rPr>
          <w:rFonts w:ascii="Times New Roman" w:hAnsi="Times New Roman"/>
          <w:sz w:val="20"/>
        </w:rPr>
      </w:pPr>
      <w:r>
        <w:rPr>
          <w:rFonts w:ascii="Times New Roman" w:hAnsi="Times New Roman"/>
          <w:i/>
          <w:sz w:val="20"/>
        </w:rPr>
        <w:t>X</w:t>
      </w:r>
      <w:r>
        <w:rPr>
          <w:rFonts w:ascii="Times New Roman" w:hAnsi="Times New Roman"/>
          <w:sz w:val="20"/>
        </w:rPr>
        <w:t xml:space="preserve"> = the total number of shares of our common stock issuable pursuant to such rights, options or warrants; and </w:t>
      </w:r>
    </w:p>
    <w:p>
      <w:pPr>
        <w:pStyle w:val="TextBody"/>
        <w:bidi w:val="0"/>
        <w:spacing w:before="120" w:after="0"/>
        <w:jc w:val="left"/>
        <w:rPr>
          <w:rFonts w:ascii="Times New Roman" w:hAnsi="Times New Roman"/>
          <w:sz w:val="20"/>
        </w:rPr>
      </w:pPr>
      <w:r>
        <w:rPr>
          <w:rFonts w:ascii="Times New Roman" w:hAnsi="Times New Roman"/>
          <w:i/>
          <w:sz w:val="20"/>
        </w:rPr>
        <w:t>Y</w:t>
      </w:r>
      <w:r>
        <w:rPr>
          <w:rFonts w:ascii="Times New Roman" w:hAnsi="Times New Roman"/>
          <w:sz w:val="20"/>
        </w:rPr>
        <w:t xml:space="preserve"> = a number of shares of our common stock obtained by dividing (x) the aggregate price payable to exercise such rights, options or warrants by (y) the average of the last reported sale prices per share of our common stock for the 10 consecutive trading days ending on, and including, the trading day immediately before the date such distribution is announced.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our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our common stock actually delivered upon exercise of such rights, options or warrants.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paragraph (2) and the provisions described above under the caption “ —When the Notes May Be Converted—Conversion Upon Specified Corporate Events—Certain Distributions,” in determining whether any rights, options or warrants entitle holders of our common stock to subscribe for or purchase shares of our common stock at a price per share that is less than the average of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reported sale prices per share of our common stock for the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we receive for such rights, options or warrants and any amount payable on exercise thereof, with the value of such consideration, if not cash, to be determined by us in good faith and in a commercially reasonable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Spin-Offs and Other Distributed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Distributions Other Than Spin-Offs</w:t>
            </w:r>
            <w:r>
              <w:rPr>
                <w:rFonts w:ascii="Times New Roman" w:hAnsi="Times New Roman"/>
                <w:sz w:val="20"/>
              </w:rPr>
              <w:t xml:space="preserve">. If we distribute shares of our “capital stock” (as defined below under the caption “ —Definitions”), evidences of our indebtedness or other assets or property of ours, or rights, options or warrants to acquire our capital stock or other securities, to all or substantially all holders of our common stock, excluding: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distributions, rights, options or warrants for which an adjustment to the conversion rate is required (or would be required without regard to the “deferral exception” (as defined below under the caption “ —The Deferral Exception”)) pursuant to paragraph (1) or (2)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or distributions paid exclusively in cash for which an adjustment to the conversion rate is required (or would be required without regard to the deferral exception) pursuant to paragraph (4)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issued or otherwise distributed pursuant to a stockholder rights plan, except to the extent provided below under the caption “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spin-offs for which an adjustment to the conversion rate is required (or would be required without regard to the deferral exception) pursuant to paragraph (3)(b)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solely pursuant to a tender offer or exchange offer for shares of our common stock, as to which the provisions described below in paragraph (5) will apply;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solely pursuant to a common stock change event, as to which the provisions described below under the caption “ —Effect of Common Stock Change Event” will apply,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419860" cy="3359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86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open of business on the ex-dividend date for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for the 10 consecutive trading days ending on, and including, the trading day immediately before such ex-dividend date; and </w:t>
      </w:r>
    </w:p>
    <w:p>
      <w:pPr>
        <w:pStyle w:val="TextBody"/>
        <w:bidi w:val="0"/>
        <w:spacing w:before="120" w:after="0"/>
        <w:jc w:val="left"/>
        <w:rPr>
          <w:rFonts w:ascii="Times New Roman" w:hAnsi="Times New Roman"/>
          <w:sz w:val="20"/>
        </w:rPr>
      </w:pPr>
      <w:r>
        <w:rPr>
          <w:rFonts w:ascii="Times New Roman" w:hAnsi="Times New Roman"/>
          <w:sz w:val="20"/>
        </w:rPr>
        <w:t xml:space="preserve">FMV = the fair market value (as determined by us in good faith and in a commercially reasonable manner), as of such ex-dividend date, of the shares of capital stock, evidences of indebtedness, assets, property, rights, options or warrants distributed per share of our common stock pursuant to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However, if FMV is equal to or greater than SP, then, in lieu of the foregoing adjustment to the conversion rate, each noteholder will receive, for each $1,000 principal amount of notes held by such noteholder on the record date for such distribution, at the same time and on the same terms as holders of our common stock, the amount and kind of shares of capital stock, evidences of indebtedness, assets, property, rights, options or warrants that such noteholder would have received in such distribution if such noteholder had owned,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record date, a number of shares of our common stock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distribution is not so paid or made, the conversion rate will be readjusted to the conversion rate that would then be in effect had the adjustment been made on the basis of only the distribution, if any, actually made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Spin-Offs</w:t>
            </w:r>
            <w:r>
              <w:rPr>
                <w:rFonts w:ascii="Times New Roman" w:hAnsi="Times New Roman"/>
                <w:sz w:val="20"/>
              </w:rPr>
              <w:t xml:space="preserve">. If we distribute or dividend shares of capital stock of any class or series, or similar equity interests, of or relating to an “affiliate” or “subsidiary” (as those terms are defined below under the caption “ —Definitions”) or other business unit of ours to all or substantially all holders of our common stock (other than solely pursuant to (x) a common stock change event, as to which the provisions described below under the caption “ —Effect of Common Stock Change Event” will apply; or (y) a tender offer or exchange offer for shares of our common stock, as to which the provisions described below in paragraph (5) will apply), and such capital stock or equity interests are listed or quoted (or will be listed or quoted upon the consummation of the transaction) on a U.S. national securities exchange (a “spin-off”),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419860" cy="3359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1986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close of business on the last trading day of the “spin-off valuation period” (as defined below) for such spin-off;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close of business on the last trading day of the spin-off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FMV = the product of (x) the average of the last reported sale prices per share or unit of the capital stock or equity interests distributed in such spin-off over the 10 consecutive trading day period (the “spin-off valuation period”) beginning on, and including, the ex-dividend date for such spin-off (such average to be determined as if references to our common stock in the definitions of “last reported sale price,” “trading day” and “market disruption event” were instead references to such capital stock or equity interests); and (y) the number of shares or units of such capital stock or equity interests distributed per share of our common stock in such spin-off; and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for each trading day in the spin-off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consideration due in respect of such conversion, such spin-off valuation period will be deemed to consist of the trading days occurring in the period from, and including, the ex-dividend date for such spin-off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dividend or distribution of the type described above in this paragraph (3)(b)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our common stock,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184910" cy="3359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8491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open of business on the ex-dividend date for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sz w:val="20"/>
        </w:rPr>
        <w:t xml:space="preserve">SP = the last reported sale price per share of our common stock on the trading day immediately before such ex-dividend date; and </w:t>
      </w:r>
    </w:p>
    <w:p>
      <w:pPr>
        <w:pStyle w:val="TextBody"/>
        <w:bidi w:val="0"/>
        <w:spacing w:before="120" w:after="0"/>
        <w:jc w:val="left"/>
        <w:rPr>
          <w:rFonts w:ascii="Times New Roman" w:hAnsi="Times New Roman"/>
          <w:sz w:val="20"/>
        </w:rPr>
      </w:pPr>
      <w:r>
        <w:rPr>
          <w:rFonts w:ascii="Times New Roman" w:hAnsi="Times New Roman"/>
          <w:sz w:val="20"/>
        </w:rPr>
        <w:t xml:space="preserve">D = the cash amount distributed per share of our common stock in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However, if D is equal to or greater than SP, then, in lieu of the foregoing adjustment to the conversion rate, each noteholder will receive, for each $1,000 principal amount of notes held by such noteholder on the record date for such dividend or distribution, at the same time and on the same terms as holders of our common stock, the amount of cash that such noteholder would have received in such dividend or distribution if such noteholder had owned, on such record date, a number of shares of our common stock equal to the conversion rate in effect on such record date. To the extent such dividend or distribution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Tender Offers or Exchange Offers</w:t>
            </w:r>
            <w:r>
              <w:rPr>
                <w:rFonts w:ascii="Times New Roman" w:hAnsi="Times New Roman"/>
                <w:sz w:val="20"/>
              </w:rPr>
              <w:t xml:space="preserve">. If we or any of our subsidiaries makes a payment in respect of a tender offer or exchange offer for shares of our common stock (other than solely pursuant to an odd-lot tender offer pursuant to Rule 13e-4(h)(5) under the Exchange Act), and the value (determined as of the expiration time by us in good faith and in a commercially reasonable manner) of the cash and other consideration paid per share of our common stock in such tender or exchange offer exceeds the last reported sale price per share of our common stock on the trading day immediately after the last date (the “expiration date”) on which tenders or exchanges may be made pursuant to such tender or exchange offer (as it may be amended),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731645" cy="4044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31645" cy="40449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close of business on the last trading day of the “tender/exchange offer valuation period” (as defined below) for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close of business on the last trading day of the tender/exchange offer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AC = the aggregate value (determined as of the time (the “expiration time”) such tender or exchange offer expires by us in good faith and in a commercially reasonable manner) of all cash and other consideration paid for shares of our common stock purchased or exchanged in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OS0 = the number of shares of our common stock outstanding immediately before the expiration time (including all shares of our common stock accepted for purchase or exchange in such tender or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OS1 = the number of shares of our common stock outstanding immediately after the expiration time (excluding all shares of our common stock accepted for purchase or exchange in such tender or exchange offer); and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over the 10 consecutive trading day period (the “tender/exchange offer valuation period”) beginning on, and including, the trading day immediately after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provided, however, that the conversion rate will in no event be adjusted down pursuant to the provisions described in this paragraph (5), except to the extent provided in the immediately following paragraph. Notwithstanding anything to the contrary,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consideration due in respect of such conversion, such tender/exchange offer valuation period will be deemed to consist of the trading days occurring in the period from, and including, the trading day immediately after the expiration date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being precluded from consummating such tender or exchange offer under applicable law), or any purchases or exchanges of shares of our common stock in such tender or exchange offer are rescinded, the conversion rate will be readjusted to the conversion rate that would then be in effect had the adjustment been made on the basis of only the purchases or exchanges of shares of our common stock, if any, actually made, and not rescinded, in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adjust the conversion rate except as described above or below under the caption “ —Increase in Conversion Rate in Connection with a Make-Whole Fundamental Change.” Without limiting the foregoing, we will not be required to adjust the conversion rate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described above, the sale of shares of our common stock for a purchase price that is less than the market price per share of our common stock or less than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pursuant to any present or future plan providing for the reinvestment of dividends or interest payable on our securities and the investment of additional optional amounts in shares of our common stock under any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or options or rights to purchase shares of our common stock pursuant to any present or future employee, director or consultant benefit plan or program of, or assumed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pursuant to any option, warrant, right or convertible or exchangeable security of ours outstanding as of the date we first issue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third-party tender offer, other than a tender offer that is subject to paragraph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repurchase of any shares of our common stock pursuant to an open-market share repurchase program or other buyback transaction, including structured or derivative transactions such as accelerated share repurchase transactions or similar forward derivatives, in each case that is not subject to paragraph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a change in the par value of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accrued and unpaid interest on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Notice of Conversion Rate Adjustments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any adjustment to the conversion rate pursuant to the provisions described above under the caption “ —Conversion Rate Adjustments—Generally,” we will promptly send notice to the noteholders containing (i) a brief description of the transaction or other event on account of which such adjustment was made; (ii) the conversion rate in effect immediately after such adjustment; and (iii) the effective time of such adjustment. </w:t>
      </w:r>
    </w:p>
    <w:p>
      <w:pPr>
        <w:pStyle w:val="TextBody"/>
        <w:bidi w:val="0"/>
        <w:spacing w:before="360" w:after="0"/>
        <w:jc w:val="left"/>
        <w:rPr>
          <w:rFonts w:ascii="Times New Roman" w:hAnsi="Times New Roman"/>
          <w:i/>
          <w:sz w:val="20"/>
        </w:rPr>
      </w:pPr>
      <w:r>
        <w:rPr>
          <w:rFonts w:ascii="Times New Roman" w:hAnsi="Times New Roman"/>
          <w:i/>
          <w:sz w:val="20"/>
        </w:rPr>
        <w:t xml:space="preserve">Voluntary Conversion Rate Increases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law and applicable stock exchange rules, we, from time to time, may (but are not required to) increase the conversion rate by any amount if (i) our board of directors determines that such increase is in our best interest or that such increase is advisable to avoid or diminish any income tax imposed on holders of our common stock or rights to purchase our common stock as a result of any dividend or distribution of shares (or rights to acquire shares) of our common stock or any similar event; (ii) such increase is in effect for a period of at least 20 business days; and (iii) such increase is irrevocable during such period. </w:t>
      </w:r>
    </w:p>
    <w:p>
      <w:pPr>
        <w:pStyle w:val="TextBody"/>
        <w:bidi w:val="0"/>
        <w:spacing w:before="360" w:after="0"/>
        <w:jc w:val="left"/>
        <w:rPr>
          <w:rFonts w:ascii="Times New Roman" w:hAnsi="Times New Roman"/>
          <w:i/>
          <w:sz w:val="20"/>
        </w:rPr>
      </w:pPr>
      <w:r>
        <w:rPr>
          <w:rFonts w:ascii="Times New Roman" w:hAnsi="Times New Roman"/>
          <w:i/>
          <w:sz w:val="20"/>
        </w:rPr>
        <w:t xml:space="preserve">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 holder or beneficial owner of the notes may, in some circumstances, including a cash distribution or dividend on our common stock, be deemed to have received a distribution that is subject to U.S. federal income tax as a result of an adjustment or the non-occurrence of an adjustment to the conversion rate. Applicable withholding taxes (including backup withholding) may be withheld from interest and payments upon conversion, repurchase, redemption or maturity of the notes. In addition, if any withholding taxes (including backup withholding) are paid on behalf of a holder or beneficial owner, then we or the other applicable withholding agent may, at its option, withhold those withholding taxes from or set off against payments of cash or the delivery of shares of our common stock, if any, in respect of the notes (or, in some circumstances, any payments on our common stock) or sales proceeds received by, or other funds or assets of, that holder or beneficial owner. For a further discussion of the U.S. federal income tax treatment of an adjustment to the conversion rate, see “U.S. Federal Income Tax Considerations.” </w:t>
      </w:r>
    </w:p>
    <w:p>
      <w:pPr>
        <w:pStyle w:val="TextBody"/>
        <w:bidi w:val="0"/>
        <w:spacing w:before="360" w:after="0"/>
        <w:jc w:val="left"/>
        <w:rPr>
          <w:rFonts w:ascii="Times New Roman" w:hAnsi="Times New Roman"/>
          <w:i/>
          <w:sz w:val="20"/>
        </w:rPr>
      </w:pPr>
      <w:r>
        <w:rPr>
          <w:rFonts w:ascii="Times New Roman" w:hAnsi="Times New Roman"/>
          <w:i/>
          <w:sz w:val="20"/>
        </w:rPr>
        <w:t xml:space="preserve">The Deferral Exception </w:t>
      </w:r>
    </w:p>
    <w:p>
      <w:pPr>
        <w:pStyle w:val="TextBody"/>
        <w:bidi w:val="0"/>
        <w:spacing w:before="120" w:after="0"/>
        <w:jc w:val="left"/>
        <w:rPr>
          <w:rFonts w:ascii="Times New Roman" w:hAnsi="Times New Roman"/>
          <w:sz w:val="20"/>
        </w:rPr>
      </w:pPr>
      <w:r>
        <w:rPr>
          <w:rFonts w:ascii="Times New Roman" w:hAnsi="Times New Roman"/>
          <w:sz w:val="20"/>
        </w:rPr>
        <w:t xml:space="preserve">If an adjustment to the conversion rate otherwise required by the indenture would result in a change of less than 1% to the conversion rate, then we may, at our election, defer and carry forward such adjustment, except that all such deferred adjustments must be given effect immediately upon the earliest of the following: (i) when all such deferred adjustments would, had they not been so deferred and carried forward, result in an aggregate change of at least 1% to the conversion rate; (ii) the conversion date of, or any VWAP trading day of an observation period for, any note; (iii) the date a fundamental change or make-whole fundamental change occurs; (iv) the date we call any notes for redemption; and (v) July 15, 2032. We refer to our ability to defer adjustments as described above as the “deferral exception.” </w:t>
      </w:r>
    </w:p>
    <w:p>
      <w:pPr>
        <w:pStyle w:val="TextBody"/>
        <w:bidi w:val="0"/>
        <w:spacing w:before="360" w:after="0"/>
        <w:jc w:val="left"/>
        <w:rPr>
          <w:rFonts w:ascii="Times New Roman" w:hAnsi="Times New Roman"/>
          <w:i/>
          <w:sz w:val="20"/>
        </w:rPr>
      </w:pPr>
      <w:r>
        <w:rPr>
          <w:rFonts w:ascii="Times New Roman" w:hAnsi="Times New Roman"/>
          <w:i/>
          <w:sz w:val="20"/>
        </w:rPr>
        <w:t xml:space="preserve">Special Provisions for Adjustments that Are Not Yet Effective and Where Converting Noteholders Participate in the Relevant Transaction or Event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note is to be converted pursuant to physical settlement or combination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effective date or expiration time for any event that requires an adjustment to the conversion rate pursuant to the provisions described above under the caption “ —Conversion Rate Adjustments—Generally” has occurred on or before the conversion date for such conversion (in the case of physical settlement) or on or before any VWAP trading day in the observation period for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(in the case of combination settlement), but an adjustment to the conversion rate for such event has not yet become effective as of such conversion date or VWAP trading day,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due upon such conversion includes any whole shares of our common stock (in the case of physical settlement) or due in respect of such VWAP trading day includes any whole or fractional shares of our common stock (in the case of combination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are not entitled to participate in such event (because they were not held on the related record date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solely for purposes of such conversion, we will, without duplication, give effect to such adjustment on such conversion date (in the case of physical settlement) or such VWAP trading day (in the case of combination settlement). In such case, if the date we are otherwise required to deliver the consideration due upon such conversion is before the first date on which the amount of such adjustment can be determined, then we will delay the settlement of such conversion until the second business day after such first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rate adjustment for any dividend or distribution becomes effective on any ex-dividend date pursuant to the provisions described above under the caption “ —Conversion Rate Adjustments—Generally”;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note is to be converted pursuant to physical settlement or combination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date for such conversion (in the case of physical settlement) or any VWAP trading day in the observation period for such conversion (in the case of combination settlement) occurs on or after such ex-dividend date and on or before the related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due upon such conversion includes any whole shares of our common stock (in the case of physical settlement) or due in respect of such VWAP trading day includes any whole or fractional shares of our common stock (in the case of combination settlement), in each case based on a conversion rate that is adjusted for such dividend or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would be entitled to participate in such dividend or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physical settlement, such conversion rate adjustment will not be given effect for such conversion and the shares of our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had such shares been entitled to participate in such dividend or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combination settlement, the conversion rate adjustment relating to such ex-dividend date will be made for such conversion in respect of such VWAP trading day, but the shares of our common stock issuable with respect to such VWAP trading day based on such adjusted conversion rate will not be entitled to participate in such dividend or distribution.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Stockholder Rights Plans </w:t>
      </w:r>
    </w:p>
    <w:p>
      <w:pPr>
        <w:pStyle w:val="TextBody"/>
        <w:bidi w:val="0"/>
        <w:spacing w:before="120" w:after="0"/>
        <w:jc w:val="left"/>
        <w:rPr>
          <w:rFonts w:ascii="Times New Roman" w:hAnsi="Times New Roman"/>
          <w:sz w:val="20"/>
        </w:rPr>
      </w:pPr>
      <w:r>
        <w:rPr>
          <w:rFonts w:ascii="Times New Roman" w:hAnsi="Times New Roman"/>
          <w:sz w:val="20"/>
        </w:rPr>
        <w:t xml:space="preserve">If any shares of our common stock are to be issued upon conversion of any note and, at the time of such conversion, we have in effect any stockholder rights plan, then the holder of that note will be entitled to receive, in addition to, and concurrently with the delivery of, the consideration otherwise due upon such conversion, the rights set forth in such stockholder rights plan, unless such rights have separated from our common stock 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in which case, and only in such case, the conversion rate will be adjusted pursuant to the provisions described above in paragraph (3)(a) under the caption “ —Conversion Rate Adjustments—Generally” on account of such separation as if, at the time of such separation, we had made a distribution of the type referred to in such paragraph to all holders of our common stock, subject to potential readjustment pursuant to the provisions described in such paragraph. We currently do not have a stockholder rights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 in Conversion Rate in Connection with a Make-Whole Fundamental Change </w:t>
      </w:r>
    </w:p>
    <w:p>
      <w:pPr>
        <w:pStyle w:val="TextBody"/>
        <w:bidi w:val="0"/>
        <w:spacing w:before="120" w:after="0"/>
        <w:jc w:val="left"/>
        <w:rPr>
          <w:rFonts w:ascii="Times New Roman" w:hAnsi="Times New Roman"/>
          <w:i/>
          <w:sz w:val="20"/>
        </w:rPr>
      </w:pPr>
      <w:r>
        <w:rPr>
          <w:rFonts w:ascii="Times New Roman" w:hAnsi="Times New Roman"/>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a make-whole fundamental change occurs and the conversion date for the conversion of a note occurs during the related “make-whole fundamental change conversion period” (as defined below under the caption “ —Definitions”), then, subject to the provisions described below, the conversion rate applicable to such conversion will be increased by a number of shares (the “additional shares”) set forth in the table below corresponding (after interpolation as described below) to the “make-whole fundamental change effective date” (as defined below under the caption “ —Definitions”) and the “stock price” (as defined below under the caption “ —Definitions”) of such make-whole fundamental change: </w:t>
      </w:r>
    </w:p>
    <w:p>
      <w:pPr>
        <w:pStyle w:val="TextBody"/>
        <w:bidi w:val="0"/>
        <w:spacing w:before="0" w:after="0"/>
        <w:jc w:val="left"/>
        <w:rPr/>
      </w:pPr>
      <w:r>
        <w:rPr/>
        <w:t> </w:t>
      </w:r>
    </w:p>
    <w:tbl>
      <w:tblPr>
        <w:tblW w:w="10975" w:type="dxa"/>
        <w:jc w:val="center"/>
        <w:tblInd w:w="0" w:type="dxa"/>
        <w:tblLayout w:type="fixed"/>
        <w:tblCellMar>
          <w:top w:w="0" w:type="dxa"/>
          <w:left w:w="0" w:type="dxa"/>
          <w:bottom w:w="0" w:type="dxa"/>
          <w:right w:w="0" w:type="dxa"/>
        </w:tblCellMar>
      </w:tblPr>
      <w:tblGrid>
        <w:gridCol w:w="1955"/>
        <w:gridCol w:w="60"/>
        <w:gridCol w:w="60"/>
        <w:gridCol w:w="680"/>
        <w:gridCol w:w="60"/>
        <w:gridCol w:w="60"/>
        <w:gridCol w:w="60"/>
        <w:gridCol w:w="680"/>
        <w:gridCol w:w="60"/>
        <w:gridCol w:w="60"/>
        <w:gridCol w:w="60"/>
        <w:gridCol w:w="680"/>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Make-Whole Fundamental</w:t>
              <w:br/>
              <w:t>Change Effective Date</w:t>
            </w:r>
          </w:p>
        </w:tc>
        <w:tc>
          <w:tcPr>
            <w:tcW w:w="60" w:type="dxa"/>
            <w:tcBorders/>
            <w:vAlign w:val="bottom"/>
          </w:tcPr>
          <w:p>
            <w:pPr>
              <w:pStyle w:val="TableContents"/>
              <w:bidi w:val="0"/>
              <w:spacing w:before="0" w:after="283"/>
              <w:jc w:val="left"/>
              <w:rPr/>
            </w:pPr>
            <w:r>
              <w:rPr/>
              <w:t> </w:t>
            </w:r>
          </w:p>
        </w:tc>
        <w:tc>
          <w:tcPr>
            <w:tcW w:w="890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9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9, 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1.9262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3.3957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1.4348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0.6147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0.9584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$650.00 (subject to adjustment in the same manner as the stock prices set forth in the column headings of the table above are adjusted, as described below under the caption “ —Adjustment of Stock Prices and Number of Additional Shares”), or less than $64.00 (subject to adjustment in the same manner), per share, then no additional shares will be added to the conversion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15.6250 shares of our common stock per $1,000 principal amount of notes, which amount is subject to adjustment in the same manner as, and at the same time and for the same events for which, the conversion rate is required to be adjusted pursuant to the provisions described above under the caption “ —Conversion Rate Adjustments—Generally.”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calling any notes for provisional redemption will constitute a make-whole fundamental change only with respect to the notes called for such redemption, and not with respect to the notes not called for such redemption. Accordingly, if we elect to redeem less than all of the outstanding notes pursuant to a provisional redemption, then holders of the notes not called for such redemption will not be entitled to an increased conversion rate for such notes as described above on account of such redemption, except to the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described above under the caption “ —Optional Redemption—Certain Provisions Applicable to Partial Redemptions.” </w:t>
      </w:r>
    </w:p>
    <w:p>
      <w:pPr>
        <w:pStyle w:val="TextBody"/>
        <w:bidi w:val="0"/>
        <w:spacing w:before="240" w:after="0"/>
        <w:jc w:val="left"/>
        <w:rPr>
          <w:rFonts w:ascii="Times New Roman" w:hAnsi="Times New Roman"/>
          <w:sz w:val="20"/>
        </w:rPr>
      </w:pPr>
      <w:r>
        <w:rPr>
          <w:rFonts w:ascii="Times New Roman" w:hAnsi="Times New Roman"/>
          <w:sz w:val="20"/>
        </w:rPr>
        <w:t xml:space="preserve">As set forth in the definition of “make-whole fundamental change conversion period” below under the caption “ —Definitions,” if the conversion date for the conversion of a note occurs during a make-whole fundamental change conversion period relating to both a make-whole fundamental change resulting from our calling notes for provisional redemption or cleanup redemption and another make-whole fundamental change, then, solely for purposes of that conversion, such conversion date will be deemed to occur only during the period relating to the make-whole fundamental change with the earlier make-whole fundamental change effective date. In that circumstance, the make-whole fundamental change with the later make-whole fundamental change effective date will be deemed not to occur for purposes of such conversion.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 of Stock Prices and Number of Additional Shares </w:t>
      </w:r>
    </w:p>
    <w:p>
      <w:pPr>
        <w:pStyle w:val="TextBody"/>
        <w:bidi w:val="0"/>
        <w:spacing w:before="120" w:after="0"/>
        <w:jc w:val="left"/>
        <w:rPr>
          <w:rFonts w:ascii="Times New Roman" w:hAnsi="Times New Roman"/>
          <w:sz w:val="20"/>
        </w:rPr>
      </w:pPr>
      <w:r>
        <w:rPr>
          <w:rFonts w:ascii="Times New Roman" w:hAnsi="Times New Roman"/>
          <w:sz w:val="20"/>
        </w:rPr>
        <w:t>The stock prices in the first row (</w:t>
      </w:r>
      <w:r>
        <w:rPr>
          <w:rFonts w:ascii="Times New Roman" w:hAnsi="Times New Roman"/>
          <w:i/>
          <w:sz w:val="20"/>
        </w:rPr>
        <w:t>i.e.</w:t>
      </w:r>
      <w:r>
        <w:rPr>
          <w:rFonts w:ascii="Times New Roman" w:hAnsi="Times New Roman"/>
          <w:sz w:val="20"/>
        </w:rPr>
        <w:t xml:space="preserve">, the column headers) of the table above will be adjusted in the same manner as, and at the same time and for the same events for which, the conversion price is adjusted as a result of the operation of the provisions described above under the caption “ —Conversion Rate Adjustments—Generally.” The numbers of additional shares in the table above will be adjusted in the same manner as, and at the same time and for the same events for which, the conversion rate is adjusted pursuant to the provisions described above under the caption “ —Conversion Rate Adjustments—Generally.”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We will notify noteholders of each make-whole fundamental change in accordance with the provisions described above under the captions “ —When the Notes May Be Converted—Conversion Upon Specified Corporate Events—Certain Corporate Events” and “ —Optional Redemption—Redemption Notice.” </w:t>
      </w:r>
    </w:p>
    <w:p>
      <w:pPr>
        <w:pStyle w:val="TextBody"/>
        <w:bidi w:val="0"/>
        <w:spacing w:before="360" w:after="0"/>
        <w:jc w:val="left"/>
        <w:rPr>
          <w:rFonts w:ascii="Times New Roman" w:hAnsi="Times New Roman"/>
          <w:i/>
          <w:sz w:val="20"/>
        </w:rPr>
      </w:pPr>
      <w:r>
        <w:rPr>
          <w:rFonts w:ascii="Times New Roman" w:hAnsi="Times New Roman"/>
          <w:i/>
          <w:sz w:val="20"/>
        </w:rPr>
        <w:t xml:space="preserve">Enforceability </w:t>
      </w:r>
    </w:p>
    <w:p>
      <w:pPr>
        <w:pStyle w:val="TextBody"/>
        <w:bidi w:val="0"/>
        <w:spacing w:before="120" w:after="0"/>
        <w:jc w:val="left"/>
        <w:rPr>
          <w:rFonts w:ascii="Times New Roman" w:hAnsi="Times New Roman"/>
          <w:sz w:val="20"/>
        </w:rPr>
      </w:pPr>
      <w:r>
        <w:rPr>
          <w:rFonts w:ascii="Times New Roman" w:hAnsi="Times New Roman"/>
          <w:sz w:val="20"/>
        </w:rPr>
        <w:t xml:space="preserve">Our obligation to increase the conversion rate as described above in connection with a make-whole fundamental change could be considered a penalty, in which case its enforceability would be subject to general principles of reasonableness and equitable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Common Stock Change Event </w:t>
      </w:r>
    </w:p>
    <w:p>
      <w:pPr>
        <w:pStyle w:val="TextBody"/>
        <w:bidi w:val="0"/>
        <w:spacing w:before="120" w:after="0"/>
        <w:jc w:val="left"/>
        <w:rPr>
          <w:rFonts w:ascii="Times New Roman" w:hAnsi="Times New Roman"/>
          <w:i/>
          <w:sz w:val="20"/>
        </w:rPr>
      </w:pPr>
      <w:r>
        <w:rPr>
          <w:rFonts w:ascii="Times New Roman" w:hAnsi="Times New Roman"/>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there occurs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reclassification or change of our common stock, other than (x) changes solely resulting from a subdivision or combination of our common stock, (y) a change only in par value or from par value to no par value or no par value to par value or (z) stock splits and stock combinations that do not involve the issuance of any other series or class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consolidation, merger, combination or binding or statutory share exchange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lease or other transfer of all or substantially all of the assets of us and our subsidiaries, taken as a whole, to any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event,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as a result of which, our common stock is converted into, or is exchanged for, or represents solely the right to receive, other securities, cash or other property, or any combination of the foregoing (such an event,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common stock change event,” and such other securities, cash or property, the “reference property,” and the amount and kind of reference property that a holder of one share of our common stock would be entitled to receive on account of such common stock change event (without giving effect to any arrangement not to issue or deliver a fractional portion of any security or other property), a “reference property unit”), then, notwithstanding anything to the contrary,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effective time of such common stock change event, (i) the consideration due upon conversion of any note, and the conditions to any such conversion, will be determined in the same manner as if each reference to any number of shares of our common stock in the provisions described under this “ —Conversion Rights” section (or in any related definitions) were instead a reference to the same number of reference property units; (ii) for purposes of the redemption provisions described above under the caption “ —Optional Redemption—Provisional Redemption,” each reference to any number of shares of our common stock in such provisions (or in any related definitions) will instead be deemed to be a reference to the same number of reference property units; and (iii) for purposes of the definitions of “fundamental change” and “make-whole fundamental change,” references to our “common stock” and “common equity” will be deemed to refer to the common equity (including depositary receipts representing common equity), if any, forming part of such reference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the provisions described above under the caption “ —Increase in Conversion Rate in Connection with a Make-Whole Fundamental Change,” if applicable); and (y) the amount of cash constituting such reference property unit; and (ii) we will settle each such conversion no later than the fifth business day after the relevant conversion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us (or, in the case of cash denominated in U.S. dollars, the face amount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our common stock, by the holders of our common stock. We will notify the noteholders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We will not become a party to any common stock change event unless its terms are consistent with the provisions described under this “ —Effect of Common Stock Change Event” caption. </w:t>
      </w:r>
    </w:p>
    <w:p>
      <w:pPr>
        <w:pStyle w:val="TextBody"/>
        <w:bidi w:val="0"/>
        <w:spacing w:before="360" w:after="0"/>
        <w:jc w:val="left"/>
        <w:rPr>
          <w:rFonts w:ascii="Times New Roman" w:hAnsi="Times New Roman"/>
          <w:i/>
          <w:sz w:val="20"/>
        </w:rPr>
      </w:pPr>
      <w:r>
        <w:rPr>
          <w:rFonts w:ascii="Times New Roman" w:hAnsi="Times New Roman"/>
          <w:i/>
          <w:sz w:val="20"/>
        </w:rPr>
        <w:t xml:space="preserve">Execution of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At or before the effective time of the common stock change event, we and the resulting, surviving or transferee person (if not us) of such common stock change event (the “successor person”) will execute and deliver to the trustee a supplemental indenture that (i) provides for subsequent adjustments to the conversion rate in a manner consistent with the provisions described above; and (ii) contains such other provisions, if any, that we reasonably determine are appropriate to preserve the economic interests of the noteholders and to give effect to the provisions described above. If the reference property includes shares of stock or other securities or assets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cash) of a person other than the successor person, then such other person will also execute such supplemental indenture and such supplemental indenture will contain such additional provisions, if any, that we reasonably determine are appropriate to preserve the economic interests of noteholders. </w:t>
      </w:r>
    </w:p>
    <w:p>
      <w:pPr>
        <w:pStyle w:val="TextBody"/>
        <w:bidi w:val="0"/>
        <w:spacing w:before="240" w:after="0"/>
        <w:jc w:val="left"/>
        <w:rPr>
          <w:rFonts w:ascii="Times New Roman" w:hAnsi="Times New Roman"/>
          <w:sz w:val="20"/>
        </w:rPr>
      </w:pPr>
      <w:r>
        <w:rPr>
          <w:rFonts w:ascii="Times New Roman" w:hAnsi="Times New Roman"/>
          <w:sz w:val="20"/>
        </w:rPr>
        <w:t xml:space="preserve">However, no such supplemental indenture is required (but we may nonetheless choose to execute such a supplemental indenture at our option) if (i) we are the resulting, surviving or transferee person of such common stock change event; and (ii) the reference property of such common stock change event does not include consideration other than cash or our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Common Stock Change Event </w:t>
      </w:r>
    </w:p>
    <w:p>
      <w:pPr>
        <w:pStyle w:val="TextBody"/>
        <w:bidi w:val="0"/>
        <w:spacing w:before="120" w:after="0"/>
        <w:jc w:val="left"/>
        <w:rPr>
          <w:rFonts w:ascii="Times New Roman" w:hAnsi="Times New Roman"/>
          <w:sz w:val="20"/>
        </w:rPr>
      </w:pPr>
      <w:r>
        <w:rPr>
          <w:rFonts w:ascii="Times New Roman" w:hAnsi="Times New Roman"/>
          <w:sz w:val="20"/>
        </w:rPr>
        <w:t xml:space="preserve">We will provide notice of each common stock change event to noteholders no later than the second business day after the effective date of the common stock change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and subject to the terms of the indenture, if a note is submitted for conversion, we may elect to arrange to have such note exchanged in lieu of conversion by a financial institution we designate. To make such election, we must send notice of such election to the holder of such note before the close of business on the business day immediately following the conversion date for such note, and we must arrange for the financial institution to deliver the consideration due upon such conversion in the same manner and at the same time as we would have been required to do so. We will remain responsible to deliver such consideration if the financial institution fails to timely deliver the same.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to Prices </w:t>
      </w:r>
    </w:p>
    <w:p>
      <w:pPr>
        <w:pStyle w:val="TextBody"/>
        <w:bidi w:val="0"/>
        <w:spacing w:before="120" w:after="0"/>
        <w:jc w:val="left"/>
        <w:rPr>
          <w:rFonts w:ascii="Times New Roman" w:hAnsi="Times New Roman"/>
          <w:sz w:val="20"/>
        </w:rPr>
      </w:pPr>
      <w:r>
        <w:rPr>
          <w:rFonts w:ascii="Times New Roman" w:hAnsi="Times New Roman"/>
          <w:sz w:val="20"/>
        </w:rPr>
        <w:t xml:space="preserve">Whenever the indenture requires us to calculate the average of the last reported sale prices, or any function thereof, over a period of multiple days (including to calculate the stock price or an adjustment to the conversion rate), or to calculate daily VWAPs over an observation period, we will make appropriate adjustments, if any, to those calculations to account for any adjustment to the conversion rate pursuant to the provisions described above under the caption “ —Conversion Rights—Conversion Rate Adjustments—Generally” that becomes effective, or any event requiring such an adjustment to the conversion rate where the ex-dividend date or effective date, as applicable, of such event occurs, at any time during such period or observation period,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Change Permits Noteholders to Require Us to Repurchase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a fundamental change occurs, then each noteholder will have the right (the “fundamental change repurchase right”) to require us to repurchase its notes (or any portion thereof in an authorized denomination) for cash on a date (the “fundamental change repurchase date”) of our choosing, which must be a business day that is no more than 35, nor less than 20, business days after the date we send the related fundamental change notice,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 record date and on or before the next interest payment date, then (i) the holder of such note at the close of business on such regular record date will be entitled, notwithstanding such repurchase, to receive, on or, at our election, before such interest payment date, the unpaid interest that would have accrued on such note to, but excluding, such interest payment date; and (ii) the fundamental change repurchase price will not include accrued and unpaid interest on such note to, but excluding, the fundamental change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above, we may not repurchase any notes if the principal amount of the notes has been accelerated and such acceleration has not been rescinded on or before the fundamental change repurchase date (including as a result of the payment of the related fundamental change repurchase price and any related interest described above on the fundamental change repurchase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On or before the 20th calendar day after the effective date of a fundamental change, we will send to each noteholder notice of such fundamental change containing certain information set forth in the indenture, including the fundamental change repurchase date, the fundamental change repurchase price and the procedures noteholders must follow to tender their notes for repurchase.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Procedures to Exercise the Fundamental Change Repurchase Right </w:t>
      </w:r>
    </w:p>
    <w:p>
      <w:pPr>
        <w:pStyle w:val="TextBody"/>
        <w:bidi w:val="0"/>
        <w:spacing w:before="120" w:after="0"/>
        <w:jc w:val="left"/>
        <w:rPr>
          <w:rFonts w:ascii="Times New Roman" w:hAnsi="Times New Roman"/>
          <w:sz w:val="20"/>
        </w:rPr>
      </w:pPr>
      <w:r>
        <w:rPr>
          <w:rFonts w:ascii="Times New Roman" w:hAnsi="Times New Roman"/>
          <w:sz w:val="20"/>
        </w:rPr>
        <w:t xml:space="preserve">To exercise its fundamental change repurchase right with respect to a note, the holder thereof must deliver a notice (a “fundamental change repurchase notice”) to the paying agent before the close of business on the business day immediately before the related fundamental change repurchase date (or such later time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change repurchase notice must contain certain information set forth in the indenture, including the certificate number of any physical notes to be repurchased, or must otherwise comply with the depositary procedures in the case of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A noteholder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the depositary procedures in the case of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Notes to be repurchased must be delivered to the paying agent (in the case of physical notes) or the depositary procedures must be complied with (in the case of global notes) for the holder of those notes to be entitled to receive the fundamental change repurchase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Compliance with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We will comply, in all material respects,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 However, to the extent that our obligations to offer to repurchase and to repurchase notes pursuant to the provisions described above conflict with any law or regulation that is applicable to us and enacted after the date we initially issue the notes, our compliance with such law or regulation will not be considered to be a default of those obligations; rather, we will be deemed to be in compliance with those obligations if we comply with our obligation to repurchase notes upon a fundamental change in accordance with the indenture, modified as necessary by us in good faith to permit compliance with such law or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by Third Party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we will be deemed to satisfy our obligations to repurchase notes pursuant to the provisions described above if (i) one or more third parties conduct the repurchase offer and repurchase tendered notes in a manner that would have satisfied our obligations to do the same if conducted directly by us; and (ii) an owner of a beneficial interest in any note repurchased by such third party or parties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receive a lesser amount (as a result of withholding or other similar taxes) than such owner would have received had we repurchased such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Repurchase Right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we will not be required to send a fundamental change notice, or offer to repurchase or repurchase any notes, as described above, in connection with a common stock change event that constitutes a fundamental change pursuant to clause (ii)(2) of the definition thereof (regardless of whether such common stock change event also constitutes a fundamental change pursuant to any other clause of such definition),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reference property of such common stock change event consists entirely of cash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such fundamental change, the notes become convertible (pursuant to the provisions described above under the captions “ —Conversion Rights—Effect of Common Stock Change Event” and, if applicable, “ —Conversion Rights—Increase in Conversion Rate in Connection with a Make-Whole Fundamental Change”) into consideration that consists solely of U.S. dollars in an amount per $1,000 principal amount of notes that equals or exceeds the fundamental change repurchase price per $1,000 principal amount of notes (calculated assuming that the same includes accrued and unpaid interest to, but excluding, the latest possible fundamental change repurchase date for such fundamental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timely send the notice relating to such fundamental change required pursuant to the provisions described above under the caption “ —Conversion Rights—When the Notes May Be Converted—Conversion Upon Specified Corporate Events—Certain Corporate Events” and include, in such notice, a statement that we are relying on the provisions described in this “ —No Repurchase Right in Certain Circumstances”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any fundamental change with respect to which, in accordance with the provisions described above, we do not offer to repurchase any notes as an “exempted fundamental change.”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Asset Sale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—Consolidation, Merger and Asset Sale” supersedes, in its entirety, the information in the accompanying prospectus under the caption “Description of Debt Securities—Consolidation, Merger or Sale.” </w:t>
      </w:r>
    </w:p>
    <w:p>
      <w:pPr>
        <w:pStyle w:val="TextBody"/>
        <w:bidi w:val="0"/>
        <w:spacing w:before="240" w:after="0"/>
        <w:jc w:val="left"/>
        <w:rPr>
          <w:rFonts w:ascii="Times New Roman" w:hAnsi="Times New Roman"/>
          <w:sz w:val="20"/>
        </w:rPr>
      </w:pPr>
      <w:r>
        <w:rPr>
          <w:rFonts w:ascii="Times New Roman" w:hAnsi="Times New Roman"/>
          <w:sz w:val="20"/>
        </w:rPr>
        <w:t xml:space="preserve">We will not consolidate with or merge with or into, or (directly, or indirectly through one or more of our subsidiaries) sell, lease or otherwise transfer, in one transaction or a series of transactions, all or substantially all of the assets of us and our subsidiaries, taken as a whole, to another person (a “business combination event”),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resulting, surviving or transferee person is us or, if not us, is a “qualified successor entity” (as defined below under the caption “ —Definitions”) (such qualified successor entity, the “successor entity”)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all of our obligations under the indenture and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business combination event, no “default” (as defined below under the caption “ —Definitions”) will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a business combination event that complies with the provisions described above, the successor entity (if not us) will succeed to, and may exercise every right and power of, us under the indenture and the notes, and, except in the case of a lease, the predecessor company will be discharged from its obligations under the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above, the provisions described above will not apply to any transfer of assets (other than by merger or consolidation) between or among us and any one or more of our “wholly owned subsidiaries” (as defined below under the caption “ —Definitions”).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“business combination event” includes a reference to “all or substantially all” of our and our subsidiaries’ assets. There is no precise, established definition of the phrase “all or substantially all” under applicable law. Accordingly, there may be uncertainty as to whether the provisions described above would apply to a sale, lease or transfer of less than all of our and our subsidiaries’ assets.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—Events of Default” supersedes, in its entirety, the information in the accompanying prospectus under the caption “Description of Debt Securities—Events of Default under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when due (whether at maturity, upon redemption or repurchase upon fundamental change or otherwise) of the principal of, or the redemption price or fundamental change repurchase price for,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consecutive days in the payment when due of interest on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deliver, when required by the indenture, a fundamental change notice or a notice pursuant to the provisions described above under the caption “ —Conversion Rights—When the Notes May Be Converted—Conversion Upon Specified Corporate Events,” if (in the case of any notice other than a notice pursuant to the provisions described above under the caption “ —Conversion Rights—When the Notes May Be Converted—Conversion Upon Specified Corporate Events—Certain Distributions”) such failure is not cured within five days after its occurrence;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our obligation to convert a note in accordance with the indenture upon the exercise of the conversion right with respect thereto, if such default is not cured within five days after its occurrence;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our obligations described above under the caption “ —Consolidation, Merger and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any of our obligations or agreements under the indenture or the notes (other than a default set forth in paragraphs (1), (2), (3), (4) or (5) above) where such default is not cured or waived within 60 days after notice to us by the trustee, or to us and the trustee by holders of at least 25% of the aggregate principal amount of notes then outstanding, which notice must specify such default, demand that it be remedied and state that such notice is a “notice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by us or any of our “significant subsidiaries” (as defined below under the caption “ —Definitions”) with respect to any one or more mortgages, agreements or other instruments under which there is outstanding, or by which there is secured or evidenced, any indebtedness for borrowed money of at least $75,000,000 (or its foreign currency equivalent) in the aggregate of us or any of our significant subsidiaries, whether such indebtedness exists as of the date we first issue the notes or is thereafter created, where such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constitutes a failure to pay the principal of such indebtedness when due and payable at its stated maturity, upon required repurchase, upon declaration of acceleration or otherwise, in each case after the expiration of any applicable grace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such indebtedness becoming or being declared due and payable before its stated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where such default is not cured or waived within 30 days after notice to us by the trustee or to us and the trustee by holders of at least 25% of the aggregate principal amount of notes then outstanding;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with respect to us or any of our significant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described in paragraph (8) above occurs with respect to us (and not solely with respect to a significant subsidiary of ours), then the principal amount of, and all accrued and unpaid interest on, all of the notes then outstanding will immediately become due and payable without any further action or notice by any person. If an event of default (other than an event of default described in paragraph (8) above with respect to us and not solely with respect to a significant subsidiary of ours) occurs and is continuing, then, except as described below under the caption “ —Special Interest as Sole Remedy for Certain Reporting Defaults,” the trustee, by notice to us, or noteholders of at least 25% of the aggregate principal amount of notes then outstanding, by notice to us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Noteholders of a majority in aggregate principal amount of the notes then outstanding, by notice to us and the trustee, may, on behalf of all noteholders,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If any portion of the amount payable on the notes upon acceleration is considered by a court to be unearned interest (through the allocation of the value of the instrument to the embedded warrant or otherwise), then the court could disallow recovery of any such portion.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 default that is (or, after notice, passage of time or both, would be) an event of default pursuant to paragraph (1), (2), (4) or (6) above (that, in the case of paragraph (6) only, results from a default under any covenant that cannot be amended without the consent of each affected noteholder) can be waived only with the consent of each affected noteholder. Each other default or event of default may be waived, on behalf of all noteholders, by noteholders of a majority in aggregate principal amount of the notes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Cure of Defaults; Ability to Cure or Waive Before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without limiting the manner in which any default can be cured,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consisting of a failure to send a notice in accordance with the terms of the indenture will be cured upon the sending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making any payment on (or delivering any other consideration in respect of) any note will be cured upon the delivery, in accordance with the indenture, of such payment (or other consideration) together, if applicable, with “default interest” (as defined below under the caption “ —Default Interest”) thereon;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that is (or, after notice, passage of time or both, would be) a “reporting event of default” (as defined below under the caption “ —Special Interest as Sole Remedy for Certain Reporting Defaults”) will be cured upon the filing of the relevant report(s) giving rise to such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then we will, within 30 days after its first occurrence, notify the trustee, setting forth what action we are taking or propose to take with respect thereto. However, we will not be required to provide such notification at any time after such default is cured or waived. We must also provide the trustee annually with a certificate as to whether any defaults have occurred and are continuing. If a default occurs and is continuing and is actually known to a responsible officer of the trustee, then the trustee must notify the noteholders of the same within 90 days after it occurs or, if it is not actually known to a responsible officer of the trustee at such time, promptly (and in any event within 20 business days) after it becomes actually known to a responsible officer of the trustee. However, except in the case of a default in the payment of the principal of, or interest on, any note, the trustee may withhold such notice if and for so long as it in good faith determines that withholding such notice is in the interests of the noteholders. For the avoidance of doubt, the trustee will not be required to deliver such notice at any time after such default is cured or waived.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Suits; Absolute Rights of Noteholders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the rights referred to below, no noteholder may pursue any remedy with respect to the indenture or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noteholder has previously delivered to the trustee notice that an event of default is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noteholders of at least 25% in aggregate principal amount of the notes then outstanding deliver a written request to the trustee to pursue such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noteholder(s) offer and, if requested, provide to the trustee security and indemnity satisfactory to the trustee against any loss, liability or expense to the trustee that may result from the trustee’s following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such request within 60 calendar days after its receipt of such request and such offer of security or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 calendar day period, noteholders of a majority in aggregate principal amount of the notes then outstanding do not deliver to the trustee a direction that is inconsistent with such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anything to the contrary, but without limiting the provisions described under the caption “ —Modification and Amendment” relating to amendments and supplements without the consent of any noteholder, the right of each holder of a note to bring suit for the enforcement of any payment or delivery, as applicable, of the principal of, or the fundamental change repurchase price or redemption price for, or any interest on, or the consideration due upon conversion of, such note on or after the respective due dates therefor, will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Noteholders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the terms of the indenture, the trustee determines may be unduly prejudicial to the rights of other noteholders or may involve the trustee in liability, unless the trustee is offered (and, if requested, provided with) security and indemnity satisfactory to the trustee against any loss, liability or expense to the trustee that may result from the trustee’s following such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Default Interest </w:t>
      </w:r>
    </w:p>
    <w:p>
      <w:pPr>
        <w:pStyle w:val="TextBody"/>
        <w:bidi w:val="0"/>
        <w:spacing w:before="120" w:after="0"/>
        <w:jc w:val="left"/>
        <w:rPr>
          <w:rFonts w:ascii="Times New Roman" w:hAnsi="Times New Roman"/>
          <w:sz w:val="20"/>
        </w:rPr>
      </w:pPr>
      <w:r>
        <w:rPr>
          <w:rFonts w:ascii="Times New Roman" w:hAnsi="Times New Roman"/>
          <w:sz w:val="20"/>
        </w:rPr>
        <w:t xml:space="preserve">Payments of any cash amounts due on the notes that are not made when due will accrue interest at a rate per annum equal to the rate per annum at which stated interest accrues on the notes. We refer to such interest, if any, as “default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Interest as Sole Remedy for Certain Reporting Defaults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described above, we may elect that the sole remedy for any event of default (a “reporting event of default”) pursuant to paragraph (6) above arising from our failure to comply with our obligations described below under the caption “ —Exchange Act Reports” (including our obligations under Section 314(a)(1) of the Trust Indenture Act) will, for each of the first 365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366th calendar day on which a reporting event of default has occurred and is continuing or if we fail to pay any accrued and unpaid special interest when due; and (ii) special interest will cease to accrue on any notes from, and including, such 366th calendar day. </w:t>
      </w:r>
    </w:p>
    <w:p>
      <w:pPr>
        <w:pStyle w:val="TextBody"/>
        <w:bidi w:val="0"/>
        <w:spacing w:before="240" w:after="0"/>
        <w:jc w:val="left"/>
        <w:rPr>
          <w:rFonts w:ascii="Times New Roman" w:hAnsi="Times New Roman"/>
          <w:sz w:val="20"/>
        </w:rPr>
      </w:pPr>
      <w:r>
        <w:rPr>
          <w:rFonts w:ascii="Times New Roman" w:hAnsi="Times New Roman"/>
          <w:sz w:val="20"/>
        </w:rPr>
        <w:t xml:space="preserve">Any special interest that accrues on a note will be payable on the same dates and in the same manner as the stated interest on such note and will accrue at a rate per annum equal to 0.25% of the principal amount thereof for the first 180 days on which special interest accrues and, thereafter, at a rate per annum equal to 0.50% of the principal amount thereof. For the avoidance of doubt, any special interest that accrues on a note will be in addition to the stated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To make the election to pay special interest as described above, we must provide notice of such election to noteholders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Amendment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—Modification and Amendment” supersedes, in its entirety, the information in the accompanying prospectus under the caption “Description of Debt Securities—Modification of Indenture; Waiver.”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with the consent of holders of a majority in aggregate principal amount of the notes then outstanding, amend or supplement the indenture or the notes or waive compliance with any provision of the indenture or the notes. However, without the consent of each affected noteholder, no amendment or supplement to the indenture or the notes, or waiver of any provision of the indenture or the notes,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or change the stated maturity,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redemption price or fundamental change repurchase price for any note or change the times at which, or the circumstances under which, the notes may or will be redeemed or repurchased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extend the time for the payment, of interest on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conversion rights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absolute rights of any holder of a note to bring suit for the enforcement of any payment or delivery, as applicable, of the principal of, or the fundamental change repurchase price or redemption price for, or any interest on, or the consideration due upon conversion of, such note on or after the respective due dates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note payable in money, or at a place of payment, other than that stated in the indenture or the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notes whose holders must consent to any amendment, supplement, waiver or other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direct or indirect change to any amendment, supplement, waiver or modification provision of the indenture or the notes that requires the consent of each affected noteholder.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above, we and the trustee may amend or supplement the indenture or the notes without the consent of any noteholder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omission, defect or inconsistency in the indenture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guarantees with respect to our obligations under the indenture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our covenants or events of default for the benefit of noteholders or surrender any right or power conferred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our obligations under the indenture and the notes pursuant to, and in compliance with, the provisions described above under the caption “ —Consolidation, Merger and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supplemental indentures pursuant to, and in accordance with, the provisions described above under the caption “ —Conversion Rights—Effect of Common Stock Change Event” in connection with a common stock change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elect or eliminate any settlement method or specified dollar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will affect any settlement method theretofore elected (or deemed to be elected) with respect to any note pursuant to the provisions described above under the caption “ —Conversion Rights—Settlement Upon Conversion—Settlement Method”;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or provide for the acceptance of the appointment of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provisions of the indenture and the notes to the “Description of Notes” section of the preliminary prospectus supplement for this offering, as supplemented by the related pricing term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confirm the issuance of additional notes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any transfer restrictions that apply to any notes issued under the indenture (other than the notes issued in this offering, and any notes issued in exchange therefor or in substitution thereof) that, at the time of their original issuance, constitute “restricted securities” within the meaning of Rule 144 under the Securities Act or that are originally issued in reliance upon Regulation S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effecting or maintaining the qualification of the indenture, or any related supplemental indenture, under the Trust Indenture Act, as then in effect;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to the indenture or the notes that does not, individually or in the aggregate with all other such changes, adversely affect the rights of noteholders, as such, in any material respect, as determined by us in good faith.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We will send to the trustee copies of all reports that we are required to file with the SEC pursuant to Section 13(a) or 15(d) of the Exchange Act (other than Form 8-K reports) within 15 calendar days after the date that we are required to so file the same (after giving effect to all applicable grace periods under the Exchange Act). However, we need not send to the trustee any material for which we have received, or are seeking in good faith and have not been denied, confidential treatment by the SEC. Any such report that we file with the SEC through the EDGAR system (or any successor thereto) will be deemed to be sent to the trustee at the time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is so filed via the EDGAR system (or such successor). Upon the request of any noteholder, the trustee will provide to the noteholder a copy of any report that we have sent the trustee pursuant to the provisions described above, other than a report that is deemed to be sent to the trustee pursuant to the preceding sentence. We will also comply with our other obligations under Section 314(a)(1)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we file, or indicate in the related Form 12b-25 (or any successor form thereto) that we expect to or will file, such report before the expiration of such maximum period.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—Discharge” supersedes, in its entirety, the information in the accompanying prospectus under the caption “Description of Debt Securities—Discharge.”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our obligations with respect to the notes under the indenture will be discharged if we deliver all outstanding notes to the trustee for cancellation, or if all outstanding notes have become due and payable (including upon conversion, if the consideration due upon such conversion has been determined) and we have irrevocably deposited with the trustee, or caused to be delivered to noteholders, sufficient cash or other consideration to satisfy all amounts that have become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indenture, we will be responsible for making all calculations called for under the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 We will make all calculations in good faith, and, absent manifest error, our calculations will be final and binding on all noteholders. We will provide a schedule of our calculations to the trustee, and the trustee will promptly forward a copy of each such schedule to any noteholder upon written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is U.S. Bank Trust Company, National Association. The trustee assumes no responsibility for the accuracy or completeness of the information contained in this prospectus supplement, the accompanying prospectus or the related documents. The trustee and its affiliates may from time to time provide banking and other services to us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We will send all notices or communications to noteholders pursuant to the indenture in writing by first class mail, certified or registered, return receipt requested, or by overnight air courier guaranteeing next day delivery, to the noteholders’ respective addresses shown on the register for the notes. However, in the case of global notes, we are permitted to send notices or communications to noteholders pursuant to the depositary procedures, and notices and communications that we send in this manner will be deemed to have been properly sent to such noteholders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or stockholder of ours, as such, will have any liability for any obligations of ours under the indenture or the notes or for any claim based on, in respect of, or by reason of, such obligations or their creation. By accepting any note, each noteholder will be deemed to waive and release all such liability, and such waiver and release are part of the consideration for the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—Governing Law; Waiver of Jury Trial” supersedes, in its entirety, the information in the accompanying prospectus under the caption “Description of Debt Securities—Governing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the notes, and any claim, controversy or dispute arising under or related to the indenture or the notes, will be governed by and construed in accordance with the laws of the state of New York. The indenture will provide that we and the trustee will irrevocably waive, to the fullest extent permitted by applicable law, any and all right to trial by jury in any legal proceeding arising out of or relating to the indenture, the notes or the transactions contemplated by the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Submission to Jurisdiction </w:t>
      </w:r>
    </w:p>
    <w:p>
      <w:pPr>
        <w:pStyle w:val="TextBody"/>
        <w:bidi w:val="0"/>
        <w:spacing w:before="120" w:after="0"/>
        <w:jc w:val="left"/>
        <w:rPr>
          <w:rFonts w:ascii="Times New Roman" w:hAnsi="Times New Roman"/>
          <w:sz w:val="20"/>
        </w:rPr>
      </w:pPr>
      <w:r>
        <w:rPr>
          <w:rFonts w:ascii="Times New Roman" w:hAnsi="Times New Roman"/>
          <w:sz w:val="20"/>
        </w:rPr>
        <w:t xml:space="preserve">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“specified courts”), and each party will be deemed to irrevocably submit to the non-exclusive jurisdiction of those courts in any such suit, action or proceeding. Service of any process, summons, notice or document by mail (to the extent allowed under any applicable statute or rule of court) to any party’s address as provided in the indenture will be effective service of process for any such suit, action or proceeding brought in any such court. Each of us, the trustee and each noteholder (by its acceptance of any note) will be deemed to irrevocably and unconditionally waive any objection to the laying of venue of any suit, action or other proceeding in the specified courts and to irrevocably and unconditionally waive and agree not to plead or claim any such suit, action or other proceeding has been brought in an inconvenient forum.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pPr>
      <w:r>
        <w:rPr/>
        <w:t>“</w:t>
      </w:r>
      <w:r>
        <w:rPr>
          <w:rFonts w:ascii="Times New Roman" w:hAnsi="Times New Roman"/>
          <w:sz w:val="20"/>
        </w:rPr>
        <w:t xml:space="preserve">Affiliate” has the meaning set forth in Rule 144 under the Securities Act as in effect on the date we first issue the notes. </w:t>
      </w:r>
    </w:p>
    <w:p>
      <w:pPr>
        <w:pStyle w:val="TextBody"/>
        <w:bidi w:val="0"/>
        <w:spacing w:before="240" w:after="0"/>
        <w:jc w:val="left"/>
        <w:rPr/>
      </w:pPr>
      <w:r>
        <w:rPr/>
        <w:t>“</w:t>
      </w:r>
      <w:r>
        <w:rPr>
          <w:rFonts w:ascii="Times New Roman" w:hAnsi="Times New Roman"/>
          <w:sz w:val="20"/>
        </w:rPr>
        <w:t xml:space="preserve">Bid solicitation agent” means the person who is required to obtain bids for the trading price in accordance with the provisions described under the caption “ —Conversion Rights—When the Notes May Be Converted—Conversion Upon Satisfaction of Note Trading Price Condition” and in the definition of “trading price.” </w:t>
      </w:r>
    </w:p>
    <w:p>
      <w:pPr>
        <w:pStyle w:val="TextBody"/>
        <w:bidi w:val="0"/>
        <w:spacing w:before="240" w:after="0"/>
        <w:jc w:val="left"/>
        <w:rPr/>
      </w:pPr>
      <w:r>
        <w:rPr/>
        <w:t>“</w:t>
      </w:r>
      <w:r>
        <w:rPr>
          <w:rFonts w:ascii="Times New Roman" w:hAnsi="Times New Roman"/>
          <w:sz w:val="20"/>
        </w:rPr>
        <w:t xml:space="preserve">Board of directors” means our board of directors or a committee of such board duly authorized to act on behalf of such board. </w:t>
      </w:r>
    </w:p>
    <w:p>
      <w:pPr>
        <w:pStyle w:val="TextBody"/>
        <w:bidi w:val="0"/>
        <w:spacing w:before="240" w:after="0"/>
        <w:jc w:val="left"/>
        <w:rPr/>
      </w:pPr>
      <w:r>
        <w:rPr/>
        <w:t>“</w:t>
      </w:r>
      <w:r>
        <w:rPr>
          <w:rFonts w:ascii="Times New Roman" w:hAnsi="Times New Roman"/>
          <w:sz w:val="20"/>
        </w:rPr>
        <w:t xml:space="preserve">Business day”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sz w:val="20"/>
        </w:rPr>
        <w:t xml:space="preserve">Capital stock”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 </w:t>
      </w:r>
    </w:p>
    <w:p>
      <w:pPr>
        <w:pStyle w:val="TextBody"/>
        <w:bidi w:val="0"/>
        <w:spacing w:before="240" w:after="0"/>
        <w:jc w:val="left"/>
        <w:rPr/>
      </w:pPr>
      <w:r>
        <w:rPr/>
        <w:t>“</w:t>
      </w:r>
      <w:r>
        <w:rPr>
          <w:rFonts w:ascii="Times New Roman" w:hAnsi="Times New Roman"/>
          <w:sz w:val="20"/>
        </w:rPr>
        <w:t xml:space="preserve">Cleanup redemption” has the meaning set forth above under the caption “ —Optional Redemption—Cleanup Redemption.” </w:t>
      </w:r>
    </w:p>
    <w:p>
      <w:pPr>
        <w:pStyle w:val="TextBody"/>
        <w:bidi w:val="0"/>
        <w:spacing w:before="240" w:after="0"/>
        <w:jc w:val="left"/>
        <w:rPr/>
      </w:pPr>
      <w:r>
        <w:rPr/>
        <w:t>“</w:t>
      </w:r>
      <w:r>
        <w:rPr>
          <w:rFonts w:ascii="Times New Roman" w:hAnsi="Times New Roman"/>
          <w:sz w:val="20"/>
        </w:rPr>
        <w:t xml:space="preserve">Close of business” means 5:00 p.m., New York City time. </w:t>
      </w:r>
    </w:p>
    <w:p>
      <w:pPr>
        <w:pStyle w:val="TextBody"/>
        <w:bidi w:val="0"/>
        <w:spacing w:before="240" w:after="0"/>
        <w:jc w:val="left"/>
        <w:rPr/>
      </w:pPr>
      <w:r>
        <w:rPr/>
        <w:t>“</w:t>
      </w:r>
      <w:r>
        <w:rPr>
          <w:rFonts w:ascii="Times New Roman" w:hAnsi="Times New Roman"/>
          <w:sz w:val="20"/>
        </w:rPr>
        <w:t xml:space="preserve">Common equity”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Conversion price” means, as of any time, an amount equal to (i) $1,000 </w:t>
      </w:r>
      <w:r>
        <w:rPr>
          <w:rFonts w:ascii="Times New Roman" w:hAnsi="Times New Roman"/>
          <w:i/>
          <w:sz w:val="20"/>
        </w:rPr>
        <w:t>divided by</w:t>
      </w:r>
      <w:r>
        <w:rPr>
          <w:rFonts w:ascii="Times New Roman" w:hAnsi="Times New Roman"/>
          <w:sz w:val="20"/>
        </w:rPr>
        <w:t xml:space="preserve"> (ii) the conversion rate in effect at such time. </w:t>
      </w:r>
    </w:p>
    <w:p>
      <w:pPr>
        <w:pStyle w:val="TextBody"/>
        <w:bidi w:val="0"/>
        <w:spacing w:before="240" w:after="0"/>
        <w:jc w:val="left"/>
        <w:rPr/>
      </w:pPr>
      <w:r>
        <w:rPr/>
        <w:t>“</w:t>
      </w:r>
      <w:r>
        <w:rPr>
          <w:rFonts w:ascii="Times New Roman" w:hAnsi="Times New Roman"/>
          <w:sz w:val="20"/>
        </w:rPr>
        <w:t xml:space="preserve">Conversion rate” initially means 11.1607 shares of our common stock per $1,000 principal amount of notes, which amount is subject to adjustment as described above under the caption “ —Conversion Rights.” Whenever in this prospectus supplement we refer to the conversion rate as of a particular date without setting forth a particular time on such date, such reference will be deemed to be to the conversion rate immediately after the close of business on such date. </w:t>
      </w:r>
    </w:p>
    <w:p>
      <w:pPr>
        <w:pStyle w:val="TextBody"/>
        <w:bidi w:val="0"/>
        <w:spacing w:before="240" w:after="0"/>
        <w:jc w:val="left"/>
        <w:rPr/>
      </w:pPr>
      <w:r>
        <w:rPr/>
        <w:t>“</w:t>
      </w:r>
      <w:r>
        <w:rPr>
          <w:rFonts w:ascii="Times New Roman" w:hAnsi="Times New Roman"/>
          <w:sz w:val="20"/>
        </w:rPr>
        <w:t xml:space="preserve">Daily cash amount” means, with respect to any VWAP trading day, the lesser of (i) the applicable daily maximum cash amount; and (ii) the daily conversion value for such VWAP trading day. </w:t>
      </w:r>
    </w:p>
    <w:p>
      <w:pPr>
        <w:pStyle w:val="TextBody"/>
        <w:bidi w:val="0"/>
        <w:spacing w:before="240" w:after="0"/>
        <w:jc w:val="left"/>
        <w:rPr/>
      </w:pPr>
      <w:r>
        <w:rPr/>
        <w:t>“</w:t>
      </w:r>
      <w:r>
        <w:rPr>
          <w:rFonts w:ascii="Times New Roman" w:hAnsi="Times New Roman"/>
          <w:sz w:val="20"/>
        </w:rPr>
        <w:t xml:space="preserve">Daily conversion value” means, with respect to any VWAP trading day, one-twentieth of the product of (i) the conversion rate on such VWAP trading day; and (ii) the daily VWAP per share of our common stock on such VWAP trading day. </w:t>
      </w:r>
    </w:p>
    <w:p>
      <w:pPr>
        <w:pStyle w:val="TextBody"/>
        <w:bidi w:val="0"/>
        <w:spacing w:before="240" w:after="0"/>
        <w:jc w:val="left"/>
        <w:rPr/>
      </w:pPr>
      <w:r>
        <w:rPr/>
        <w:t>“</w:t>
      </w:r>
      <w:r>
        <w:rPr>
          <w:rFonts w:ascii="Times New Roman" w:hAnsi="Times New Roman"/>
          <w:sz w:val="20"/>
        </w:rPr>
        <w:t xml:space="preserve">Daily maximum cash amount” means, with respect to the conversion of any note, the quotient obtained by dividing (i) the specified dollar amount applicable to such conversion by (ii) 20. </w:t>
      </w:r>
    </w:p>
    <w:p>
      <w:pPr>
        <w:pStyle w:val="TextBody"/>
        <w:bidi w:val="0"/>
        <w:spacing w:before="240" w:after="0"/>
        <w:jc w:val="left"/>
        <w:rPr/>
      </w:pPr>
      <w:r>
        <w:rPr/>
        <w:t>“</w:t>
      </w:r>
      <w:r>
        <w:rPr>
          <w:rFonts w:ascii="Times New Roman" w:hAnsi="Times New Roman"/>
          <w:sz w:val="20"/>
        </w:rPr>
        <w:t xml:space="preserve">Daily share amount” means, with respect to any VWAP trading day, the quotient obtained by dividing (i) the excess, if any, of the daily conversion value for such VWAP trading day over the applicable daily maximum cash amount by (ii) the daily VWAP for such VWAP trading day. For the avoidance of doubt, the daily share amount will be zero for such VWAP trading day if such daily conversion value does not exceed such daily maximum cash amount. </w:t>
      </w:r>
    </w:p>
    <w:p>
      <w:pPr>
        <w:pStyle w:val="TextBody"/>
        <w:bidi w:val="0"/>
        <w:spacing w:before="240" w:after="0"/>
        <w:jc w:val="left"/>
        <w:rPr/>
      </w:pPr>
      <w:r>
        <w:rPr/>
        <w:t>“</w:t>
      </w:r>
      <w:r>
        <w:rPr>
          <w:rFonts w:ascii="Times New Roman" w:hAnsi="Times New Roman"/>
          <w:sz w:val="20"/>
        </w:rPr>
        <w:t xml:space="preserve">Daily VWAP” means, for any VWAP trading day, the per share volume-weighted average price of our common stock as displayed under the heading “Bloomberg VWAP” on Bloomberg page “PCVX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our common stock on such VWAP trading day, determined, using a volume-weighted average price method, by a nationally recognized independent investment banking firm we select, which may be any of the underwriters).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sz w:val="20"/>
        </w:rPr>
        <w:t xml:space="preserve">Default” means any event that is (or, after notice, passage of time or both, would be) an event of default. </w:t>
      </w:r>
    </w:p>
    <w:p>
      <w:pPr>
        <w:pStyle w:val="TextBody"/>
        <w:bidi w:val="0"/>
        <w:spacing w:before="240" w:after="0"/>
        <w:jc w:val="left"/>
        <w:rPr/>
      </w:pPr>
      <w:r>
        <w:rPr/>
        <w:t>“</w:t>
      </w:r>
      <w:r>
        <w:rPr>
          <w:rFonts w:ascii="Times New Roman" w:hAnsi="Times New Roman"/>
          <w:sz w:val="20"/>
        </w:rPr>
        <w:t xml:space="preserve">Default interest” has the meaning set forth above under the caption “ —Events of Default—Default Interest.” </w:t>
      </w:r>
    </w:p>
    <w:p>
      <w:pPr>
        <w:pStyle w:val="TextBody"/>
        <w:bidi w:val="0"/>
        <w:spacing w:before="240" w:after="0"/>
        <w:jc w:val="left"/>
        <w:rPr/>
      </w:pPr>
      <w:r>
        <w:rPr/>
        <w:t>“</w:t>
      </w:r>
      <w:r>
        <w:rPr>
          <w:rFonts w:ascii="Times New Roman" w:hAnsi="Times New Roman"/>
          <w:sz w:val="20"/>
        </w:rPr>
        <w:t xml:space="preserve">Depositary procedures” means, with respect to any conversion, transfer, exchange or other transaction involving a global note or any beneficial interest therein, the rules and procedures of the depositary applicable to such conversion, transfer, exchange or transaction. </w:t>
      </w:r>
    </w:p>
    <w:p>
      <w:pPr>
        <w:pStyle w:val="TextBody"/>
        <w:bidi w:val="0"/>
        <w:spacing w:before="240" w:after="0"/>
        <w:jc w:val="left"/>
        <w:rPr/>
      </w:pPr>
      <w:r>
        <w:rPr/>
        <w:t>“</w:t>
      </w:r>
      <w:r>
        <w:rPr>
          <w:rFonts w:ascii="Times New Roman" w:hAnsi="Times New Roman"/>
          <w:sz w:val="20"/>
        </w:rPr>
        <w:t xml:space="preserve">DTC” means The Depository Trust Company. </w:t>
      </w:r>
    </w:p>
    <w:p>
      <w:pPr>
        <w:pStyle w:val="TextBody"/>
        <w:bidi w:val="0"/>
        <w:spacing w:before="240" w:after="0"/>
        <w:jc w:val="left"/>
        <w:rPr/>
      </w:pPr>
      <w:r>
        <w:rPr/>
        <w:t>“</w:t>
      </w:r>
      <w:r>
        <w:rPr>
          <w:rFonts w:ascii="Times New Roman" w:hAnsi="Times New Roman"/>
          <w:sz w:val="20"/>
        </w:rPr>
        <w:t xml:space="preserve">Ex-dividend date” means, with respect to an issuance, dividend or distribution on our common stock, the first date on which shares of our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our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sz w:val="20"/>
        </w:rPr>
        <w:t xml:space="preserve">Exchange Act” means the U.S.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Fundamental change” means any of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or “group” (within the meaning of Section 13(d)(3) of the Exchange Act), other than us or our “wholly owned subsidiaries” (as defined below), or any employee benefit plans of ours or our wholly owned subsidiaries, files any report with the SEC indicating that such person or group has become the direct or indirect “beneficial owner” (as defined below) of shares of our common stock representing more than 50% of the voting power of all of our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“person” or “group” will be deemed to be the beneficial owner of any securities tendered pursuant to a tender or exchange offer made by or on behalf of such “person” or “group” until such tendered securities are accepted for purchase or exchange under such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(1) any sale, lease or other transfer, in one transaction or a series of transactions, of all or substantially all of the assets of us and our subsidiaries, taken as a whole, to any person, other than solely to one or more of our wholly owned subsidiaries; or (2) any transaction or series of related transactions in connection with which (whether by means of merger, consolidation, share exchange, combination, reclassification, recapitalization, acquisition, liquidation or otherwise) all of our common stock is exchanged for, converted into, acquired for, or constitutes solely the right to receive, other securities, cash or other property (other than changes resulting solely from a stock split or a stock combination, or a change in par value, of our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consolidation, share exchange or combination of us pursuant to which the persons that directly or indirectly “beneficially owned” (as defined below) all classes of our common equity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 -vis each other as immediately before such transaction will be deemed not to be a fundamental change pursuant to this clause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approve any plan or proposal for our liquidation or dissolution;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other common stock or depositary receipts in respect of common equity, in each case, into which the notes become convertible) ceases to be listed on any of the New York Stock Exchange, the Nasdaq Global Market or the Nasdaq Global Select Market (or any of their respective successors);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clause (i) or (ii) above will not constitute a fundamental change if at least 90% of the consideration received or to be received by the holders of our common stock (excluding cash payments for fractional shares or pursuant to dissenters rights), in connection with such transaction or event, consists of shares of common stock or depositary receipts in respect of common equity, in each case, that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any transaction in which our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us for purposes of this definition of “fundamental change” will instead be references to such other entity.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definition, (x) any transaction or event described in both clause (i) and in clause (ii)(1) or (2) above (without regard to the proviso in clause (ii)) will be deemed to occur solely pursuant to clause (ii) above (subject to such proviso); and (y) whether a person is a “beneficial owner,” whether shares are “beneficially owned,” and percentage beneficial ownership, will be determined in accordance with Rule 13d-3 under the Exchange Act subject to the proviso to clause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Holder” and “noteholder” mean a person in whose name a note is registered in the register for the notes. </w:t>
      </w:r>
    </w:p>
    <w:p>
      <w:pPr>
        <w:pStyle w:val="TextBody"/>
        <w:bidi w:val="0"/>
        <w:spacing w:before="240" w:after="0"/>
        <w:jc w:val="left"/>
        <w:rPr/>
      </w:pPr>
      <w:r>
        <w:rPr/>
        <w:t>“</w:t>
      </w:r>
      <w:r>
        <w:rPr>
          <w:rFonts w:ascii="Times New Roman" w:hAnsi="Times New Roman"/>
          <w:sz w:val="20"/>
        </w:rPr>
        <w:t xml:space="preserve">Last reported sale price” of our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our common stock on such trading day as reported in composite transactions for the principal U.S. national or regional securities exchange on which our common stock is then listed. If our common stock is not listed on a U.S. national or regional securities exchange on such trading day, then the last reported sale price will be the last quoted bid price per share of our common stock on such trading day in the over-the-counter market as reported by OTC Markets Group Inc. or a similar organization. If our common stock is not so quoted on such trading day, then the last reported sale price will be the average of the mid-point of the last bid price and the last ask price per share of our common stock on such trading day from a nationally recognized independent investment banking firm we select, which may be any of the underwriters. </w:t>
      </w:r>
    </w:p>
    <w:p>
      <w:pPr>
        <w:pStyle w:val="TextBody"/>
        <w:bidi w:val="0"/>
        <w:spacing w:before="240" w:after="0"/>
        <w:jc w:val="left"/>
        <w:rPr/>
      </w:pPr>
      <w:r>
        <w:rPr/>
        <w:t>“</w:t>
      </w:r>
      <w:r>
        <w:rPr>
          <w:rFonts w:ascii="Times New Roman" w:hAnsi="Times New Roman"/>
          <w:sz w:val="20"/>
        </w:rPr>
        <w:t xml:space="preserve">Make-whole fundamental change” means (i) a fundamental change (determined after giving effect to the proviso immediately after clause (iv) of the definition thereof, but without regard to the proviso to clause (ii)(2) of such definition); or (ii) the sending of any redemption notice with respect to a provisional redemption or a cleanup redemption pursuant to the provisions described above under the caption “ —Optional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sending of any such redemption notice for a provisional redemption will constitute a make-whole fundamental change only with respect to the notes called for redemption pursuant to such notice and not with respect to any other notes. </w:t>
      </w:r>
    </w:p>
    <w:p>
      <w:pPr>
        <w:pStyle w:val="TextBody"/>
        <w:bidi w:val="0"/>
        <w:spacing w:before="240" w:after="0"/>
        <w:jc w:val="left"/>
        <w:rPr/>
      </w:pPr>
      <w:r>
        <w:rPr/>
        <w:t>“</w:t>
      </w:r>
      <w:r>
        <w:rPr>
          <w:rFonts w:ascii="Times New Roman" w:hAnsi="Times New Roman"/>
          <w:sz w:val="20"/>
        </w:rPr>
        <w:t xml:space="preserve">Make-whole fundamental change conversion period” has the following meaning: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(other than an exempted fundamental change), to, but excluding, the related fundamental change repurchase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make-whole fundamental change pursuant to clause (ii) of the definition thereof, the period from, and including, the date we send the redemption notice for the related redemption to, and including, the second business day immediately before the related redemption date;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conversion date for the conversion of a note that has been called for redemption occurs during the make-whole fundamental change conversion period for both a make-whole fundamental change occurring pursuant to clause (i) of the definition of “make-whole fundamental change” and a make-whole fundamental change resulting from such redemption pursuant to clause (ii) of such definition, then,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sz w:val="20"/>
        </w:rPr>
        <w:t xml:space="preserve">Make-whole fundamental change effective date” means (i) with respect to a make-whole fundamental change pursuant to clause (i) of the definition thereof, the date on which such make-whole fundamental change occurs or becomes effective; and (ii) with respect to a make-whole fundamental change pursuant to clause (ii) of the definition thereof, the applicable “redemption notice date” (as defined below). </w:t>
      </w:r>
    </w:p>
    <w:p>
      <w:pPr>
        <w:pStyle w:val="TextBody"/>
        <w:bidi w:val="0"/>
        <w:spacing w:before="240" w:after="0"/>
        <w:jc w:val="left"/>
        <w:rPr/>
      </w:pPr>
      <w:r>
        <w:rPr/>
        <w:t>“</w:t>
      </w:r>
      <w:r>
        <w:rPr>
          <w:rFonts w:ascii="Times New Roman" w:hAnsi="Times New Roman"/>
          <w:sz w:val="20"/>
        </w:rPr>
        <w:t xml:space="preserve">Market disruption event” means, with respect to any date, the occurrence or existence, during the one-half hour period ending at the scheduled close of trading on such date on the principal U.S. national or regional securities exchange or other market on which our common stock is listed for trading or trades, of any material suspension or limitation imposed on trading (by reason of movements in price exceeding limits permitted by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or otherwise, but, in each case, excluding any suspension or limitation on trading imposed solely pursuant to Rule 201 of Regulation SHO under the Exchange Act, as such rule exists as of the date the notes are first issued) in our common stock or in any options contracts or futures contracts relating to our common stock. </w:t>
      </w:r>
    </w:p>
    <w:p>
      <w:pPr>
        <w:pStyle w:val="TextBody"/>
        <w:bidi w:val="0"/>
        <w:spacing w:before="240" w:after="0"/>
        <w:jc w:val="left"/>
        <w:rPr/>
      </w:pPr>
      <w:r>
        <w:rPr/>
        <w:t>“</w:t>
      </w:r>
      <w:r>
        <w:rPr>
          <w:rFonts w:ascii="Times New Roman" w:hAnsi="Times New Roman"/>
          <w:sz w:val="20"/>
        </w:rPr>
        <w:t xml:space="preserve">Maturity date” means October 15, 2032. </w:t>
      </w:r>
    </w:p>
    <w:p>
      <w:pPr>
        <w:pStyle w:val="TextBody"/>
        <w:bidi w:val="0"/>
        <w:spacing w:before="240" w:after="0"/>
        <w:jc w:val="left"/>
        <w:rPr/>
      </w:pPr>
      <w:r>
        <w:rPr/>
        <w:t>“</w:t>
      </w:r>
      <w:r>
        <w:rPr>
          <w:rFonts w:ascii="Times New Roman" w:hAnsi="Times New Roman"/>
          <w:sz w:val="20"/>
        </w:rPr>
        <w:t xml:space="preserve">Observation period” means, with respect to any note to be converted, (i) subject to clause (ii) below, if the conversion date for such note occurs on or before July 15, 2032, the 20 consecutive VWAP trading days beginning on, and including, the second VWAP trading day immediately after such conversion date; (ii) if such conversion date occurs on or after the date we have sent a redemption notice calling all or any notes for redemption and on or before the second business day before the related redemption date, the 20 consecutive VWAP trading days beginning on, and including, the 21st scheduled trading day immediately before such redemption date; and (iii) subject to clause (ii) above, if such conversion date occurs after July 15, 2032, the 20 consecutive VWAP trading days beginning on, and including, the 21st scheduled trading day immediately before the maturity date. </w:t>
      </w:r>
    </w:p>
    <w:p>
      <w:pPr>
        <w:pStyle w:val="TextBody"/>
        <w:bidi w:val="0"/>
        <w:spacing w:before="240" w:after="0"/>
        <w:jc w:val="left"/>
        <w:rPr/>
      </w:pPr>
      <w:r>
        <w:rPr/>
        <w:t>“</w:t>
      </w:r>
      <w:r>
        <w:rPr>
          <w:rFonts w:ascii="Times New Roman" w:hAnsi="Times New Roman"/>
          <w:sz w:val="20"/>
        </w:rPr>
        <w:t xml:space="preserve">Open of business” means 9:00 a.m., New York City time. </w:t>
      </w:r>
    </w:p>
    <w:p>
      <w:pPr>
        <w:pStyle w:val="TextBody"/>
        <w:bidi w:val="0"/>
        <w:spacing w:before="240" w:after="0"/>
        <w:jc w:val="left"/>
        <w:rPr/>
      </w:pPr>
      <w:r>
        <w:rPr/>
        <w:t>“</w:t>
      </w:r>
      <w:r>
        <w:rPr>
          <w:rFonts w:ascii="Times New Roman" w:hAnsi="Times New Roman"/>
          <w:sz w:val="20"/>
        </w:rPr>
        <w:t xml:space="preserve">Person”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w:t>
      </w:r>
    </w:p>
    <w:p>
      <w:pPr>
        <w:pStyle w:val="TextBody"/>
        <w:bidi w:val="0"/>
        <w:spacing w:before="240" w:after="0"/>
        <w:jc w:val="left"/>
        <w:rPr/>
      </w:pPr>
      <w:r>
        <w:rPr/>
        <w:t>“</w:t>
      </w:r>
      <w:r>
        <w:rPr>
          <w:rFonts w:ascii="Times New Roman" w:hAnsi="Times New Roman"/>
          <w:sz w:val="20"/>
        </w:rPr>
        <w:t xml:space="preserve">Provisional redemption” has the meaning set forth above under the caption “ —Optional Redemption—Provisional Redemption.” </w:t>
      </w:r>
    </w:p>
    <w:p>
      <w:pPr>
        <w:pStyle w:val="TextBody"/>
        <w:bidi w:val="0"/>
        <w:spacing w:before="240" w:after="0"/>
        <w:jc w:val="left"/>
        <w:rPr/>
      </w:pPr>
      <w:r>
        <w:rPr/>
        <w:t>“</w:t>
      </w:r>
      <w:r>
        <w:rPr>
          <w:rFonts w:ascii="Times New Roman" w:hAnsi="Times New Roman"/>
          <w:sz w:val="20"/>
        </w:rPr>
        <w:t xml:space="preserve">Qualified successor entity” means, with respect to a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such business combination event if either (i) such business combination event is an exempted fundamental change; or (ii) both of the following conditions are satisfied: (1) either (a)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(b) we have received an opinion of a nationally recognized tax counsel to the effect that such business combination event will not be treated as an exchange under Section 1001 of the Internal Revenue Code of 1986, as amended, for holders or beneficial owners of the notes; and (2) either (a) such business combination event constitutes a common stock change event whose reference property consists solely of any combination of cash in U.S. dollars and shares of common stock or other corporate common equity interests of an entity that is (I) treated as a corporation for U.S. federal income tax purposes; (II) duly organized and existing under the laws of the United States of America, any State thereof or the District of Columbia; and (III) the direct or indirect parent of such limited liability company, limited partnership or other similar entity; or (b) both of the following conditions are satisfied: (I) such business combination event does not constitute a common stock change event; and (II) we (x) remain an obligor of the notes following such business combination event; and (y) are the direct or indirect parent of such limited liability company, limited partnership or other similar entity. </w:t>
      </w:r>
    </w:p>
    <w:p>
      <w:pPr>
        <w:pStyle w:val="TextBody"/>
        <w:bidi w:val="0"/>
        <w:spacing w:before="240" w:after="0"/>
        <w:jc w:val="left"/>
        <w:rPr/>
      </w:pPr>
      <w:r>
        <w:rPr/>
        <w:t>“</w:t>
      </w:r>
      <w:r>
        <w:rPr>
          <w:rFonts w:ascii="Times New Roman" w:hAnsi="Times New Roman"/>
          <w:sz w:val="20"/>
        </w:rPr>
        <w:t xml:space="preserve">Redemption” means a provisional redemption or a cleanup redemption. </w:t>
      </w:r>
    </w:p>
    <w:p>
      <w:pPr>
        <w:pStyle w:val="TextBody"/>
        <w:bidi w:val="0"/>
        <w:spacing w:before="240" w:after="0"/>
        <w:jc w:val="left"/>
        <w:rPr/>
      </w:pPr>
      <w:r>
        <w:rPr/>
        <w:t>“</w:t>
      </w:r>
      <w:r>
        <w:rPr>
          <w:rFonts w:ascii="Times New Roman" w:hAnsi="Times New Roman"/>
          <w:sz w:val="20"/>
        </w:rPr>
        <w:t xml:space="preserve">Redemption notice date” means, with respect to a redemption, the date on which we send the related redemption notice pursuant to the provisions described above under the caption “ —Optional Redemption—Redemption Notice.” </w:t>
      </w:r>
    </w:p>
    <w:p>
      <w:pPr>
        <w:pStyle w:val="TextBody"/>
        <w:bidi w:val="0"/>
        <w:spacing w:before="240" w:after="0"/>
        <w:jc w:val="left"/>
        <w:rPr/>
      </w:pPr>
      <w:r>
        <w:rPr/>
        <w:t>“</w:t>
      </w:r>
      <w:r>
        <w:rPr>
          <w:rFonts w:ascii="Times New Roman" w:hAnsi="Times New Roman"/>
          <w:sz w:val="20"/>
        </w:rPr>
        <w:t xml:space="preserve">Scheduled trading day” means any day that is scheduled to be a trading day on the principal U.S. national or regional securities exchange on which our common stock is then listed or, if our common stock is not then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 U.S. national or regional securities exchange, on the principal other market on which our common stock is then traded. If our common stock is not so listed or traded, then “scheduled trading day” means a business day. </w:t>
      </w:r>
    </w:p>
    <w:p>
      <w:pPr>
        <w:pStyle w:val="TextBody"/>
        <w:bidi w:val="0"/>
        <w:spacing w:before="240" w:after="0"/>
        <w:jc w:val="left"/>
        <w:rPr/>
      </w:pPr>
      <w:r>
        <w:rPr/>
        <w:t>“</w:t>
      </w:r>
      <w:r>
        <w:rPr>
          <w:rFonts w:ascii="Times New Roman" w:hAnsi="Times New Roman"/>
          <w:sz w:val="20"/>
        </w:rPr>
        <w:t xml:space="preserve">Securities Act” means the U.S. Securities Act of 1933, as amended. </w:t>
      </w:r>
    </w:p>
    <w:p>
      <w:pPr>
        <w:pStyle w:val="TextBody"/>
        <w:bidi w:val="0"/>
        <w:spacing w:before="240" w:after="0"/>
        <w:jc w:val="left"/>
        <w:rPr/>
      </w:pPr>
      <w:r>
        <w:rPr/>
        <w:t>“</w:t>
      </w:r>
      <w:r>
        <w:rPr>
          <w:rFonts w:ascii="Times New Roman" w:hAnsi="Times New Roman"/>
          <w:sz w:val="20"/>
        </w:rPr>
        <w:t xml:space="preserve">Significant subsidiary” of any person means any subsidiary of that person that constitutes a “significant subsidiary” (as defined in Rule 1-02(w) of Regulation S-X under the Exchange Act) of that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subsidiary meets the criteria of clause (1)(iii) of the definition of “significant subsidiary” in Rule 1-02(w) but not clause (1)(i) or (1)(ii) thereof (or, if applicable, the respective successor clauses to the aforementioned clauses), then such subsidiary will be deemed not to be a significant subsidiary of that person unless such subsidiary’s income from continuing operations before income taxes, exclusive of amounts attributable to any non-controlling interests, for the last completed fiscal year before the date of determination exceeds $75,000,000. </w:t>
      </w:r>
    </w:p>
    <w:p>
      <w:pPr>
        <w:pStyle w:val="TextBody"/>
        <w:bidi w:val="0"/>
        <w:spacing w:before="240" w:after="0"/>
        <w:jc w:val="left"/>
        <w:rPr/>
      </w:pPr>
      <w:r>
        <w:rPr/>
        <w:t>“</w:t>
      </w:r>
      <w:r>
        <w:rPr>
          <w:rFonts w:ascii="Times New Roman" w:hAnsi="Times New Roman"/>
          <w:sz w:val="20"/>
        </w:rPr>
        <w:t xml:space="preserve">Specified dollar amount” means, with respect to the conversion of a note to which combination settlement applies, the maximum cash amount per $1,000 principal amount of such note deliverable upon such conversion (excluding cash in lieu of any fractional share of common stock). </w:t>
      </w:r>
    </w:p>
    <w:p>
      <w:pPr>
        <w:pStyle w:val="TextBody"/>
        <w:bidi w:val="0"/>
        <w:spacing w:before="240" w:after="0"/>
        <w:jc w:val="left"/>
        <w:rPr/>
      </w:pPr>
      <w:r>
        <w:rPr/>
        <w:t>“</w:t>
      </w:r>
      <w:r>
        <w:rPr>
          <w:rFonts w:ascii="Times New Roman" w:hAnsi="Times New Roman"/>
          <w:sz w:val="20"/>
        </w:rPr>
        <w:t xml:space="preserve">Stated interest” has the meaning set forth above under the caption “ —Interest.” </w:t>
      </w:r>
    </w:p>
    <w:p>
      <w:pPr>
        <w:pStyle w:val="TextBody"/>
        <w:bidi w:val="0"/>
        <w:spacing w:before="240" w:after="0"/>
        <w:jc w:val="left"/>
        <w:rPr/>
      </w:pPr>
      <w:r>
        <w:rPr/>
        <w:t>“</w:t>
      </w:r>
      <w:r>
        <w:rPr>
          <w:rFonts w:ascii="Times New Roman" w:hAnsi="Times New Roman"/>
          <w:sz w:val="20"/>
        </w:rPr>
        <w:t xml:space="preserve">Stock price” has the following meaning for any make-whole fundamental change: (i) if the holders of our common stock receive only cash in consideration for their shares of our common stock in such make-whole fundamental change and such make-whole fundamental change is pursuant to clause (ii) of the definition of “fundamental change,” then the stock price is the amount of cash paid per share of our common stock in such make-whole fundamental change; and (ii) in all other cases, the stock price is the average of the last reported sale prices per share of our common stock for the five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sz w:val="20"/>
        </w:rPr>
        <w:t xml:space="preserve">Subsidiary” means, with respect to any person, (i)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(ii) any partnership or limited liability company where (x) more than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 </w:t>
      </w:r>
    </w:p>
    <w:p>
      <w:pPr>
        <w:pStyle w:val="TextBody"/>
        <w:bidi w:val="0"/>
        <w:spacing w:before="240" w:after="0"/>
        <w:jc w:val="left"/>
        <w:rPr/>
      </w:pPr>
      <w:r>
        <w:rPr/>
        <w:t>“</w:t>
      </w:r>
      <w:r>
        <w:rPr>
          <w:rFonts w:ascii="Times New Roman" w:hAnsi="Times New Roman"/>
          <w:sz w:val="20"/>
        </w:rPr>
        <w:t xml:space="preserve">Trading day” means any day on which (i)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and (ii) there is no “market disruption event” (as defined above in this “ —Definitions” section). If our common stock is not so listed or traded, then “trading day” means a business day. </w:t>
      </w:r>
    </w:p>
    <w:p>
      <w:pPr>
        <w:pStyle w:val="TextBody"/>
        <w:bidi w:val="0"/>
        <w:spacing w:before="240" w:after="0"/>
        <w:jc w:val="left"/>
        <w:rPr/>
      </w:pPr>
      <w:r>
        <w:rPr/>
        <w:t>“</w:t>
      </w:r>
      <w:r>
        <w:rPr>
          <w:rFonts w:ascii="Times New Roman" w:hAnsi="Times New Roman"/>
          <w:sz w:val="20"/>
        </w:rPr>
        <w:t xml:space="preserve">Trading price” of the notes on any trading day means the average of the secondary market bid quotations, expressed as a cash amount per $1,000 principal amount of notes, obtained by the bid solicitation agent for $1,000,000 (or such lesser amount as may then be outstanding) in principal amount of notes at approximately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3:30 p.m., New York City time, on such trading day from three nationally recognized independent securities dealers we select, which may include any of the underwriters;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(or such lesser amount as may then be outstanding) in principal amount of notes from a nationally recognized independent securities dealer; (ii) we are not acting as the bid solicitation agent and we fail to instruct the bid solicitation agent to obtain bids when required; or (iii) the bid solicitation agent fails to solicit bids when required, then, in each case, the trading price per $1,000 principal amount of notes on such trading day will be deemed to be less than 98% of the product of the last reported sale price per share of our common stock on such trading day and the conversion rate on such trading day. </w:t>
      </w:r>
    </w:p>
    <w:p>
      <w:pPr>
        <w:pStyle w:val="TextBody"/>
        <w:bidi w:val="0"/>
        <w:spacing w:before="240" w:after="0"/>
        <w:jc w:val="left"/>
        <w:rPr/>
      </w:pPr>
      <w:r>
        <w:rPr/>
        <w:t>“</w:t>
      </w:r>
      <w:r>
        <w:rPr>
          <w:rFonts w:ascii="Times New Roman" w:hAnsi="Times New Roman"/>
          <w:sz w:val="20"/>
        </w:rPr>
        <w:t xml:space="preserve">VWAP market disruption event” means, with respect to any date, (i) the failure by the principal U.S. national or regional securities exchange on which our common stock is then listed, or, if our common stock is not then listed on a U.S. national or regional securities exchange, the principal other market on which our common stock is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but, in each case, excluding any suspension or limitation on trading imposed solely pursuant to Rule 201 of Regulation SHO under the Exchange Act, as such rule exists as of the date the notes are first issued) in our common stock or in any options contracts or futures contracts relating to our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sz w:val="20"/>
        </w:rPr>
        <w:t xml:space="preserve">VWAP trading day” means a day on which (i) there is no VWAP market disruption event; and (ii)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“VWAP trading day” means a business day. </w:t>
      </w:r>
    </w:p>
    <w:p>
      <w:pPr>
        <w:pStyle w:val="TextBody"/>
        <w:bidi w:val="0"/>
        <w:spacing w:before="240" w:after="0"/>
        <w:jc w:val="left"/>
        <w:rPr/>
      </w:pPr>
      <w:r>
        <w:rPr/>
        <w:t>“</w:t>
      </w:r>
      <w:r>
        <w:rPr>
          <w:rFonts w:ascii="Times New Roman" w:hAnsi="Times New Roman"/>
          <w:sz w:val="20"/>
        </w:rPr>
        <w:t xml:space="preserve">Wholly owned subsidiary” of a person means any subsidiary of such person all of the outstanding capital stock or other ownership interests of which (other than directors’ qualifying shares) are owned by such person or one or more wholly owned subsidiaries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Book Entry, Settlement and Clearance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—Book Entry, Settlement and Clearance” supersedes, in its entirety, the information in the accompanying prospectus under the caption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initially issued in the form of one or more notes registered in the name of Cede &amp; Co., as nominee of DTC, without interest coupons (the “global notes”), and will be deposited with the trustee as custodian for DTC. </w:t>
      </w:r>
    </w:p>
    <w:p>
      <w:pPr>
        <w:pStyle w:val="TextBody"/>
        <w:bidi w:val="0"/>
        <w:spacing w:before="240" w:after="0"/>
        <w:jc w:val="left"/>
        <w:rPr>
          <w:rFonts w:ascii="Times New Roman" w:hAnsi="Times New Roman"/>
          <w:sz w:val="20"/>
        </w:rPr>
      </w:pPr>
      <w:r>
        <w:rPr>
          <w:rFonts w:ascii="Times New Roman" w:hAnsi="Times New Roman"/>
          <w:sz w:val="20"/>
        </w:rPr>
        <w:t xml:space="preserve">Only persons who have accounts with DTC (“DTC participants”) or persons who hold interests through DTC participants may own beneficial interests in a global note. 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a global note with DTC’s custodian, DTC will credit portions of the principal amount of the global note to the accounts of the DTC participants designated by the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global note will be shown on, and transfers of such interests will be effected only through, records maintained by DTC (with respect to interests of DTC participants) and the records of DTC participants (with respect to other owners of beneficial interests in the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a global note will be subject to the operations and procedures of DTC. Accordingly, you must allow for sufficient time in order to comply with those operations and procedures if you wish to exercise any of your rights with respect to global notes. The operations and procedures of DTC are controlled by DTC and may be changed at any time. None of us, the trustee or any of the underwriters will be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book-entry system is also available to other “indirect participants,” such as banks, brokers, dealers and trust companies, who directly or indirectly clear through or maintain a custodial relationship with a DTC participant. Purchasers of notes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a global note, DTC or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(and, if the investor is not a participant or an indirect participant in DTC, on the procedures of the DTC participant through whom the investor owns its interest) to exercise any rights of a noteholder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Payments on any global notes will be made to DTC’s nominee as the registered holder of the global note. None of us, the trustee or any of the underwriters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Payments by participants and indirect participants in DTC to the owners of beneficial interests in a global note will be governed by standing instructions and customary industry practice and will be the responsibility of those participants or indirect participants and DTC.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under DTC’s procedures and will be settled in same-day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Physical Notes </w:t>
      </w:r>
    </w:p>
    <w:p>
      <w:pPr>
        <w:pStyle w:val="TextBody"/>
        <w:bidi w:val="0"/>
        <w:spacing w:before="120" w:after="0"/>
        <w:jc w:val="left"/>
        <w:rPr>
          <w:rFonts w:ascii="Times New Roman" w:hAnsi="Times New Roman"/>
          <w:sz w:val="20"/>
        </w:rPr>
      </w:pPr>
      <w:r>
        <w:rPr>
          <w:rFonts w:ascii="Times New Roman" w:hAnsi="Times New Roman"/>
          <w:sz w:val="20"/>
        </w:rPr>
        <w:t xml:space="preserve">A global note will be exchanged, pursuant to customary procedures, for one or more physical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or the trustee that it is unwilling or unable to continue as depositary for such global note or DTC ceases to be a “clearing agency” registered under Section 17A of the Exchange Act and, in each case, we fail to appoint a successor depositary within 90 days of such notice or cessation;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and we, the trustee or the registrar has received a written request from DTC, or from a holder of a beneficial interest in such global note, to exchange such global note or beneficial interest, as applicable, for one or more physical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permit the exchange of any beneficial interest in such global note for one or more physical notes at the request of the owner of such beneficial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77446_10"/>
      <w:bookmarkEnd w:id="11"/>
      <w:r>
        <w:rPr>
          <w:rFonts w:ascii="Times New Roman" w:hAnsi="Times New Roman"/>
          <w:b/>
          <w:sz w:val="20"/>
        </w:rPr>
        <w:t xml:space="preserve">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U.S. federal income tax considerations generally applicable to the ownership and disposition of the notes and common stock, if any, issuable upon a conversion of the notes. This summary is based on the U.S. Internal Revenue Code of 1986, as amended (the “Code”), Treasury regulations promulgated thereunder (the “Treasury Regulations”), rulings, official pronouncements, and judicial decisions, all as in effect on the date of this prospectus supplement and all of which are subject to change and differing interpretations, possibly with retroactive effect. This summary addresses tax considerations only for holders that purchase the notes pursuant to this offering at the original issue price and that hold the notes and any common stock as “capital assets” as defined in the Code (generally, property held for investment). Moreover, this summary does not address all of the tax consequences that may be relevant to specific investors in light of their particular circumstances or to investors subject to special treatment under U.S. federal income tax laws (such as banks, insurance companies, regulated investment companies, real estate investment trusts, tax-exempt entities, dealers in securities, traders in securities that elect to use a mark to market method of tax accounting or persons subject to special tax accounting rules as a result of any item of gross income with respect to the notes or common stock being taken into account in an “applicable financial statement,” brokers, expatriates, entities or arrangements treated as partnerships for U.S. federal income tax purposes, controlled foreign corporations, passive foreign investment companies, persons that own, directly or indirectly, actually or constructively, 10% or more of the total combined voting power of all classes of our stock entitled to vote, persons that own, directly or indirectly, actually or constructively, more than 5% or more of the common stock, persons that hold their notes or common stock as part of a straddle, hedge, conversion transaction or other integrated investment, U.S. Holders (defined below) whose functional currency is not the U.S. dollar, and persons subject to any minimum tax), all of whom may be subject to tax rules that differ significantly from those summarized below. The discussion below does not address U.S. federal estate and gift tax considerations, the Medicare tax or the effect of any state, local or non-U.S. tax law. There can be no assurance that the Internal Revenue Services (the “IRS”) will not take, or that a court will not sustain, a contrary position with respect to the U.S. federal income tax considerations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PROSPECTIVE INVESTORS SHOULD CONSULT THEIR TAX ADVISORS AS TO THE TAX CONSEQUENCES TO THEM OF THE OWNERSHIP, CONVERSION AND DISPOSITION OF THE NOTES AND THE OWNERSHIP AND DISPOSITION OF COMMON STOCK, IF ANY, ISSUABLE UPON CONVERSION OF THE NOTES, AS WELL AS THE APPLICABILITY OF U.S. FEDERAL, STATE OR LOCAL TAX LAWS, NON-U.S. TAX LAWS AND INCOME TAX TREATIES.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or common stock received upon conversion of a note (as determined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entity or arrangement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if a court within the United States is able to exercise primary supervision over its administration and one or more U.S. persons have the authority to control all of its substantial decisions, or (2) that has in effect a valid election under applicable Treasury Regulations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or common stock received upon conversion of a note (as determined for U.S. federal income tax purposes) that is not a U.S. Holder, other than an entity or arrangement classified as a partnership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partnership (or other entity or arrangement classified as a partnership for U.S. federal income tax purposes) holds the notes or common stock, the U.S. federal income tax treatment of its partners will generally depend upon the status of the partners and the activities of such partnership. A partnership holding the notes or common stock and each of its partners should consult their tax advisors as to the tax consequences of holding and disposing of notes or common stock in light of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b/>
          <w:i/>
          <w:sz w:val="20"/>
        </w:rPr>
        <w:t>Ownership and Disposition of Notes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less than a </w:t>
      </w:r>
      <w:r>
        <w:rPr>
          <w:rFonts w:ascii="Times New Roman" w:hAnsi="Times New Roman"/>
          <w:i/>
          <w:sz w:val="20"/>
        </w:rPr>
        <w:t>de minimis</w:t>
      </w:r>
      <w:r>
        <w:rPr>
          <w:rFonts w:ascii="Times New Roman" w:hAnsi="Times New Roman"/>
          <w:sz w:val="20"/>
        </w:rPr>
        <w:t xml:space="preserve"> amount of original issue discount for U.S. federal income tax purposes. Interest on the notes will be includible in a U.S. Holder’s gross income as ordinary income at the time such interest is paid or accrued, in accordance with such holder’s usual method of accounting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Retirement,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gain or loss on the sale, exchange, redemption, retirement, or other taxable disposition of a note (including an exchange with a designated financial institution in lieu of conversion, as described in “Description of Notes—Conversion Rights—Exchange in Lieu of Conversion”) in an amount equal to the difference between (i) the amount of cash and the fair market value of any property received on the disposition (except to the extent attributable to accrued but unpaid interest, which will be subject to tax as described above under “ —Interest on the Notes”) and (ii) such holder’s adjusted tax basis in the note. A U.S. Holder’s adjusted tax basis in its notes will generally be equal to the U.S. Holder’s cost of the notes, increased by the amount of any constructive distribution treated as a dividend for U.S. federal income tax purposes as described below under “ —Adjustments to Conversion Rate.” Any gain or loss recognized on the taxable disposition of a note will generally be capital gain or loss and will be long-term capital gain or loss if, at the time of such disposition, the U.S. Holder’s holding period in the note exceeds one year. Long-term capital gains recognized by individuals and other non-corporate U.S. Holders will generally be eligible for reduced rates of taxation. The deductibility of capital losses is subject to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of Notes Solely into Cash </w:t>
      </w:r>
    </w:p>
    <w:p>
      <w:pPr>
        <w:pStyle w:val="TextBody"/>
        <w:bidi w:val="0"/>
        <w:spacing w:before="120" w:after="0"/>
        <w:jc w:val="left"/>
        <w:rPr>
          <w:rFonts w:ascii="Times New Roman" w:hAnsi="Times New Roman"/>
          <w:sz w:val="20"/>
        </w:rPr>
      </w:pPr>
      <w:r>
        <w:rPr>
          <w:rFonts w:ascii="Times New Roman" w:hAnsi="Times New Roman"/>
          <w:sz w:val="20"/>
        </w:rPr>
        <w:t xml:space="preserve">If a U.S. Holder’s note is converted solely into cash, such conversion will be treated as a taxable sale or exchange of the note and such holder will recognize gain or loss as described above under “ — Sale, Exchange, Redemption, Retirement, or other Taxable Disposition of Notes.”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of Notes Solely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solely common stock (or solely common stock and cash in lieu of a fractional share of common stock) upon conversion of a note will generally not recognize any gain or loss, except to the extent of cash received in lieu of a fractional share (discussed below), and except to the extent of the fair market value of common stock received with respect to accrued interest, which will be taxable as interest income as discussed above under “ —Interest on the Notes” to the extent not previously included in income by the U.S. Holder. </w:t>
      </w:r>
    </w:p>
    <w:p>
      <w:pPr>
        <w:pStyle w:val="TextBody"/>
        <w:bidi w:val="0"/>
        <w:spacing w:before="240" w:after="0"/>
        <w:jc w:val="left"/>
        <w:rPr>
          <w:rFonts w:ascii="Times New Roman" w:hAnsi="Times New Roman"/>
          <w:sz w:val="20"/>
        </w:rPr>
      </w:pPr>
      <w:r>
        <w:rPr>
          <w:rFonts w:ascii="Times New Roman" w:hAnsi="Times New Roman"/>
          <w:sz w:val="20"/>
        </w:rPr>
        <w:t xml:space="preserve">A U.S. Holder’s tax basis in the common stock received upon a conversion (other than common stock attributable to accrued interest, the tax basis of which will equal its fair market value) will equal the tax basis in the note that was converted (excluding the portion of the tax basis that is allocable to any fractional share). A U.S. Holder’s holding period for common stock received will generally include the period during which the U.S. Holder held the notes, except that the holding period of any common stock received with respect to accrued interest will commence on the day after the date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Conversion of Notes into Cash and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treatment of the conversion of a note into cash and common stock is unclear and subject to different characterizations. We intend to treat any such conversion as a recapitalization for U.S. federal income tax purposes to the extent permissible under applicable law at the time of the conversion. If the conversion is treated as a recapitalization, then, except with respect to cash received in lieu of a fractional share and cash or common stock received with respect to accrued interest (each discussed below), a U.S. Holder should generally recognize gain, but not loss, equal to the lesser of (i) the amount of cash received and (ii) the excess of the amount of cash and the fair market value of common stock received (including any fractional shares deemed received) at the time of the conversion over the U.S. Holder’s adjusted tax basis in the notes. Any such gain should generally be capital gain and will be long-term capital gain if, at the time of the conversion, the U.S. Holder’s holding period in the note exceeds one year. </w:t>
      </w:r>
    </w:p>
    <w:p>
      <w:pPr>
        <w:pStyle w:val="TextBody"/>
        <w:bidi w:val="0"/>
        <w:spacing w:before="240" w:after="0"/>
        <w:jc w:val="left"/>
        <w:rPr>
          <w:rFonts w:ascii="Times New Roman" w:hAnsi="Times New Roman"/>
          <w:sz w:val="20"/>
        </w:rPr>
      </w:pPr>
      <w:r>
        <w:rPr>
          <w:rFonts w:ascii="Times New Roman" w:hAnsi="Times New Roman"/>
          <w:sz w:val="20"/>
        </w:rPr>
        <w:t xml:space="preserve">A U.S. Holder’s adjusted tax basis in common stock received in the recapitalization (other than any such stock received with respect to accrued interest and any fractional share deemed received) should generally equal the holder’s tax basis in the note reduced by the amount of cash received (excluding cash attributable to accrued interest and cash received in lieu of a fractional share) and increased by the amount of any taxable gain recognized on the conversion (other than with respect to a fractional share), reduced by the basis allocable to any fractional share of common stock deemed received.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receipt of cash and common stock on the conversion of a note is not treated as a recapitalization, such conversion could be treated as a sale of a portion of the note solely for cash and as an exchange of a portion of the note solely for common stock. In such event, a U.S. Holder should generally be subject to the tax treatment described above under “ —Sale, Exchange, Redemption, Retirement, or other Taxable Disposition of Notes” with respect to the portion of the note treated as sold solely for cash (other than cash attributable to accrued interest and cash received in lieu of a fractional share) and should generally not be subject to tax on the receipt of common stock, except to the extent such stock is received with respect to accrued interest or to the extent cash is received in lieu of a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on this point is not entirely clear, if the conversion is treated as described in the immediately preceding paragraph, a U.S. Holder’s basis in the common stock received in such a conversion (other than any such stock received with respect to accrued interest) should generally equal a proportionate part of the basis of the surrendered note (based on the relative fair market values of such stock and the amount of cash received in the conversion (other than cash attributable to accrued interest, but including any cash received in lieu of a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A U.S. Holder’s holding period for common stock received in a conversion described in this section will generally include the period during which the holder held the notes, except that the holding period of any common stock received with respect to accrued interest should commence on the day after the receipt of such stock. </w:t>
      </w:r>
    </w:p>
    <w:p>
      <w:pPr>
        <w:pStyle w:val="TextBody"/>
        <w:bidi w:val="0"/>
        <w:spacing w:before="360" w:after="0"/>
        <w:jc w:val="left"/>
        <w:rPr>
          <w:rFonts w:ascii="Times New Roman" w:hAnsi="Times New Roman"/>
          <w:i/>
          <w:sz w:val="20"/>
        </w:rPr>
      </w:pPr>
      <w:r>
        <w:rPr>
          <w:rFonts w:ascii="Times New Roman" w:hAnsi="Times New Roman"/>
          <w:i/>
          <w:sz w:val="20"/>
        </w:rPr>
        <w:t xml:space="preserve">Cash Received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Cash received in lieu of a fractional share of common stock will generally be treated as a payment in exchange for the fractional share. The amount of gain or loss on the deemed sale of a fractional share will be equal to the difference between the amount of cash such U.S. Holder receives in respect of such fractional share and the portion of such U.S. Holder’s adjusted tax basis in the note that was converted that is allocable to the fractional share treated as received. A U.S. Holder’s tax basis in a fractional share will be determined by allocating its tax basis in the common stock received (including the fractional share deemed received) between the common stock actually received upon conversion and the fractional share, in accordance with their respective fair market values. Any gain or loss recognized on the deemed sale of a fractional share will generally be capital gain or loss and will be long-term capital gain or loss if, at the time of such deemed sale, the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holding period in the note exceeds one year. Long-term capital gains recognized by individuals and other non-corporate U.S. Holders will generally be eligible for reduced rates of taxation. The deductibility of capital losses is subject to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Cash or Common Stock Attributable to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Any cash and the fair market value of any common stock received with respect to accrued interest will be subject to tax as described above under “ —Interest on the notes.” The U.S. Holder’s tax basis in such shares will be equal to their fair market value when received.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tax advisors with respect to the tax consequences of the conversion of notes by us into a combination of cash and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surrenders notes for conversion, we direct the notes to be offered to an financial institution for exchange in lieu of conversion (as described under “Description of Notes—Conversion Rights—Exchange in Lieu of Conversion”), and such institution accepts the notes and delivers common stock, cash, or a combination thereof in exchange for the notes, such U.S. Holder may be treated, depending on the particular arrangement between us and the entity regarding such exchange, as having disposed of such notes in a taxable sale or exchange regardless of whether the notes are settled for cash, common stock, or a combination thereof. In such event, a U.S. Holder will be required to recognize gain or loss as described above under “ —Sale, Exchange, Redemption, Retirement, or other Taxable Disposition of Notes,” the U.S. Holder’s tax basis in any common stock received will be equal to the fair market value of such common stock on the date of the exchange, and the U.S. Holder’s holding period in the common stock will commence on the day after the date of the exchange. A U.S. Holder whose notes to be converted are transferred to a third party for settlement should consult its tax advisors regarding the tax consequences of such an exchange.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to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rate of the notes is subject to adjustment in certain circumstances as described above under “Description of Notes—Conversion Rights.” Adjustments (or failures to make adjustments) that have the effect of increasing a U.S. Holder’s proportionate interest in assets or earnings of the Company may in some circumstances cause the U.S. Holder to have received a constructive distribution of, or with respect to, common stock even though no cash or property is received. Adjustments to the conversion rate made pursuant to a bona fide reasonable adjustment formula that has the effect of preventing the dilution of the interest of the holders of the notes will generally not be considered to result in a constructive distribution. Certain of the possible adjustments to the conversion rate (including adjustments in respect of taxable dividends to our shareholders) do not qualify as made pursuant to a bona fide reasonable adjustment formula. In addition, an adjustment to the conversion rate in connection with a make-whole fundamental change or in connection with a notice of redemption may be treated as a constructive distribution. If such adjustments are made, we intend to take the position that you have received constructive distributions from us, even though you have not received any cash or property as a result of such adjustments. The tax consequences of the receipt of such a distribution will generally be as described below under “Ownership and Disposition of Common Stock—Dividends and Distributions.” However, it is not entirely clear whether such deemed distributions would be eligible for the reduced tax rate applicable to certain dividends paid to non-corporate holders or for the dividends-received deduction applicable to certain dividends paid to corporate holders. The U.S. Holder’s adjusted tax basis in a note will generally be increased to the extent of any constructive distribution that is treated as a dividend. In certain circumstances, the failure to make an adjustment to the conversion rate may result in a taxable distribution to holders of the notes if, as a result of such failure, the proportionate interest of the note holders in the assets or earnings and profits of the Company is effectively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Prospective investors should consult their tax advisors with respect to the tax consequences of any adjustment (or the absence of any adjustment) to the conversion rate and any resulting deemed distribution. </w:t>
      </w:r>
    </w:p>
    <w:p>
      <w:pPr>
        <w:pStyle w:val="TextBody"/>
        <w:bidi w:val="0"/>
        <w:spacing w:before="360" w:after="0"/>
        <w:jc w:val="left"/>
        <w:rPr>
          <w:rFonts w:ascii="Times New Roman" w:hAnsi="Times New Roman"/>
          <w:sz w:val="20"/>
        </w:rPr>
      </w:pPr>
      <w:r>
        <w:rPr>
          <w:rFonts w:ascii="Times New Roman" w:hAnsi="Times New Roman"/>
          <w:b/>
          <w:i/>
          <w:sz w:val="20"/>
        </w:rPr>
        <w:t>Ownership and Disposition of Common Stock</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with respect to our common stock will generally be includible in a U.S. Holder’s gross income as ordinary dividends for U.S. federal income tax purposes to the extent of the Company’s current and accumulated earnings and profits. Distributions in excess of such current and accumulated earnings and profits will be treated as a return of capital that reduces the U.S. Holder’s adjusted tax basis in its common stock (but not below zero). Any remainder will be treated as gain realized on the sale or other disposition of such stock subject to tax as described under “ —Sale or Other Taxable Disposition of Common Stock” below. Dividends received by individuals and other non-corporate U.S. Holders will generally qualify for the lower rates of tax applicable to “qualified dividend income,” provided that certain holding period and other requirements are satisfied. Corporate U.S. Holders will generally be entitled to a dividends received deduction in respect of dividends received on common stock, subject to applicable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gain or loss on the sale or other taxable disposition of common stock in an amount equal to the difference between the holder’s adjusted tax basis in such common stock and the amount realized on the disposition. Any such gain or loss will generally be capital gain or loss and will be long-term if, at the time of the sale or other disposition, the U.S. Holder’s holding period for such stock exceeds one year. Long-term capital gains recognized by individuals and other non-corporate U.S. Holders are generally eligible for reduced rates of taxation. The deductibility of capital losses is subject to limitation.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or withholding tax on payments of interest on the notes (including any common stock received on a conversion of the notes that is attributable to accrued but unpaid interest on the notes), provided that such interest is not effectively connected with such Non-U.S. Holder’s conduct of a trade or business in the United States and such holder certifies as to its non-U.S. status and that no withholding is required pursuant to the Foreign Account Tax Compliance Act (discussed below) on a properly completed IRS Form W-8BEN or W-8BEN-E (or other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that is effectively connected with a Non-U.S. Holder’s conduct of a trade or business within the United States (and, if an applicable income tax treaty so requires, is attributable to a permanent establishment or fixed base maintained by the Non-U.S. Holder in the United States) will generally not be subject to U.S. federal withholding tax if the Non-U.S. Holder complies with applicable certification and disclosure requirements (generally by providing an IRS Form W-8ECI). Instead, such interest will generally be subject to U.S. federal income tax on a net income basis at the regular graduated rates generally applicable to U.S. Holders and, in the case of corporate Non-U.S. Holders, may also be subject to branch profits tax at a rate of 30% (or lesser rate under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satisfy any of the requirements described above will generally be subject to U.S. federal withholding tax on payments of interest on the notes at a rate of 30%. Under certain treaties, the U.S. federal withholding tax on such payments of interest may be reduced or eliminated provided that the Non-U.S. Holder certifies as to its eligibility for treaty benefits (generally, by providing a properly completed IRS Form W-8BEN or W-8BEN-E).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Dividends and Distributions on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Dividends received by a Non-U.S. Holder with respect to common stock (including any constructive distributions resulting from an adjustment to the conversion rate as described above under “ —U.S. Holders—Ownership and Disposition of Notes—Adjustments to Conversion Rate” that are treated as dividends) will generally be subject to U.S. federal withholding tax at a rate of 30% unless the Non-U.S. Holder provides proper certification of its eligibility for a reduced rate under an applicable income tax treaty (generally on IRS Form W-8BEN or W-8BEN-E). Distributions (including constructive distributions) will constitute dividends for U.S. federal income tax purposes to the extent of the Company’s current or accumulated earnings and profits as determined under the Code. Distributions to the extent in excess of such current or accumulated earnings and profits will be treated as a return of capital that reduces the Non-U.S. Holder’s basis in its common stock (but not below zero). Any excess will be treated as gain realized on the sale or other taxable disposition of common stock and will be treated as described under “ —Sale or Other Disposition of Notes or Common Stock”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Non-U.S. Holders should expect that the gross amount of any actual or constructive distributions with respect to common stock will generally be subject to U.S. federal withholding tax, unless the applicable withholding agent elects to withhold a lesser amount based on a reasonable estimate of the amount of the distribution that would be treated as a dividend. Because constructive distributions will not give rise to cash from which any applicable U.S. federal withholding tax can be satisfied, any applicable withholding tax may be withheld from cash payments of interest (including special interest and default interest), from cash or common stock otherwise deliverable to a holder upon a conversion, exchange, redemption, retirement, or repurchase of a note or other funds or assets of such Non-U.S. Holder.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effectively connected with a Non-U.S. Holder’s conduct of a trade or business within the United States (and, if an applicable income tax treaty so requires, are attributable to a permanent establishment or fixed base maintained by the Non-U.S. Holder in the United States) will generally not be subject to U.S. federal withholding tax if the Non-U.S. Holder complies with applicable certification and disclosure requirements (generally by providing an IRS Form W-8ECI). Instead, such dividends will generally be subject to U.S. federal income tax on a net income basis at the regular U.S. federal income tax rates generally applicable to U.S. persons and, in the case of corporate Non-U.S. Holders, may also be subject to a branch profits tax at a rate of 30% (or lower rate under an applicable income tax treaty). </w:t>
      </w:r>
    </w:p>
    <w:p>
      <w:pPr>
        <w:pStyle w:val="TextBody"/>
        <w:bidi w:val="0"/>
        <w:spacing w:before="360" w:after="0"/>
        <w:jc w:val="left"/>
        <w:rPr>
          <w:rFonts w:ascii="Times New Roman" w:hAnsi="Times New Roman"/>
          <w:sz w:val="20"/>
        </w:rPr>
      </w:pPr>
      <w:r>
        <w:rPr>
          <w:rFonts w:ascii="Times New Roman" w:hAnsi="Times New Roman"/>
          <w:b/>
          <w:i/>
          <w:sz w:val="20"/>
        </w:rPr>
        <w:t>Sale or Other Disposition of Notes or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or withholding tax on any gain realized upon the sale or other disposition of notes (including upon a conversion or exchange) or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applicable income tax treaty so requires, is attributable to a permanent establishment or fixed base maintained by the Non-U.S. Holder in the United States), in which case the gain will generally be subject to U.S. federal income tax on a net income basis at the regular rates generally applicable to U.S. persons and, in the case of corporate Non-U.S. Holders, may also be subject to branch profits tax at a rate of 30% (or lower rate under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in which case the gain will generally be subject to U.S. federal income tax at a rate of 30% (or lower rate under an applicable income tax treaty) and may be offset by U.S. source capital losses in certain circumstances.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tax consequences of the ownership and disposition of the notes and common stock received upon a conversion and the effects of any applicable income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Foreign Account Tax Compliance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and the regulations and administrative guidance promulgated thereunder (“FATCA”), withholding at a rate of 30% will generally be required on payments of interest on the notes and distributions in respect of common stock (including constructive distributions) held by or through certain foreign financial institutions (including investment funds), unless such institution qualifies for an exemption or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Similarly, in certain circumstances, interest payments in respect of notes and distributions in respect of common stock (including constructive distributions), in each case, held by an investor that is a non-financial non-U.S.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Accordingly, the entity through which an investor holds the notes or common stock will affect the determination of whether withholding under the rules described in this paragraph is required. No additional amounts will be paid to holders in respect of any amounts withheld. Prospective investors should consult their tax advisors regarding the possible implications of these rules on an investment in the notes and the common stock into which such notes may be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177446_10a"/>
      <w:bookmarkEnd w:id="12"/>
      <w:r>
        <w:rPr>
          <w:rFonts w:ascii="Times New Roman" w:hAnsi="Times New Roman"/>
          <w:b/>
          <w:sz w:val="20"/>
        </w:rPr>
        <w:t xml:space="preserve">THE CONCURRENT EQUITY OFFERING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this offering, we are offering, pursuant to a separate prospectus supplement, 7,412,500 shares of our common stock, and pre-funded warrants to purchase 400,000 shares of common stock, which we refer to as the “concurrent equity offering.” We have granted the underwriters of the concurrent equity offering a 30-day option to purchase up to an additional 1,171,875 shares of our common stock. We estimate that the net proceeds to us from the concurrent equity offering, if it is consummated, will be approximately $473.3 million (or approximately $544.3 million if the underwriters of the concurrent equity offering fully exercise their option to purchase additional shares of common stock),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that we are offering pursuant to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x177446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Leerink Partners LLC are acting as representatives of each of the underwriters named below. Subject to the terms and conditions set forth in an underwriting agreement dated the date of this prospectus supplement among us and the underwriters, we have agreed to sell to the underwriters, and each of the underwriters has agreed, severally and not jointly, to purchase from us, the aggregate principal amount of notes set forth opposite its name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9"/>
        <w:gridCol w:w="751"/>
        <w:gridCol w:w="281"/>
        <w:gridCol w:w="2471"/>
        <w:gridCol w:w="63"/>
      </w:tblGrid>
      <w:tr>
        <w:trPr/>
        <w:tc>
          <w:tcPr>
            <w:tcW w:w="6639" w:type="dxa"/>
            <w:tcBorders/>
            <w:vAlign w:val="center"/>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39" w:type="dxa"/>
            <w:tcBorders/>
            <w:vAlign w:val="bottom"/>
          </w:tcPr>
          <w:p>
            <w:pPr>
              <w:pStyle w:val="TableContents"/>
              <w:bidi w:val="0"/>
              <w:spacing w:before="0" w:after="283"/>
              <w:jc w:val="left"/>
              <w:rPr>
                <w:b/>
              </w:rPr>
            </w:pPr>
            <w:r>
              <w:rPr>
                <w:b/>
              </w:rPr>
              <w:t>Underwriter</w:t>
            </w:r>
          </w:p>
        </w:tc>
        <w:tc>
          <w:tcPr>
            <w:tcW w:w="751" w:type="dxa"/>
            <w:tcBorders/>
            <w:vAlign w:val="bottom"/>
          </w:tcPr>
          <w:p>
            <w:pPr>
              <w:pStyle w:val="TableContents"/>
              <w:bidi w:val="0"/>
              <w:spacing w:before="0" w:after="283"/>
              <w:jc w:val="left"/>
              <w:rPr/>
            </w:pPr>
            <w:r>
              <w:rPr/>
              <w:t>  </w:t>
            </w:r>
          </w:p>
        </w:tc>
        <w:tc>
          <w:tcPr>
            <w:tcW w:w="2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 Notes</w:t>
            </w:r>
          </w:p>
        </w:tc>
        <w:tc>
          <w:tcPr>
            <w:tcW w:w="63"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7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2471" w:type="dxa"/>
            <w:tcBorders/>
            <w:shd w:fill="CCEEFF" w:val="clear"/>
            <w:vAlign w:val="bottom"/>
          </w:tcPr>
          <w:p>
            <w:pPr>
              <w:pStyle w:val="TableContents"/>
              <w:bidi w:val="0"/>
              <w:spacing w:before="0" w:after="283"/>
              <w:jc w:val="right"/>
              <w:rPr/>
            </w:pPr>
            <w:r>
              <w:rPr/>
              <w:t>150,000,000</w:t>
            </w:r>
          </w:p>
        </w:tc>
        <w:tc>
          <w:tcPr>
            <w:tcW w:w="63"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2471" w:type="dxa"/>
            <w:tcBorders/>
            <w:vAlign w:val="bottom"/>
          </w:tcPr>
          <w:p>
            <w:pPr>
              <w:pStyle w:val="TableContents"/>
              <w:bidi w:val="0"/>
              <w:spacing w:before="0" w:after="283"/>
              <w:jc w:val="right"/>
              <w:rPr/>
            </w:pPr>
            <w:r>
              <w:rPr/>
              <w:t>120,000,000</w:t>
            </w:r>
          </w:p>
        </w:tc>
        <w:tc>
          <w:tcPr>
            <w:tcW w:w="63"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7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2471" w:type="dxa"/>
            <w:tcBorders/>
            <w:shd w:fill="CCEEFF" w:val="clear"/>
            <w:vAlign w:val="bottom"/>
          </w:tcPr>
          <w:p>
            <w:pPr>
              <w:pStyle w:val="TableContents"/>
              <w:bidi w:val="0"/>
              <w:spacing w:before="0" w:after="283"/>
              <w:jc w:val="right"/>
              <w:rPr/>
            </w:pPr>
            <w:r>
              <w:rPr/>
              <w:t>65,000,000</w:t>
            </w:r>
          </w:p>
        </w:tc>
        <w:tc>
          <w:tcPr>
            <w:tcW w:w="63"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2471" w:type="dxa"/>
            <w:tcBorders/>
            <w:vAlign w:val="bottom"/>
          </w:tcPr>
          <w:p>
            <w:pPr>
              <w:pStyle w:val="TableContents"/>
              <w:bidi w:val="0"/>
              <w:spacing w:before="0" w:after="283"/>
              <w:jc w:val="right"/>
              <w:rPr/>
            </w:pPr>
            <w:r>
              <w:rPr/>
              <w:t>65,000,000</w:t>
            </w:r>
          </w:p>
        </w:tc>
        <w:tc>
          <w:tcPr>
            <w:tcW w:w="63"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7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2471" w:type="dxa"/>
            <w:tcBorders/>
            <w:shd w:fill="CCEEFF" w:val="clear"/>
            <w:vAlign w:val="bottom"/>
          </w:tcPr>
          <w:p>
            <w:pPr>
              <w:pStyle w:val="TableContents"/>
              <w:bidi w:val="0"/>
              <w:spacing w:before="0" w:after="283"/>
              <w:jc w:val="right"/>
              <w:rPr/>
            </w:pPr>
            <w:r>
              <w:rPr/>
              <w:t>52,500,000</w:t>
            </w:r>
          </w:p>
        </w:tc>
        <w:tc>
          <w:tcPr>
            <w:tcW w:w="63"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2471" w:type="dxa"/>
            <w:tcBorders/>
            <w:vAlign w:val="bottom"/>
          </w:tcPr>
          <w:p>
            <w:pPr>
              <w:pStyle w:val="TableContents"/>
              <w:bidi w:val="0"/>
              <w:spacing w:before="0" w:after="283"/>
              <w:jc w:val="right"/>
              <w:rPr/>
            </w:pPr>
            <w:r>
              <w:rPr/>
              <w:t>20,000,000</w:t>
            </w:r>
          </w:p>
        </w:tc>
        <w:tc>
          <w:tcPr>
            <w:tcW w:w="63"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7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2471" w:type="dxa"/>
            <w:tcBorders/>
            <w:shd w:fill="CCEEFF" w:val="clear"/>
            <w:vAlign w:val="bottom"/>
          </w:tcPr>
          <w:p>
            <w:pPr>
              <w:pStyle w:val="TableContents"/>
              <w:bidi w:val="0"/>
              <w:spacing w:before="0" w:after="283"/>
              <w:jc w:val="right"/>
              <w:rPr/>
            </w:pPr>
            <w:r>
              <w:rPr/>
              <w:t>20,000,000</w:t>
            </w:r>
          </w:p>
        </w:tc>
        <w:tc>
          <w:tcPr>
            <w:tcW w:w="63"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2471" w:type="dxa"/>
            <w:tcBorders/>
            <w:vAlign w:val="bottom"/>
          </w:tcPr>
          <w:p>
            <w:pPr>
              <w:pStyle w:val="TableContents"/>
              <w:bidi w:val="0"/>
              <w:spacing w:before="0" w:after="283"/>
              <w:jc w:val="right"/>
              <w:rPr/>
            </w:pPr>
            <w:r>
              <w:rPr/>
              <w:t>7,500,000</w:t>
            </w:r>
          </w:p>
        </w:tc>
        <w:tc>
          <w:tcPr>
            <w:tcW w:w="63"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24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2471"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247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notes to the public at the public offering price set forth on the cover page of this prospectus supplement and to dealers at that price less a concession not in excess of 1.65% of the principal amount of the notes.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the underwriting discount that we are to pay to the underwriters in connection with this offering and the proceeds before expenses to us. The per note public offering price, underwriting discount and proceeds before expenses to us are expressed as a percentage of the principal amount of the notes. The information assumes either no exercise or full exercise by the underwriters of their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5"/>
        <w:gridCol w:w="213"/>
        <w:gridCol w:w="64"/>
        <w:gridCol w:w="974"/>
        <w:gridCol w:w="277"/>
        <w:gridCol w:w="165"/>
        <w:gridCol w:w="192"/>
        <w:gridCol w:w="1698"/>
        <w:gridCol w:w="60"/>
        <w:gridCol w:w="212"/>
        <w:gridCol w:w="140"/>
        <w:gridCol w:w="1381"/>
        <w:gridCol w:w="64"/>
      </w:tblGrid>
      <w:tr>
        <w:trPr/>
        <w:tc>
          <w:tcPr>
            <w:tcW w:w="476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6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Without</w:t>
              <w:br/>
              <w:t>Option Exercise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With Full</w:t>
              <w:br/>
              <w:t>Option</w:t>
              <w:br/>
              <w:t>Exercise</w:t>
            </w:r>
          </w:p>
        </w:tc>
        <w:tc>
          <w:tcPr>
            <w:tcW w:w="64" w:type="dxa"/>
            <w:tcBorders/>
            <w:vAlign w:val="bottom"/>
          </w:tcPr>
          <w:p>
            <w:pPr>
              <w:pStyle w:val="TableContents"/>
              <w:bidi w:val="0"/>
              <w:spacing w:before="0" w:after="283"/>
              <w:jc w:val="left"/>
              <w:rPr/>
            </w:pPr>
            <w:r>
              <w:rPr/>
              <w:t> </w:t>
            </w:r>
          </w:p>
        </w:tc>
      </w:tr>
      <w:tr>
        <w:trPr/>
        <w:tc>
          <w:tcPr>
            <w:tcW w:w="4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100.000</w:t>
            </w:r>
          </w:p>
        </w:tc>
        <w:tc>
          <w:tcPr>
            <w:tcW w:w="27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69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575,000,000</w:t>
            </w:r>
          </w:p>
        </w:tc>
        <w:tc>
          <w:tcPr>
            <w:tcW w:w="64" w:type="dxa"/>
            <w:tcBorders/>
            <w:shd w:fill="CCEEFF" w:val="clear"/>
            <w:vAlign w:val="bottom"/>
          </w:tcPr>
          <w:p>
            <w:pPr>
              <w:pStyle w:val="TableContents"/>
              <w:bidi w:val="0"/>
              <w:spacing w:before="0" w:after="283"/>
              <w:jc w:val="left"/>
              <w:rPr/>
            </w:pPr>
            <w:r>
              <w:rPr/>
              <w:t> </w:t>
            </w:r>
          </w:p>
        </w:tc>
      </w:tr>
      <w:tr>
        <w:trPr/>
        <w:tc>
          <w:tcPr>
            <w:tcW w:w="476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2.750</w:t>
            </w:r>
          </w:p>
        </w:tc>
        <w:tc>
          <w:tcPr>
            <w:tcW w:w="27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698" w:type="dxa"/>
            <w:tcBorders/>
            <w:vAlign w:val="bottom"/>
          </w:tcPr>
          <w:p>
            <w:pPr>
              <w:pStyle w:val="TableContents"/>
              <w:bidi w:val="0"/>
              <w:spacing w:before="0" w:after="283"/>
              <w:jc w:val="right"/>
              <w:rPr/>
            </w:pPr>
            <w:r>
              <w:rPr/>
              <w:t>13,750,000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81" w:type="dxa"/>
            <w:tcBorders/>
            <w:vAlign w:val="bottom"/>
          </w:tcPr>
          <w:p>
            <w:pPr>
              <w:pStyle w:val="TableContents"/>
              <w:bidi w:val="0"/>
              <w:spacing w:before="0" w:after="283"/>
              <w:jc w:val="right"/>
              <w:rPr/>
            </w:pPr>
            <w:r>
              <w:rPr/>
              <w:t>15,812,500</w:t>
            </w:r>
          </w:p>
        </w:tc>
        <w:tc>
          <w:tcPr>
            <w:tcW w:w="64" w:type="dxa"/>
            <w:tcBorders/>
            <w:vAlign w:val="bottom"/>
          </w:tcPr>
          <w:p>
            <w:pPr>
              <w:pStyle w:val="TableContents"/>
              <w:bidi w:val="0"/>
              <w:spacing w:before="0" w:after="283"/>
              <w:jc w:val="left"/>
              <w:rPr/>
            </w:pPr>
            <w:r>
              <w:rPr/>
              <w:t> </w:t>
            </w:r>
          </w:p>
        </w:tc>
      </w:tr>
      <w:tr>
        <w:trPr/>
        <w:tc>
          <w:tcPr>
            <w:tcW w:w="4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97.250</w:t>
            </w:r>
          </w:p>
        </w:tc>
        <w:tc>
          <w:tcPr>
            <w:tcW w:w="27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698" w:type="dxa"/>
            <w:tcBorders/>
            <w:shd w:fill="CCEEFF" w:val="clear"/>
            <w:vAlign w:val="bottom"/>
          </w:tcPr>
          <w:p>
            <w:pPr>
              <w:pStyle w:val="TableContents"/>
              <w:bidi w:val="0"/>
              <w:spacing w:before="0" w:after="283"/>
              <w:jc w:val="right"/>
              <w:rPr/>
            </w:pPr>
            <w:r>
              <w:rPr/>
              <w:t>486,250,000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559,187,500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expenses of the offering, not including the underwriting discount, payable by us are estimated to be approximately $500,000. We have also agreed to reimburse the underwriters for certain of their expenses in an amount up to $15,000, and the underwriters have agreed to reimburse us for certain expenses incurred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Over-Allotment Option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an additional $75,000,000 aggregate principal amount of the notes from us, at the public offering price, less the underwriting discounts and commissions. The underwriters may exercise the over-allotment option solely for the purpose of covering over-allotments, if any. To the extent the over-allotment option is exercised, each underwriter will become obligated, subject to conditions contained in the underwriting agreement, to purchase an additional aggregate principal amount of notes approximately proportionate to that underwriter’s initial purchase commitment reflected in the above table. Any notes issued or sold under the over-allotment option will be issued or sold on the same terms and conditions as the other notes that are the subject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subject to limited exceptions (including the notes to be sold to the underwriters in this offering and any shares of our common stock to be issued upon conversion of the notes, the shares of our common stock to be sold in the concurrent equity offering, shares of our common stock upon the exercise of the pre-funded warrants, and sales of our common stock under our Sales Agreement, provided no such sales shall be made for 30 days from the date of this prospectus supplement), that we will not: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in each case without the prior written consent of Jefferies LLC and Leerink Partners LLC, for a period continuing to and including the date 60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have entered into lock-up agreements with the underwriters prior to commencement of this offering pursuant to which each of these persons, with limited exceptions, for a period continuing to and including the date 60 days after the date of this prospectus supplement, may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common stock, or exercise any right with respect to the registration of any shares of our common stock or any securities convertible into or exercisable or exchangeable for our common stock, or file, cause to be filed or cause to be confidentially submitted any registration statement in connection therewith, under the Securities Act, or (ii) enter into any swap or any other agreement or any transaction that transfers, in whole or in part, directly or indirectly, the economic consequence of ownership of our common stock or any securities convertible into or exercisable or exchangeable for our common stock, whether any such swap or transaction is to be settled by delivery of common stock or other securities, in cash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Absence of a Public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established trading market for the notes. We do not intend to apply for the notes to be listed on any securities exchange or to arrange for the notes to be quoted on any quotation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of the underwriters have advised us that they intend to make a market in the notes, but they are not obligated to do so and they may discontinue any market-making in the notes at any time in their sole discretion without notice. Accordingly, we cannot assure you that a liquid trading market will develop for the notes. If an active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performance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notes is completed, SEC rules may limit underwriters and selling group members from bidding for and purchasing the notes and our common stock. However, the representatives may engage in transactions that stabilize the price of our common stock or the notes,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the notes and our common stock in the open market. These transactions may include short sales, purchases on the open market to cover positions created by short sales and stabilizing transactions. Short sales involve the sale by the underwriters of a greater principal amount of notes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notes in the open market. In determining the source of notes to close out the covered short position, the underwriters will consider, among other things, the price of notes available for purchase in the open market as compared to the price at which they may purchase notes through the over-allotment option granted to them. “Naked” short sales are sales in excess of such option.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the offering. Stabilizing transactions consist of various bids for or purchases of notes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the notes or our common stock or preventing or retarding a decline in the market price of the notes or our common stock. As a result, the price of the notes or our common stock may be higher than the price that might otherwise exist in the open market. The underwriters may conduct these transactions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the notes or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Settlement</w:t>
      </w:r>
    </w:p>
    <w:p>
      <w:pPr>
        <w:pStyle w:val="TextBody"/>
        <w:bidi w:val="0"/>
        <w:spacing w:before="120" w:after="0"/>
        <w:jc w:val="left"/>
        <w:rPr>
          <w:rFonts w:ascii="Times New Roman" w:hAnsi="Times New Roman"/>
          <w:sz w:val="20"/>
        </w:rPr>
      </w:pPr>
      <w:r>
        <w:rPr>
          <w:rFonts w:ascii="Times New Roman" w:hAnsi="Times New Roman"/>
          <w:sz w:val="20"/>
        </w:rPr>
        <w:t>We expect to deliver the notes in book-entry form through the facilities of DTC on or about October 9, 2026, which will be the second business day after the initial trade date for the notes (this settlement cycle being referred to as “T+2”). Under Rule 15c6-1 under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In connection with the offering, certain of the underwriters or securities dealers may distribute prospectuses by electronic means, such as e-mail.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For example, Leerink Partners LLC also serves as sales agent pursuant to our Sales Agreement for our “at-the-market”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certain of the underwriters in this offering are also acting as underwriters in the concurrent equity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Concurrent Equity Offering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conducting a public offering of 7,412,500 shares of our common stock and pre-funded warrants to purchase 400,000 shares of our common stock, plus up to an additional 1,171,875 shares of our common stock if the underwriters in the concurrent equity offering exercise in full their option to purchase additional shares of common stock. Neither this offering nor the concurrent equity offering is conditioned upon the completion of the other, so it is possible that this offering occurs and the concurrent equity offering does not occur, or vice versa. We cannot assure you that the concurrent equity offering will be completed on the terms described herein, on significantly different terms or at all. The concurrent equity offering is being made pursuant to a separate prospectus supplement and nothing contained herein shall constitute an offer to sell or the solicitation of an offer to buy the shares of our common stock or the pre-funded warrants to be issued in the concurrent equity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a member state of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these purposes, a “retail investor” means a person who is either one (or both) of the following: (i) not a professional client, as defined in point (8) of Article 2(1) of Regulation (EU) No 600/2014 as it forms part of domestic law by virtue of the European Union (Withdrawal) Act 2018 (the “EUWA”); or (ii) not a “qualified investor” as defined in paragraph 15 of Schedule 1 to the Public Offers and Admissions to Trading Regulations 2024 (the “POATRs”).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and does not constitute, an offer to the public or a solicitation to purchase or invest in the notes described herein. The notes have not been and will not be publicly offered, directly or indirectly, in Switzerland, within the meaning of the Swiss Financial Services Act (“FinSA”) except to any investor that qualifies as a professional client within the meaning of FinSA. The notes have not been and shall not be admitted to any trading venue (exchange or multilateral trading facility) in Switzerland. </w:t>
      </w:r>
    </w:p>
    <w:p>
      <w:pPr>
        <w:pStyle w:val="TextBody"/>
        <w:bidi w:val="0"/>
        <w:spacing w:before="240" w:after="0"/>
        <w:jc w:val="left"/>
        <w:rPr>
          <w:rFonts w:ascii="Times New Roman" w:hAnsi="Times New Roman"/>
          <w:sz w:val="20"/>
        </w:rPr>
      </w:pPr>
      <w:r>
        <w:rPr>
          <w:rFonts w:ascii="Times New Roman" w:hAnsi="Times New Roman"/>
          <w:sz w:val="20"/>
        </w:rPr>
        <w:t>Neither this prospectus supplement nor any other offering or marketing material relating to the notes (x) constitutes a prospectus pursuant to article 35 of FinSA for a public offering of the notes in Switzerland and no such prospectus has been or will be prepared for or in connection with the offering of the notes in Switzerland or (y) has been or will be filed with or approved by a Swiss review body (</w:t>
      </w:r>
      <w:r>
        <w:rPr>
          <w:rFonts w:ascii="Times New Roman" w:hAnsi="Times New Roman"/>
          <w:i/>
          <w:sz w:val="20"/>
        </w:rPr>
        <w:t>Prüfstelle</w:t>
      </w:r>
      <w:r>
        <w:rPr>
          <w:rFonts w:ascii="Times New Roman" w:hAnsi="Times New Roman"/>
          <w:sz w:val="20"/>
        </w:rPr>
        <w:t xml:space="preserve">) pursuant to article 52 of FinSA.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offered to any person in the Dubai International Financial Centre, or the DIFC, unless such offer is: (i) an “Exempt Offer” in accordance with the Markets Rules (MKT) Module of the Dubai Financial Services Authority, or the DFSA, rulebook; and (ii) made only to persons who meet the Professional Client criteria set out in Rule 2.3.3 of the Conduct of Business (COB) Module of the DFSA rulebook.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or invitation to the public for the purpose of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This prospectus supplement has not been registered with the Registrar of Companies in Hong Kong. Accordingly, this prospectus supplement may not be issued, circulated or distributed in Hong Kong, and the notes may not be offered for subscription to members of the public in Hong Kong. Each person acquiring the notes will be required, and is deemed by the acquisition of the notes, to confirm that he is aware of the restriction on offers of the notes described in this prospectus supplement and the relevant offering documents and that he is not acquiring, and has not been offered any notes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 Any reference to the “SFA” is a reference to the Securities and Futures Act 2001 of Singapore, as modified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x177446_11a"/>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being offered by this prospectus supplement will be passed upon for us by Skadden, Arps, Slate, Meagher &amp; Flom LLP, New York, New York. Latham &amp; Watkins LLP, Redwood City, California, is acting as counsel to the underwriters in connection with this offering. </w:t>
      </w:r>
    </w:p>
    <w:p>
      <w:pPr>
        <w:pStyle w:val="TextBody"/>
        <w:bidi w:val="0"/>
        <w:spacing w:before="480" w:after="0"/>
        <w:jc w:val="center"/>
        <w:rPr>
          <w:rFonts w:ascii="Times New Roman" w:hAnsi="Times New Roman"/>
          <w:b/>
          <w:sz w:val="20"/>
        </w:rPr>
      </w:pPr>
      <w:bookmarkStart w:id="15" w:name="supptx177446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as of December 31, 2025 and 2024, and for each of the three years in the period ended December 31, 2025, incorporated by reference in this prospectus supplement by reference to Vaxcyte, Inc.’s annual report on Form 10-K for the year ended December 31, 2025,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480" w:after="0"/>
        <w:jc w:val="center"/>
        <w:rPr>
          <w:rFonts w:ascii="Times New Roman" w:hAnsi="Times New Roman"/>
          <w:b/>
          <w:sz w:val="20"/>
        </w:rPr>
      </w:pPr>
      <w:bookmarkStart w:id="16" w:name="supptx177446_12a"/>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https://www.vaxcyte.com. Information contained on, or that can be accessed through, our website is not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the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supptx177446_13"/>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accompanying prospectus or a previously filed document incorporated by reference will be deemed to be modified or superseded for purposes of this prospectus supplement and accompanying prospectus to the extent that a statement contained in this prospectus supplement and accompanying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We incorporate by reference our documents listed below and any future filings made by us with the SEC under Sections 13(a), 13(c), 14 or 15(d) of the Exchange Act in this prospectus supplement and accompanying prospectus,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accompanying prospectus incorporates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1">
              <w:r>
                <w:rPr>
                  <w:rStyle w:val="InternetLink"/>
                  <w:rFonts w:ascii="Times New Roman" w:hAnsi="Times New Roman"/>
                  <w:sz w:val="20"/>
                </w:rPr>
                <w:t>March 31, 2026</w:t>
              </w:r>
            </w:hyperlink>
            <w:r>
              <w:rPr>
                <w:rFonts w:ascii="Times New Roman" w:hAnsi="Times New Roman"/>
                <w:sz w:val="20"/>
              </w:rPr>
              <w:t xml:space="preserve">, filed with the SEC on May 6, 2026, and </w:t>
            </w:r>
            <w:hyperlink r:id="rId12">
              <w:r>
                <w:rPr>
                  <w:rStyle w:val="InternetLink"/>
                  <w:rFonts w:ascii="Times New Roman" w:hAnsi="Times New Roman"/>
                  <w:sz w:val="20"/>
                </w:rPr>
                <w:t>June 30, 2026</w:t>
              </w:r>
            </w:hyperlink>
            <w:r>
              <w:rPr>
                <w:rFonts w:ascii="Times New Roman" w:hAnsi="Times New Roman"/>
                <w:sz w:val="20"/>
              </w:rPr>
              <w:t xml:space="preserve">, filed with the SEC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16">
              <w:r>
                <w:rPr>
                  <w:rStyle w:val="InternetLink"/>
                  <w:rFonts w:ascii="Times New Roman" w:hAnsi="Times New Roman"/>
                  <w:sz w:val="20"/>
                </w:rPr>
                <w:t>Exhibit 4.2</w:t>
              </w:r>
            </w:hyperlink>
            <w:r>
              <w:rPr>
                <w:rFonts w:ascii="Times New Roman" w:hAnsi="Times New Roman"/>
                <w:sz w:val="20"/>
              </w:rPr>
              <w:t xml:space="preserve"> to our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February 2, 2026</w:t>
              </w:r>
            </w:hyperlink>
            <w:r>
              <w:rPr>
                <w:rFonts w:ascii="Times New Roman" w:hAnsi="Times New Roman"/>
                <w:sz w:val="20"/>
              </w:rPr>
              <w:t xml:space="preserve">, </w:t>
            </w:r>
            <w:hyperlink r:id="rId19">
              <w:r>
                <w:rPr>
                  <w:rStyle w:val="InternetLink"/>
                  <w:rFonts w:ascii="Times New Roman" w:hAnsi="Times New Roman"/>
                  <w:sz w:val="20"/>
                </w:rPr>
                <w:t>February  24, 2026</w:t>
              </w:r>
            </w:hyperlink>
            <w:r>
              <w:rPr>
                <w:rFonts w:ascii="Times New Roman" w:hAnsi="Times New Roman"/>
                <w:sz w:val="20"/>
              </w:rPr>
              <w:t xml:space="preserve">, </w:t>
            </w:r>
            <w:hyperlink r:id="rId20">
              <w:r>
                <w:rPr>
                  <w:rStyle w:val="InternetLink"/>
                  <w:rFonts w:ascii="Times New Roman" w:hAnsi="Times New Roman"/>
                  <w:sz w:val="20"/>
                </w:rPr>
                <w:t>June  16, 2026</w:t>
              </w:r>
            </w:hyperlink>
            <w:r>
              <w:rPr>
                <w:rFonts w:ascii="Times New Roman" w:hAnsi="Times New Roman"/>
                <w:sz w:val="20"/>
              </w:rPr>
              <w:t xml:space="preserve">, </w:t>
            </w:r>
            <w:hyperlink r:id="rId21">
              <w:r>
                <w:rPr>
                  <w:rStyle w:val="InternetLink"/>
                  <w:rFonts w:ascii="Times New Roman" w:hAnsi="Times New Roman"/>
                  <w:sz w:val="20"/>
                </w:rPr>
                <w:t>June  23, 2026</w:t>
              </w:r>
            </w:hyperlink>
            <w:r>
              <w:rPr>
                <w:rFonts w:ascii="Times New Roman" w:hAnsi="Times New Roman"/>
                <w:sz w:val="20"/>
              </w:rPr>
              <w:t xml:space="preserve">, </w:t>
            </w:r>
            <w:hyperlink r:id="rId22">
              <w:r>
                <w:rPr>
                  <w:rStyle w:val="InternetLink"/>
                  <w:rFonts w:ascii="Times New Roman" w:hAnsi="Times New Roman"/>
                  <w:sz w:val="20"/>
                </w:rPr>
                <w:t>July  15, 2026</w:t>
              </w:r>
            </w:hyperlink>
            <w:r>
              <w:rPr>
                <w:rFonts w:ascii="Times New Roman" w:hAnsi="Times New Roman"/>
                <w:sz w:val="20"/>
              </w:rPr>
              <w:t xml:space="preserve">, </w:t>
            </w:r>
            <w:hyperlink r:id="rId23">
              <w:r>
                <w:rPr>
                  <w:rStyle w:val="InternetLink"/>
                  <w:rFonts w:ascii="Times New Roman" w:hAnsi="Times New Roman"/>
                  <w:sz w:val="20"/>
                </w:rPr>
                <w:t>September  3, 2026</w:t>
              </w:r>
            </w:hyperlink>
            <w:r>
              <w:rPr>
                <w:rFonts w:ascii="Times New Roman" w:hAnsi="Times New Roman"/>
                <w:sz w:val="20"/>
              </w:rPr>
              <w:t xml:space="preserve"> (with respect to Item 5.02 only), and </w:t>
            </w:r>
            <w:hyperlink r:id="rId24">
              <w:r>
                <w:rPr>
                  <w:rStyle w:val="InternetLink"/>
                  <w:rFonts w:ascii="Times New Roman" w:hAnsi="Times New Roman"/>
                  <w:sz w:val="20"/>
                </w:rPr>
                <w:t>October 5, 2026</w:t>
              </w:r>
            </w:hyperlink>
            <w:r>
              <w:rPr>
                <w:rFonts w:ascii="Times New Roman" w:hAnsi="Times New Roman"/>
                <w:sz w:val="20"/>
              </w:rPr>
              <w:t xml:space="preserve"> (with respect to Item 8.01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supplement but not delivered with this prospectus supplement, including exhibits which are specifically incorporated by reference into such documents. You should direct any requests for documents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(650) 837-0111</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4015" cy="4883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5"/>
                    <a:stretch>
                      <a:fillRect/>
                    </a:stretch>
                  </pic:blipFill>
                  <pic:spPr bwMode="auto">
                    <a:xfrm>
                      <a:off x="0" y="0"/>
                      <a:ext cx="2914015" cy="4883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the applicable prospectus supplement and any related free writing prospectus,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77446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AND IN ANY FREE WRITING PROSPECTUS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On May 23, 2024, the last reported sale price of our common stock on the Nasdaq Global Select Market was $69.27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77446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U.S. Securities and Exchange Commission, or the SEC, as a “well-known seasoned issuer” as defined in Rule 405 under the Securities Act of 1933, as amended, which we refer to as the “Securities Act” in this prospectus,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“Vaxcyte,” “we,” “our,” “us” and the “Company” in this prospectus, we mean Vaxcyte, Inc.,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includes trademarks, tradenames and service marks that are the property of other organizations. Solely for convenience, trademarks and tradenames referred to in this prospectus appear without the ® and TM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177446_2"/>
      <w:bookmarkEnd w:id="20"/>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www.vaxcyte.com.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an automatic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have previously been filed with the SEC (Commission No. 001-39323):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6">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on March 31, 2024, filed with the SEC on </w:t>
            </w:r>
            <w:hyperlink r:id="rId27">
              <w:r>
                <w:rPr>
                  <w:rStyle w:val="InternetLink"/>
                  <w:rFonts w:ascii="Times New Roman" w:hAnsi="Times New Roman"/>
                  <w:sz w:val="20"/>
                </w:rPr>
                <w:t>May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8">
              <w:r>
                <w:rPr>
                  <w:rStyle w:val="InternetLink"/>
                  <w:rFonts w:ascii="Times New Roman" w:hAnsi="Times New Roman"/>
                  <w:sz w:val="20"/>
                </w:rPr>
                <w:t>Form  10-K</w:t>
              </w:r>
            </w:hyperlink>
            <w:r>
              <w:rPr>
                <w:rFonts w:ascii="Times New Roman" w:hAnsi="Times New Roman"/>
                <w:sz w:val="20"/>
              </w:rPr>
              <w:t xml:space="preserve"> for the year ended December  31, 2023 from our Definitive Proxy Statement on </w:t>
            </w:r>
            <w:hyperlink r:id="rId29">
              <w:r>
                <w:rPr>
                  <w:rStyle w:val="InternetLink"/>
                  <w:rFonts w:ascii="Times New Roman" w:hAnsi="Times New Roman"/>
                  <w:sz w:val="20"/>
                </w:rPr>
                <w:t>Schedule 14A</w:t>
              </w:r>
            </w:hyperlink>
            <w:r>
              <w:rPr>
                <w:rFonts w:ascii="Times New Roman" w:hAnsi="Times New Roman"/>
                <w:sz w:val="20"/>
              </w:rPr>
              <w:t xml:space="preserve">, filed with the SEC on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30">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31">
              <w:r>
                <w:rPr>
                  <w:rStyle w:val="InternetLink"/>
                  <w:rFonts w:ascii="Times New Roman" w:hAnsi="Times New Roman"/>
                  <w:sz w:val="20"/>
                </w:rPr>
                <w:t>Exhibit 4.2</w:t>
              </w:r>
            </w:hyperlink>
            <w:r>
              <w:rPr>
                <w:rFonts w:ascii="Times New Roman" w:hAnsi="Times New Roman"/>
                <w:sz w:val="20"/>
              </w:rPr>
              <w:t xml:space="preserve"> to our Annual Report on Form 10-K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32">
              <w:r>
                <w:rPr>
                  <w:rStyle w:val="InternetLink"/>
                  <w:rFonts w:ascii="Times New Roman" w:hAnsi="Times New Roman"/>
                  <w:sz w:val="20"/>
                </w:rPr>
                <w:t>January 31,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 xml:space="preserve">(650) 837-0111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77446_3"/>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w:t>
      </w:r>
    </w:p>
    <w:p>
      <w:pPr>
        <w:pStyle w:val="TextBody"/>
        <w:bidi w:val="0"/>
        <w:spacing w:before="240" w:after="0"/>
        <w:jc w:val="left"/>
        <w:rPr>
          <w:rFonts w:ascii="Times New Roman" w:hAnsi="Times New Roman"/>
          <w:sz w:val="20"/>
        </w:rPr>
      </w:pPr>
      <w:r>
        <w:rPr>
          <w:rFonts w:ascii="Times New Roman" w:hAnsi="Times New Roman"/>
          <w:sz w:val="20"/>
        </w:rPr>
        <w:t xml:space="preserve">Vaccines are one of the most successful and cost-effective global health interventions and prevent millions of deaths worldwide each year. Routine pediatric vaccinations in the United States are estimated to prevent 20 million cases of disease each year, and it is estimated that every $1 spent on childhood vaccination saves $10 from a societal perspective.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There are areas of significant unmet medical need, including vaccines that can provide broader protection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rPr>
      </w:pPr>
      <w:r>
        <w:rPr>
          <w:rFonts w:ascii="Times New Roman" w:hAnsi="Times New Roman"/>
          <w:sz w:val="2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November 2013 as SutroVax, Inc. and changed our name to Vaxcyte, Inc. in May 2020. Our principal executive office is located at 825 Industrial Road, Suite 300, 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Our telephone number is (650) 837-0111. Our website address is www.vaxcyte.com. Information contained on, or that can be accessed through, our website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77446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the applicable prospectus supplement and any related free writing prospectus involves risks. You should carefully consider the risk factors incorporated by reference from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free writing prospectus before acquiring any of such securities. The occurrence of any of these risks might cause you to lose all or part of your investment in the offered securities. Please also carefully read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77446_5"/>
      <w:bookmarkEnd w:id="2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as well as the documents incorporated by reference in this prospectus or any accompanying prospectus supplement, contain forward-looking statements within the meaning of Section 21E of the Exchange Act. All statements other than statements of historical facts contained in this prospectus, any accompanying prospectus supplement and the documents incorporated by reference,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accompanying prospectus supplement and the documents incorporated by reference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The forward-looking statements in this prospectus, any accompanying prospectus supplement and the documents incorporated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the document containing the applicable statement and are subject to a number of risks, uncertainties and assumptions, which we discuss in greater detail in the documents incorporated by reference,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any accompanying prospectus supplement or the documents incorporated by reference,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77446_6"/>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77446_7"/>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77446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510,000,000 shares, all with a par value of $0.001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will be available for issuance by our board of directors without any further stockholder action, except as required by the listing standards of the Nasdaq Stock Market.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shares may have voting or conversion rights that could have the effect of restricting dividends on our shares of common stock, diluting the voting power of our shares of common stock, impairing the rights of our shares of common stock in the event of our dissolution, liquidation or winding-up or otherwise adversely affect the rights of holders of our shares of common stock. The issuance of preferred shares, while providing flexibility in connection with possible acquisitions and other corporate purposes, could, among other things, have the effect of delaying, deferring or preventing a change of control and may adversely affect the market price of our shares of common stock and may preclude stockholders from realizing a potential premium over the market value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rights, qualifications, limitations and restrictions of each series of preferred stock that we offer under this prospectus and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state of our incorporation, provides that the holders of preferred stock will have the right to vote separately as a class (or, in some cases, as a series)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to our amended and restated certificate of incorporation if the amendment would change the par value or, unless the amended and restated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will, to the fullest extent permitted by applicable law, be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employees to us or our stockholders; (iii) any action or proceeding asserting a claim against us or any of our current or former directors, officers or employees arising out of or pursuant to any provision of the DGCL or our certificate of incorporation or bylaws; (iv) any action or proceeding to interpret, apply, enforce or determine the validity of our certificate of incorporation or bylaws; (v) any action or proceeding as to which the DGCL confers jurisdiction to the Court of Chancery of the State of Delaware; or (vi) any action or proceeding asserting a claim against us or any of our current or former directors, officers or employees governed by the internal affairs doctrine. This provision does not apply to suits brought to enforce a duty or liability created by the Securities Act,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holding, owning, purchasing or otherwise acquiring any interest in any of our securities will be deemed to have notice of and to have consented to these choice of forum provisions. While the Delaware courts have determined that such choice of forum provisions are facially valid, it is possible that a court of law in another jurisdiction could rule that the choice of forum provisions to be contained in our amended and restated certificate of incorporation are inapplicable or unenforceable if they are challenged in a proceeding or otherwise. If a court were to find the choice of forum provision that will be contained in our amended and restated certificate of incorporation to be inapplicable or unenforceable in an action, we may incur additional costs associated with resolving such action in other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requires approval by holders of at least two-thirds of the total voting power of all of our outstanding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6201 15th Avenue, Brooklyn, New York 11219.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77446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w:t>
            </w:r>
            <w:r>
              <w:rPr>
                <w:rFonts w:ascii="Times New Roman" w:hAnsi="Times New Roman"/>
                <w:i/>
                <w:sz w:val="20"/>
              </w:rPr>
              <w:t>provided, however</w:t>
            </w:r>
            <w:r>
              <w:rPr>
                <w:rFonts w:ascii="Times New Roman" w:hAnsi="Times New Roman"/>
                <w:sz w:val="20"/>
              </w:rPr>
              <w:t xml:space="preserve">,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of such series of debt securities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77446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w:t>
      </w:r>
    </w:p>
    <w:p>
      <w:pPr>
        <w:pStyle w:val="TextBody"/>
        <w:bidi w:val="0"/>
        <w:spacing w:before="240" w:after="0"/>
        <w:jc w:val="left"/>
        <w:rPr>
          <w:rFonts w:ascii="Times New Roman" w:hAnsi="Times New Roman"/>
          <w:sz w:val="20"/>
        </w:rPr>
      </w:pPr>
      <w:r>
        <w:rPr>
          <w:rFonts w:ascii="Times New Roman" w:hAnsi="Times New Roman"/>
          <w:sz w:val="20"/>
        </w:rPr>
        <w:t xml:space="preserve">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Vaxcyte.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77446_11"/>
      <w:bookmarkEnd w:id="29"/>
      <w:r>
        <w:rPr>
          <w:rFonts w:ascii="Times New Roman" w:hAnsi="Times New Roman"/>
          <w:b/>
          <w:sz w:val="20"/>
        </w:rPr>
        <w:t xml:space="preserve">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177446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We may sell the securities to or through one or more underwriters or dealers (acting as principal or agent), through agents, or directly to one or more purchasers. </w:t>
      </w:r>
    </w:p>
    <w:p>
      <w:pPr>
        <w:pStyle w:val="TextBody"/>
        <w:bidi w:val="0"/>
        <w:spacing w:before="240" w:after="0"/>
        <w:jc w:val="left"/>
        <w:rPr>
          <w:rFonts w:ascii="Times New Roman" w:hAnsi="Times New Roman"/>
          <w:sz w:val="20"/>
        </w:rPr>
      </w:pPr>
      <w:r>
        <w:rPr>
          <w:rFonts w:ascii="Times New Roman" w:hAnsi="Times New Roman"/>
          <w:sz w:val="20"/>
        </w:rPr>
        <w:t xml:space="preserve">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oc177446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Skadden, Arps, Slate, Meagher &amp; Flom LLP, New York, New York, will pass upon certain legal matters relating to the issuance and sale of the securities offered hereby on behalf of Vaxcyte, Inc. Additional legal matters may be passed upon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oc177446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incorporated by reference in this Prospectus,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32"/>
        </w:rPr>
      </w:pPr>
      <w:r>
        <w:rPr>
          <w:rFonts w:ascii="Times New Roman" w:hAnsi="Times New Roman"/>
          <w:b/>
          <w:sz w:val="32"/>
        </w:rPr>
        <w:t>$500,000,000</w:t>
      </w:r>
      <w:r>
        <w:rPr>
          <w:rFonts w:ascii="Times New Roman" w:hAnsi="Times New Roman"/>
          <w:sz w:val="32"/>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9840" cy="4044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3"/>
                    <a:stretch>
                      <a:fillRect/>
                    </a:stretch>
                  </pic:blipFill>
                  <pic:spPr bwMode="auto">
                    <a:xfrm>
                      <a:off x="0" y="0"/>
                      <a:ext cx="1259840" cy="404495"/>
                    </a:xfrm>
                    <a:prstGeom prst="rect">
                      <a:avLst/>
                    </a:prstGeom>
                  </pic:spPr>
                </pic:pic>
              </a:graphicData>
            </a:graphic>
          </wp:inline>
        </w:drawing>
      </w:r>
      <w:r>
        <w:rPr/>
        <w:t xml:space="preserve"> </w:t>
      </w:r>
    </w:p>
    <w:p>
      <w:pPr>
        <w:pStyle w:val="TextBody"/>
        <w:bidi w:val="0"/>
        <w:spacing w:before="1640" w:after="0"/>
        <w:jc w:val="center"/>
        <w:rPr>
          <w:rFonts w:ascii="Times New Roman" w:hAnsi="Times New Roman"/>
          <w:b/>
          <w:sz w:val="28"/>
        </w:rPr>
      </w:pPr>
      <w:r>
        <w:rPr>
          <w:rFonts w:ascii="Times New Roman" w:hAnsi="Times New Roman"/>
          <w:b/>
          <w:sz w:val="28"/>
        </w:rPr>
        <w:t xml:space="preserve">1.50% Convertible Senior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i/>
          <w:sz w:val="24"/>
        </w:rPr>
      </w:pPr>
      <w:r>
        <w:rPr>
          <w:rFonts w:ascii="Times New Roman" w:hAnsi="Times New Roman"/>
          <w:i/>
          <w:sz w:val="24"/>
        </w:rPr>
        <w:t xml:space="preserve">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87"/>
        <w:gridCol w:w="82"/>
        <w:gridCol w:w="2073"/>
        <w:gridCol w:w="82"/>
        <w:gridCol w:w="1942"/>
        <w:gridCol w:w="82"/>
        <w:gridCol w:w="2862"/>
        <w:gridCol w:w="82"/>
        <w:gridCol w:w="1713"/>
      </w:tblGrid>
      <w:tr>
        <w:trPr/>
        <w:tc>
          <w:tcPr>
            <w:tcW w:w="128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b/>
              </w:rPr>
            </w:pPr>
            <w:r>
              <w:rPr>
                <w:b/>
              </w:rPr>
              <w:t>Jefferies</w:t>
            </w:r>
          </w:p>
        </w:tc>
        <w:tc>
          <w:tcPr>
            <w:tcW w:w="82"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center"/>
              <w:rPr>
                <w:b/>
              </w:rPr>
            </w:pPr>
            <w:r>
              <w:rPr>
                <w:b/>
              </w:rPr>
              <w:t>Leerink Partners</w:t>
            </w:r>
          </w:p>
        </w:tc>
        <w:tc>
          <w:tcPr>
            <w:tcW w:w="82"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center"/>
              <w:rPr>
                <w:b/>
              </w:rPr>
            </w:pPr>
            <w:r>
              <w:rPr>
                <w:b/>
              </w:rPr>
              <w:t>BofA Securities</w:t>
            </w:r>
          </w:p>
        </w:tc>
        <w:tc>
          <w:tcPr>
            <w:tcW w:w="82" w:type="dxa"/>
            <w:tcBorders/>
            <w:vAlign w:val="bottom"/>
          </w:tcPr>
          <w:p>
            <w:pPr>
              <w:pStyle w:val="TableContents"/>
              <w:bidi w:val="0"/>
              <w:spacing w:before="0" w:after="283"/>
              <w:jc w:val="left"/>
              <w:rPr/>
            </w:pPr>
            <w:r>
              <w:rPr/>
              <w:t> </w:t>
            </w:r>
          </w:p>
        </w:tc>
        <w:tc>
          <w:tcPr>
            <w:tcW w:w="2862" w:type="dxa"/>
            <w:tcBorders/>
          </w:tcPr>
          <w:p>
            <w:pPr>
              <w:pStyle w:val="TableContents"/>
              <w:bidi w:val="0"/>
              <w:spacing w:before="0" w:after="283"/>
              <w:jc w:val="center"/>
              <w:rPr>
                <w:b/>
              </w:rPr>
            </w:pPr>
            <w:r>
              <w:rPr>
                <w:b/>
              </w:rPr>
              <w:t>Goldman Sachs &amp; Co. LLC</w:t>
            </w:r>
          </w:p>
        </w:tc>
        <w:tc>
          <w:tcPr>
            <w:tcW w:w="82"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right"/>
              <w:rPr>
                <w:b/>
              </w:rPr>
            </w:pPr>
            <w:r>
              <w:rPr>
                <w:b/>
              </w:rPr>
              <w:t>Evercore ISI</w:t>
            </w:r>
          </w:p>
        </w:tc>
      </w:tr>
    </w:tbl>
    <w:p>
      <w:pPr>
        <w:pStyle w:val="TextBody"/>
        <w:bidi w:val="0"/>
        <w:spacing w:before="240" w:after="0"/>
        <w:jc w:val="center"/>
        <w:rPr>
          <w:rFonts w:ascii="Times New Roman" w:hAnsi="Times New Roman"/>
          <w:i/>
          <w:sz w:val="24"/>
        </w:rPr>
      </w:pPr>
      <w:r>
        <w:rPr>
          <w:rFonts w:ascii="Times New Roman" w:hAnsi="Times New Roman"/>
          <w:i/>
          <w:sz w:val="24"/>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b/>
              </w:rPr>
            </w:pPr>
            <w:r>
              <w:rPr>
                <w:b/>
              </w:rPr>
              <w:t>Guggenheim Securities</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Mizuho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40" w:after="0"/>
        <w:jc w:val="center"/>
        <w:rPr>
          <w:rFonts w:ascii="Times New Roman" w:hAnsi="Times New Roman"/>
          <w:sz w:val="18"/>
        </w:rPr>
      </w:pPr>
      <w:r>
        <w:rPr>
          <w:rFonts w:ascii="Times New Roman" w:hAnsi="Times New Roman"/>
          <w:b/>
          <w:sz w:val="18"/>
        </w:rPr>
        <w:t>Needham &amp; Company</w:t>
      </w:r>
      <w:r>
        <w:rPr>
          <w:rFonts w:ascii="Times New Roman" w:hAnsi="Times New Roman"/>
          <w:sz w:val="18"/>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Financial Advisor to Vaxcyte, Inc. </w:t>
      </w:r>
    </w:p>
    <w:p>
      <w:pPr>
        <w:pStyle w:val="TextBody"/>
        <w:bidi w:val="0"/>
        <w:spacing w:before="40" w:after="0"/>
        <w:jc w:val="center"/>
        <w:rPr>
          <w:rFonts w:ascii="Times New Roman" w:hAnsi="Times New Roman"/>
          <w:sz w:val="18"/>
        </w:rPr>
      </w:pPr>
      <w:r>
        <w:rPr>
          <w:rFonts w:ascii="Times New Roman" w:hAnsi="Times New Roman"/>
          <w:b/>
          <w:sz w:val="18"/>
        </w:rPr>
        <w:t>J. Wood Capital Advisors</w:t>
      </w:r>
      <w:r>
        <w:rPr>
          <w:rFonts w:ascii="Times New Roman" w:hAnsi="Times New Roman"/>
          <w:sz w:val="18"/>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October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77446dexfilingfees.htm"/>
      <w:bookmarkStart w:id="34" w:name="ksd177446dexfilingfees"/>
      <w:bookmarkStart w:id="35" w:name="d177446dexfilingfees.htm"/>
      <w:bookmarkStart w:id="36" w:name="ksd177446dexfilingfees"/>
      <w:bookmarkEnd w:id="35"/>
      <w:bookmarkEnd w:id="36"/>
      <w:r>
        <w:br w:type="page"/>
      </w:r>
    </w:p>
    <w:tbl>
      <w:tblPr>
        <w:tblW w:w="3553" w:type="dxa"/>
        <w:jc w:val="left"/>
        <w:tblInd w:w="0" w:type="dxa"/>
        <w:tblLayout w:type="fixed"/>
        <w:tblCellMar>
          <w:top w:w="28" w:type="dxa"/>
          <w:left w:w="28" w:type="dxa"/>
          <w:bottom w:w="28" w:type="dxa"/>
          <w:right w:w="28" w:type="dxa"/>
        </w:tblCellMar>
      </w:tblPr>
      <w:tblGrid>
        <w:gridCol w:w="3399"/>
        <w:gridCol w:w="154"/>
      </w:tblGrid>
      <w:tr>
        <w:trPr/>
        <w:tc>
          <w:tcPr>
            <w:tcW w:w="355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283"/>
              <w:jc w:val="left"/>
              <w:rPr>
                <w:b/>
              </w:rPr>
            </w:pPr>
            <w:r>
              <w:rPr>
                <w:b/>
              </w:rPr>
              <w:t xml:space="preserve">Vaxcyte,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121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1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16" w:type="dxa"/>
            <w:tcBorders/>
            <w:shd w:fill="E7E7E2" w:val="clear"/>
            <w:vAlign w:val="center"/>
          </w:tcPr>
          <w:p>
            <w:pPr>
              <w:pStyle w:val="TableContents"/>
              <w:bidi w:val="0"/>
              <w:spacing w:before="0" w:after="283"/>
              <w:jc w:val="left"/>
              <w:rPr/>
            </w:pPr>
            <w:r>
              <w:rPr/>
              <w:t xml:space="preserve">Debt Convertible into Equity </w:t>
            </w:r>
          </w:p>
        </w:tc>
        <w:tc>
          <w:tcPr>
            <w:tcW w:w="991" w:type="dxa"/>
            <w:tcBorders/>
            <w:shd w:fill="E7E7E2" w:val="clear"/>
            <w:vAlign w:val="center"/>
          </w:tcPr>
          <w:p>
            <w:pPr>
              <w:pStyle w:val="TableContents"/>
              <w:bidi w:val="0"/>
              <w:spacing w:before="0" w:after="283"/>
              <w:jc w:val="left"/>
              <w:rPr/>
            </w:pPr>
            <w:r>
              <w:rPr/>
              <w:t xml:space="preserve">1.50% Convertible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$ 575,000,000.00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$ 50,025.00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21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$ 575,000,000.00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$ 50,025.00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$ 50,025.00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registered is $575,000,000.00, which represents the aggregate principal amount of 1.50% Convertible Senior Notes due 2032 (the "Notes") whose offer and sale are registered by the registration statement relating to the prospectus supplement to which this exhibit is attached. This amount includes $75,000,000 aggregate principal amount of Notes that may be offered and sold pursuant to the exercise in full of the underwriters' over-allotment option to purchase additional Notes (the "Option Notes"). The amount set forth in the column titled "Maximum Aggregate Offering Price" includes the maximum aggregate offering price attributable to the Option Notes. The registration fee is calculated in accordance with Rule 457(r) under the Securities Act of 1933, as amended (the "Securities Act"). Payment of the registration fee at the time of filing of the registrant's Registration Statement on Form S-3 (File No. 333-279735) on May 24, 2024 was deferred pursuant to Rules 456(b) and 457(r) under the Securities Act and is paid herewith.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The amount registered includes an indeterminate number of shares of common stock, $0.001 par value per share (the "Common Stock"), of Vaxcyte, Inc., issuable upon conversion of the Notes. The initial maximum conversion rate of the Notes is 15.6250 shares of Common Stock per $1,000 principal amount of Notes. Pursuant to Rule 416 under the Securities Act of 1933, as amended (the "Securities Act"), the amount of shares of Common Stock whose offer and sale is registered by the registration statement relating to the prospectus supplement to which this exhibit is attached includes an indeterminate number of shares of Common Stock that may be issued in connection with stock splits, stock dividends, or similar transactions. No additional consideration will be received in connection with the exercise of the conversion privilege of the Notes. Pursuant to Rule 457(i) under the Securities Act, no separate registration fee is required for the shares of Common Stock issuable upon conversion of the Notes because no additional consideration is to be received in connection with the exercise of the conversion privilege of the Notes.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$575,000,000.00.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www.sec.gov/Archives/edgar/data/../../../ix?doc=/Archives/edgar/data/1649094/000164909426000007/pcvx-20251231.htm" TargetMode="External"/><Relationship Id="rId11" Type="http://schemas.openxmlformats.org/officeDocument/2006/relationships/hyperlink" Target="http://www.sec.gov/Archives/edgar/data/../../../ix?doc=/Archives/edgar/data/1649094/000164909426000017/pcvx-20260331.htm" TargetMode="External"/><Relationship Id="rId12" Type="http://schemas.openxmlformats.org/officeDocument/2006/relationships/hyperlink" Target="http://www.sec.gov/Archives/edgar/data/../../../ix?doc=/Archives/edgar/data/1649094/000164909426000043/pcvx-20260630.htm" TargetMode="External"/><Relationship Id="rId13" Type="http://schemas.openxmlformats.org/officeDocument/2006/relationships/hyperlink" Target="http://www.sec.gov/Archives/edgar/data/../../../ix?doc=/Archives/edgar/data/1649094/000164909426000007/pcvx-20251231.htm" TargetMode="External"/><Relationship Id="rId14" Type="http://schemas.openxmlformats.org/officeDocument/2006/relationships/hyperlink" Target="http://www.sec.gov/Archives/edgar/data/../../../ix?doc=/Archives/edgar/data/1649094/000119312526173672/d64525ddef14a.htm" TargetMode="External"/><Relationship Id="rId15" Type="http://schemas.openxmlformats.org/officeDocument/2006/relationships/hyperlink" Target="http://www.sec.gov/Archives/edgar/data/1649094/000119312520164625/d926263d8a12b.htm" TargetMode="External"/><Relationship Id="rId16" Type="http://schemas.openxmlformats.org/officeDocument/2006/relationships/hyperlink" Target="http://www.sec.gov/Archives/edgar/data/1649094/000156459021016110/pcvx-ex42_374.htm" TargetMode="External"/><Relationship Id="rId17" Type="http://schemas.openxmlformats.org/officeDocument/2006/relationships/hyperlink" Target="http://www.sec.gov/Archives/edgar/data/../../../ix?doc=/Archives/edgar/data/1649094/000156459021016110/pcvx-10k_20201231.htm" TargetMode="External"/><Relationship Id="rId18" Type="http://schemas.openxmlformats.org/officeDocument/2006/relationships/hyperlink" Target="http://www.sec.gov/Archives/edgar/data/../../../ix?doc=/Archives/edgar/data/1649094/000119312526033578/d54534d8k.htm" TargetMode="External"/><Relationship Id="rId19" Type="http://schemas.openxmlformats.org/officeDocument/2006/relationships/hyperlink" Target="http://www.sec.gov/Archives/edgar/data/../../../ix?doc=/Archives/edgar/data/1649094/000119312526067546/d259722d8k.htm" TargetMode="External"/><Relationship Id="rId20" Type="http://schemas.openxmlformats.org/officeDocument/2006/relationships/hyperlink" Target="http://www.sec.gov/Archives/edgar/data/../../../ix?doc=/Archives/edgar/data/1649094/000164909426000021/pcvx-20260615.htm" TargetMode="External"/><Relationship Id="rId21" Type="http://schemas.openxmlformats.org/officeDocument/2006/relationships/hyperlink" Target="http://www.sec.gov/Archives/edgar/data/../../../ix?doc=/Archives/edgar/data/1649094/000164909426000026/pcvx-20260617.htm" TargetMode="External"/><Relationship Id="rId22" Type="http://schemas.openxmlformats.org/officeDocument/2006/relationships/hyperlink" Target="http://www.sec.gov/Archives/edgar/data/../../../ix?doc=/Archives/edgar/data/1649094/000164909426000030/pcvx-20260713.htm" TargetMode="External"/><Relationship Id="rId23" Type="http://schemas.openxmlformats.org/officeDocument/2006/relationships/hyperlink" Target="http://www.sec.gov/Archives/edgar/data/../../../ix?doc=/Archives/edgar/data/1649094/000164909426000045/pcvx-20260831.htm" TargetMode="External"/><Relationship Id="rId24" Type="http://schemas.openxmlformats.org/officeDocument/2006/relationships/hyperlink" Target="http://www.sec.gov/Archives/edgar/data/../../../ix?doc=/Archives/edgar/data/1649094/000119312526413168/d21202d8k.htm" TargetMode="External"/><Relationship Id="rId25" Type="http://schemas.openxmlformats.org/officeDocument/2006/relationships/image" Target="media/image9.jpeg"/><Relationship Id="rId26" Type="http://schemas.openxmlformats.org/officeDocument/2006/relationships/hyperlink" Target="http://www.sec.gov/Archives/edgar/data/../../../ix?doc=/Archives/edgar/data/1649094/000095017024021145/pcvx-20231231.htm" TargetMode="External"/><Relationship Id="rId27" Type="http://schemas.openxmlformats.org/officeDocument/2006/relationships/hyperlink" Target="http://www.sec.gov/Archives/edgar/data/../../../ix?doc=/Archives/edgar/data/1649094/000162828024021677/pcvx-20240331.htm" TargetMode="External"/><Relationship Id="rId28" Type="http://schemas.openxmlformats.org/officeDocument/2006/relationships/hyperlink" Target="http://www.sec.gov/Archives/edgar/data/../../../ix?doc=/Archives/edgar/data/1649094/000095017024021145/pcvx-20231231.htm" TargetMode="External"/><Relationship Id="rId29" Type="http://schemas.openxmlformats.org/officeDocument/2006/relationships/hyperlink" Target="http://www.sec.gov/Archives/edgar/data/../../../ix?doc=/Archives/edgar/data/1649094/000119312524096192/d21304ddef14a.htm" TargetMode="External"/><Relationship Id="rId30" Type="http://schemas.openxmlformats.org/officeDocument/2006/relationships/hyperlink" Target="http://www.sec.gov/Archives/edgar/data/1649094/000119312520164625/d926263d8a12b.htm" TargetMode="External"/><Relationship Id="rId31" Type="http://schemas.openxmlformats.org/officeDocument/2006/relationships/hyperlink" Target="http://www.sec.gov/Archives/edgar/data/1649094/000156459021016110/pcvx-ex42_374.htm" TargetMode="External"/><Relationship Id="rId32" Type="http://schemas.openxmlformats.org/officeDocument/2006/relationships/hyperlink" Target="http://www.sec.gov/Archives/edgar/data/../../../ix?doc=/Archives/edgar/data/1649094/000119312524021084/d752729d8k.htm" TargetMode="External"/><Relationship Id="rId33" Type="http://schemas.openxmlformats.org/officeDocument/2006/relationships/image" Target="media/image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123</Pages>
  <Words>65947</Words>
  <Characters>346186</Characters>
  <CharactersWithSpaces>413341</CharactersWithSpaces>
  <Paragraphs>3900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