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22.jpeg" ContentType="image/jpeg"/>
  <Override PartName="/word/media/image4.jpeg" ContentType="image/jpeg"/>
  <Override PartName="/word/media/image10.jpeg" ContentType="image/jpeg"/>
  <Override PartName="/word/media/image21.jpeg" ContentType="image/jpeg"/>
  <Override PartName="/word/media/image3.jpeg" ContentType="image/jpeg"/>
  <Override PartName="/word/media/image20.jpeg" ContentType="image/jpeg"/>
  <Override PartName="/word/media/image19.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73" w:before="0" w:after="0"/>
        <w:jc w:val="left"/>
        <w:rPr/>
      </w:pPr>
      <w:bookmarkStart w:id="0" w:name="pcvx-20211231.htm"/>
      <w:bookmarkStart w:id="1" w:name="kspcvx20211231"/>
      <w:bookmarkEnd w:id="0"/>
      <w:bookmarkEnd w:id="1"/>
      <w:r>
        <w:rPr/>
        <w:t> </w:t>
      </w:r>
    </w:p>
    <w:p>
      <w:pPr>
        <w:pStyle w:val="TextBody"/>
        <w:pBdr>
          <w:top w:val="double" w:sz="6" w:space="1" w:color="000000"/>
        </w:pBdr>
        <w:spacing w:lineRule="auto" w:line="266" w:before="0" w:after="0"/>
        <w:jc w:val="left"/>
        <w:rPr/>
      </w:pPr>
      <w:r>
        <w:rPr/>
        <w:t> </w:t>
      </w:r>
    </w:p>
    <w:p>
      <w:pPr>
        <w:pStyle w:val="TextBody"/>
        <w:spacing w:lineRule="auto" w:line="266" w:before="0" w:after="0"/>
        <w:jc w:val="center"/>
        <w:rPr>
          <w:rFonts w:ascii="Times New Roman" w:hAnsi="Times New Roman"/>
          <w:sz w:val="20"/>
        </w:rPr>
      </w:pPr>
      <w:r>
        <w:rPr>
          <w:rFonts w:ascii="Times New Roman" w:hAnsi="Times New Roman"/>
          <w:b/>
          <w:sz w:val="26"/>
        </w:rPr>
        <w:t>UNITED STATES</w:t>
      </w:r>
      <w:r>
        <w:rPr>
          <w:rFonts w:ascii="Times New Roman" w:hAnsi="Times New Roman"/>
          <w:sz w:val="20"/>
        </w:rPr>
        <w:t xml:space="preserve"> </w:t>
      </w:r>
    </w:p>
    <w:p>
      <w:pPr>
        <w:pStyle w:val="TextBody"/>
        <w:spacing w:lineRule="auto" w:line="266" w:before="0" w:after="0"/>
        <w:jc w:val="center"/>
        <w:rPr>
          <w:rFonts w:ascii="Times New Roman" w:hAnsi="Times New Roman"/>
          <w:sz w:val="20"/>
        </w:rPr>
      </w:pPr>
      <w:r>
        <w:rPr>
          <w:rFonts w:ascii="Times New Roman" w:hAnsi="Times New Roman"/>
          <w:b/>
          <w:sz w:val="26"/>
        </w:rPr>
        <w:t>SECURITIES AND EXCHANGE COMMISSION</w:t>
      </w:r>
      <w:r>
        <w:rPr>
          <w:rFonts w:ascii="Times New Roman" w:hAnsi="Times New Roman"/>
          <w:sz w:val="20"/>
        </w:rPr>
        <w:t xml:space="preserve"> </w:t>
      </w:r>
    </w:p>
    <w:p>
      <w:pPr>
        <w:pStyle w:val="TextBody"/>
        <w:spacing w:lineRule="auto" w:line="266" w:before="0" w:after="0"/>
        <w:jc w:val="center"/>
        <w:rPr>
          <w:rFonts w:ascii="Times New Roman" w:hAnsi="Times New Roman"/>
          <w:sz w:val="20"/>
        </w:rPr>
      </w:pPr>
      <w:r>
        <w:rPr>
          <w:rFonts w:ascii="Times New Roman" w:hAnsi="Times New Roman"/>
          <w:b/>
          <w:sz w:val="18"/>
        </w:rPr>
        <w:t>Washington, D.C. 20549</w:t>
      </w:r>
      <w:r>
        <w:rPr>
          <w:rFonts w:ascii="Times New Roman" w:hAnsi="Times New Roman"/>
          <w:sz w:val="20"/>
        </w:rPr>
        <w:t xml:space="preserve"> </w:t>
      </w:r>
    </w:p>
    <w:p>
      <w:pPr>
        <w:pStyle w:val="TextBody"/>
        <w:pBdr>
          <w:bottom w:val="single" w:sz="4" w:space="1" w:color="000000"/>
        </w:pBdr>
        <w:spacing w:lineRule="auto" w:line="266" w:before="0" w:after="0"/>
        <w:jc w:val="center"/>
        <w:rPr/>
      </w:pPr>
      <w:r>
        <w:rPr/>
        <w:t> </w:t>
      </w:r>
    </w:p>
    <w:p>
      <w:pPr>
        <w:pStyle w:val="TextBody"/>
        <w:spacing w:lineRule="auto" w:line="266" w:before="0" w:after="0"/>
        <w:jc w:val="center"/>
        <w:rPr/>
      </w:pPr>
      <w:r>
        <w:rPr/>
        <w:t> </w:t>
      </w:r>
    </w:p>
    <w:p>
      <w:pPr>
        <w:pStyle w:val="TextBody"/>
        <w:spacing w:lineRule="auto" w:line="266" w:before="0" w:after="0"/>
        <w:jc w:val="center"/>
        <w:rPr>
          <w:rFonts w:ascii="Times New Roman" w:hAnsi="Times New Roman"/>
          <w:sz w:val="20"/>
        </w:rPr>
      </w:pPr>
      <w:r>
        <w:rPr>
          <w:rFonts w:ascii="Times New Roman" w:hAnsi="Times New Roman"/>
          <w:b/>
          <w:sz w:val="28"/>
        </w:rPr>
        <w:t>FORM 10-K</w:t>
      </w:r>
      <w:r>
        <w:rPr>
          <w:rFonts w:ascii="Times New Roman" w:hAnsi="Times New Roman"/>
          <w:sz w:val="20"/>
        </w:rPr>
        <w:t xml:space="preserve"> </w:t>
      </w:r>
    </w:p>
    <w:p>
      <w:pPr>
        <w:pStyle w:val="TextBody"/>
        <w:pBdr>
          <w:bottom w:val="single" w:sz="4" w:space="1" w:color="000000"/>
        </w:pBdr>
        <w:spacing w:lineRule="auto" w:line="266" w:before="0" w:after="0"/>
        <w:jc w:val="center"/>
        <w:rPr/>
      </w:pPr>
      <w:r>
        <w:rPr/>
        <w:t> </w:t>
      </w:r>
    </w:p>
    <w:p>
      <w:pPr>
        <w:pStyle w:val="TextBody"/>
        <w:spacing w:lineRule="auto" w:line="266" w:before="0" w:after="0"/>
        <w:jc w:val="center"/>
        <w:rPr/>
      </w:pPr>
      <w:r>
        <w:rPr/>
        <w:t> </w:t>
      </w:r>
    </w:p>
    <w:p>
      <w:pPr>
        <w:pStyle w:val="TextBody"/>
        <w:spacing w:lineRule="auto" w:line="266" w:before="0" w:after="0"/>
        <w:jc w:val="left"/>
        <w:rPr>
          <w:rFonts w:ascii="Times New Roman" w:hAnsi="Times New Roman"/>
          <w:sz w:val="20"/>
        </w:rPr>
      </w:pPr>
      <w:r>
        <w:rPr>
          <w:rFonts w:ascii="Times New Roman" w:hAnsi="Times New Roman"/>
          <w:b/>
          <w:sz w:val="16"/>
        </w:rPr>
        <w:t>(Mark One)</w:t>
      </w:r>
      <w:r>
        <w:rPr>
          <w:rFonts w:ascii="Times New Roman" w:hAnsi="Times New Roman"/>
          <w:sz w:val="20"/>
        </w:rPr>
        <w:t xml:space="preserve"> </w:t>
      </w:r>
    </w:p>
    <w:tbl>
      <w:tblPr>
        <w:tblW w:w="9422" w:type="dxa"/>
        <w:jc w:val="left"/>
        <w:tblInd w:w="0" w:type="dxa"/>
        <w:tblCellMar>
          <w:top w:w="28" w:type="dxa"/>
          <w:left w:w="28" w:type="dxa"/>
          <w:bottom w:w="28" w:type="dxa"/>
          <w:right w:w="28" w:type="dxa"/>
        </w:tblCellMar>
      </w:tblPr>
      <w:tblGrid>
        <w:gridCol w:w="331"/>
        <w:gridCol w:w="9091"/>
      </w:tblGrid>
      <w:tr>
        <w:trPr/>
        <w:tc>
          <w:tcPr>
            <w:tcW w:w="331" w:type="dxa"/>
            <w:tcBorders/>
            <w:shd w:fill="auto" w:val="clear"/>
            <w:vAlign w:val="center"/>
          </w:tcPr>
          <w:p>
            <w:pPr>
              <w:pStyle w:val="TableContents"/>
              <w:spacing w:before="0" w:after="283"/>
              <w:rPr>
                <w:sz w:val="4"/>
                <w:szCs w:val="4"/>
              </w:rPr>
            </w:pPr>
            <w:r>
              <w:rPr>
                <w:sz w:val="4"/>
                <w:szCs w:val="4"/>
              </w:rPr>
            </w:r>
          </w:p>
        </w:tc>
        <w:tc>
          <w:tcPr>
            <w:tcW w:w="909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lineRule="auto" w:line="242" w:before="0" w:after="0"/>
              <w:ind w:left="0" w:right="0" w:hanging="0"/>
              <w:jc w:val="left"/>
              <w:rPr/>
            </w:pPr>
            <w:r>
              <w:rPr/>
              <w:t>☒</w:t>
            </w:r>
          </w:p>
        </w:tc>
        <w:tc>
          <w:tcPr>
            <w:tcW w:w="9091" w:type="dxa"/>
            <w:tcBorders/>
            <w:shd w:fill="auto" w:val="clear"/>
            <w:vAlign w:val="center"/>
          </w:tcPr>
          <w:p>
            <w:pPr>
              <w:pStyle w:val="TableContents"/>
              <w:spacing w:lineRule="auto" w:line="242" w:before="40" w:after="0"/>
              <w:ind w:left="0" w:right="0" w:hanging="0"/>
              <w:jc w:val="left"/>
              <w:rPr>
                <w:rFonts w:ascii="Times New Roman" w:hAnsi="Times New Roman"/>
                <w:sz w:val="18"/>
              </w:rPr>
            </w:pPr>
            <w:r>
              <w:rPr>
                <w:rFonts w:ascii="Times New Roman" w:hAnsi="Times New Roman"/>
                <w:b/>
                <w:sz w:val="18"/>
              </w:rPr>
              <w:t>ANNUAL REPORT PURSUANT TO SECTION 13 OR 15(d) OF THE SECURITIES EXCHANGE ACT OF 1934</w:t>
            </w:r>
            <w:r>
              <w:rPr>
                <w:rFonts w:ascii="Times New Roman" w:hAnsi="Times New Roman"/>
                <w:sz w:val="18"/>
              </w:rPr>
              <w:t xml:space="preserve"> </w:t>
            </w:r>
          </w:p>
        </w:tc>
      </w:tr>
    </w:tbl>
    <w:p>
      <w:pPr>
        <w:pStyle w:val="TextBody"/>
        <w:spacing w:lineRule="auto" w:line="266" w:before="40" w:after="0"/>
        <w:jc w:val="center"/>
        <w:rPr>
          <w:rFonts w:ascii="Times New Roman" w:hAnsi="Times New Roman"/>
          <w:b/>
          <w:sz w:val="18"/>
        </w:rPr>
      </w:pPr>
      <w:r>
        <w:rPr>
          <w:rFonts w:ascii="Times New Roman" w:hAnsi="Times New Roman"/>
          <w:b/>
          <w:sz w:val="18"/>
        </w:rPr>
        <w:t>For the fiscal year ended December 31, 2021</w:t>
      </w:r>
    </w:p>
    <w:p>
      <w:pPr>
        <w:pStyle w:val="TextBody"/>
        <w:spacing w:lineRule="auto" w:line="266" w:before="40" w:after="0"/>
        <w:jc w:val="center"/>
        <w:rPr>
          <w:rFonts w:ascii="Times New Roman" w:hAnsi="Times New Roman"/>
          <w:sz w:val="20"/>
        </w:rPr>
      </w:pPr>
      <w:r>
        <w:rPr>
          <w:rFonts w:ascii="Times New Roman" w:hAnsi="Times New Roman"/>
          <w:b/>
          <w:sz w:val="18"/>
        </w:rPr>
        <w:t>OR</w:t>
      </w:r>
      <w:r>
        <w:rPr>
          <w:rFonts w:ascii="Times New Roman" w:hAnsi="Times New Roman"/>
          <w:sz w:val="20"/>
        </w:rPr>
        <w:t xml:space="preserve"> </w:t>
      </w:r>
    </w:p>
    <w:tbl>
      <w:tblPr>
        <w:tblW w:w="9797" w:type="dxa"/>
        <w:jc w:val="left"/>
        <w:tblInd w:w="0" w:type="dxa"/>
        <w:tblCellMar>
          <w:top w:w="28" w:type="dxa"/>
          <w:left w:w="28" w:type="dxa"/>
          <w:bottom w:w="28" w:type="dxa"/>
          <w:right w:w="28" w:type="dxa"/>
        </w:tblCellMar>
      </w:tblPr>
      <w:tblGrid>
        <w:gridCol w:w="331"/>
        <w:gridCol w:w="9466"/>
      </w:tblGrid>
      <w:tr>
        <w:trPr/>
        <w:tc>
          <w:tcPr>
            <w:tcW w:w="331" w:type="dxa"/>
            <w:tcBorders/>
            <w:shd w:fill="auto" w:val="clear"/>
            <w:vAlign w:val="center"/>
          </w:tcPr>
          <w:p>
            <w:pPr>
              <w:pStyle w:val="TableContents"/>
              <w:spacing w:before="0" w:after="283"/>
              <w:rPr>
                <w:sz w:val="4"/>
                <w:szCs w:val="4"/>
              </w:rPr>
            </w:pPr>
            <w:r>
              <w:rPr>
                <w:sz w:val="4"/>
                <w:szCs w:val="4"/>
              </w:rPr>
            </w:r>
          </w:p>
        </w:tc>
        <w:tc>
          <w:tcPr>
            <w:tcW w:w="946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lineRule="auto" w:line="242" w:before="0" w:after="0"/>
              <w:ind w:left="0" w:right="0" w:hanging="0"/>
              <w:jc w:val="left"/>
              <w:rPr/>
            </w:pPr>
            <w:r>
              <w:rPr/>
              <w:t>☐</w:t>
            </w:r>
          </w:p>
        </w:tc>
        <w:tc>
          <w:tcPr>
            <w:tcW w:w="9466" w:type="dxa"/>
            <w:tcBorders/>
            <w:shd w:fill="auto" w:val="clear"/>
            <w:vAlign w:val="center"/>
          </w:tcPr>
          <w:p>
            <w:pPr>
              <w:pStyle w:val="TableContents"/>
              <w:spacing w:lineRule="auto" w:line="242" w:before="40" w:after="0"/>
              <w:ind w:left="0" w:right="0" w:hanging="0"/>
              <w:jc w:val="left"/>
              <w:rPr>
                <w:rFonts w:ascii="Times New Roman" w:hAnsi="Times New Roman"/>
                <w:sz w:val="18"/>
              </w:rPr>
            </w:pPr>
            <w:r>
              <w:rPr>
                <w:rFonts w:ascii="Times New Roman" w:hAnsi="Times New Roman"/>
                <w:b/>
                <w:sz w:val="18"/>
              </w:rPr>
              <w:t>TRANSITION REPORT PURSUANT TO SECTION 13 OR 15(d) OF THE SECURITIES EXCHANGE ACT OF 1934</w:t>
            </w:r>
            <w:r>
              <w:rPr>
                <w:rFonts w:ascii="Times New Roman" w:hAnsi="Times New Roman"/>
                <w:sz w:val="18"/>
              </w:rPr>
              <w:t xml:space="preserve"> </w:t>
            </w:r>
          </w:p>
          <w:p>
            <w:pPr>
              <w:pStyle w:val="TableContents"/>
              <w:spacing w:lineRule="auto" w:line="242" w:before="40" w:after="0"/>
              <w:ind w:left="0" w:right="0" w:hanging="0"/>
              <w:jc w:val="center"/>
              <w:rPr>
                <w:rFonts w:ascii="Times New Roman" w:hAnsi="Times New Roman"/>
                <w:b/>
                <w:sz w:val="18"/>
              </w:rPr>
            </w:pPr>
            <w:r>
              <w:rPr>
                <w:rFonts w:ascii="Times New Roman" w:hAnsi="Times New Roman"/>
                <w:b/>
                <w:sz w:val="18"/>
              </w:rPr>
              <w:t>For the transition period from _________ to ___________</w:t>
            </w:r>
          </w:p>
        </w:tc>
      </w:tr>
    </w:tbl>
    <w:p>
      <w:pPr>
        <w:pStyle w:val="TextBody"/>
        <w:spacing w:lineRule="auto" w:line="266" w:before="40" w:after="0"/>
        <w:jc w:val="center"/>
        <w:rPr>
          <w:rFonts w:ascii="Times New Roman" w:hAnsi="Times New Roman"/>
          <w:sz w:val="20"/>
        </w:rPr>
      </w:pPr>
      <w:r>
        <w:rPr>
          <w:rFonts w:ascii="Times New Roman" w:hAnsi="Times New Roman"/>
          <w:b/>
          <w:sz w:val="18"/>
        </w:rPr>
        <w:t>Commission File Number 001-39323</w:t>
      </w:r>
      <w:r>
        <w:rPr>
          <w:rFonts w:ascii="Times New Roman" w:hAnsi="Times New Roman"/>
          <w:sz w:val="20"/>
        </w:rPr>
        <w:t xml:space="preserve"> </w:t>
      </w:r>
    </w:p>
    <w:p>
      <w:pPr>
        <w:pStyle w:val="TextBody"/>
        <w:pBdr>
          <w:bottom w:val="single" w:sz="4" w:space="1" w:color="000000"/>
        </w:pBdr>
        <w:spacing w:lineRule="auto" w:line="266" w:before="0" w:after="0"/>
        <w:jc w:val="center"/>
        <w:rPr/>
      </w:pPr>
      <w:r>
        <w:rPr/>
        <w:t> </w:t>
      </w:r>
    </w:p>
    <w:p>
      <w:pPr>
        <w:pStyle w:val="TextBody"/>
        <w:spacing w:lineRule="auto" w:line="266" w:before="0" w:after="0"/>
        <w:jc w:val="center"/>
        <w:rPr/>
      </w:pPr>
      <w:r>
        <w:rPr/>
        <w:t> </w:t>
      </w:r>
    </w:p>
    <w:p>
      <w:pPr>
        <w:pStyle w:val="TextBody"/>
        <w:spacing w:lineRule="auto" w:line="266" w:before="0" w:after="0"/>
        <w:jc w:val="center"/>
        <w:rPr>
          <w:rFonts w:ascii="Times New Roman" w:hAnsi="Times New Roman"/>
          <w:b/>
          <w:sz w:val="34"/>
        </w:rPr>
      </w:pPr>
      <w:r>
        <w:rPr>
          <w:rFonts w:ascii="Times New Roman" w:hAnsi="Times New Roman"/>
          <w:b/>
          <w:sz w:val="34"/>
        </w:rPr>
        <w:t>VAXCYTE, INC.</w:t>
      </w:r>
    </w:p>
    <w:p>
      <w:pPr>
        <w:pStyle w:val="TextBody"/>
        <w:spacing w:lineRule="auto" w:line="266" w:before="0" w:after="0"/>
        <w:jc w:val="center"/>
        <w:rPr>
          <w:rFonts w:ascii="Times New Roman" w:hAnsi="Times New Roman"/>
          <w:sz w:val="20"/>
        </w:rPr>
      </w:pPr>
      <w:r>
        <w:rPr>
          <w:rFonts w:ascii="Times New Roman" w:hAnsi="Times New Roman"/>
          <w:b/>
          <w:sz w:val="18"/>
        </w:rPr>
        <w:t>(Exact name of Registrant as specified in its Charter)</w:t>
      </w:r>
      <w:r>
        <w:rPr>
          <w:rFonts w:ascii="Times New Roman" w:hAnsi="Times New Roman"/>
          <w:sz w:val="20"/>
        </w:rPr>
        <w:t xml:space="preserve"> </w:t>
      </w:r>
    </w:p>
    <w:p>
      <w:pPr>
        <w:pStyle w:val="TextBody"/>
        <w:pBdr>
          <w:bottom w:val="single" w:sz="4" w:space="1" w:color="000000"/>
        </w:pBdr>
        <w:spacing w:lineRule="auto" w:line="266" w:before="0" w:after="0"/>
        <w:jc w:val="center"/>
        <w:rPr/>
      </w:pPr>
      <w:r>
        <w:rPr/>
        <w:t> </w:t>
      </w:r>
    </w:p>
    <w:p>
      <w:pPr>
        <w:pStyle w:val="TextBody"/>
        <w:spacing w:lineRule="auto" w:line="266" w:before="0" w:after="0"/>
        <w:jc w:val="left"/>
        <w:rPr/>
      </w:pPr>
      <w:r>
        <w:rPr/>
        <w:t> </w:t>
      </w:r>
    </w:p>
    <w:tbl>
      <w:tblPr>
        <w:tblW w:w="3722" w:type="dxa"/>
        <w:jc w:val="left"/>
        <w:tblInd w:w="0" w:type="dxa"/>
        <w:tblCellMar>
          <w:top w:w="28" w:type="dxa"/>
          <w:left w:w="28" w:type="dxa"/>
          <w:bottom w:w="28" w:type="dxa"/>
          <w:right w:w="28" w:type="dxa"/>
        </w:tblCellMar>
      </w:tblPr>
      <w:tblGrid>
        <w:gridCol w:w="2476"/>
        <w:gridCol w:w="1246"/>
      </w:tblGrid>
      <w:tr>
        <w:trPr/>
        <w:tc>
          <w:tcPr>
            <w:tcW w:w="247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vAlign w:val="center"/>
          </w:tcPr>
          <w:p>
            <w:pPr>
              <w:pStyle w:val="TableContents"/>
              <w:spacing w:lineRule="auto" w:line="242" w:before="0" w:after="0"/>
              <w:ind w:left="0" w:right="0" w:hanging="0"/>
              <w:jc w:val="center"/>
              <w:rPr>
                <w:rFonts w:ascii="Times New Roman" w:hAnsi="Times New Roman"/>
                <w:b/>
                <w:sz w:val="18"/>
              </w:rPr>
            </w:pPr>
            <w:r>
              <w:rPr>
                <w:rFonts w:ascii="Times New Roman" w:hAnsi="Times New Roman"/>
                <w:b/>
                <w:sz w:val="18"/>
              </w:rPr>
              <w:t>Delaware</w:t>
            </w:r>
          </w:p>
        </w:tc>
        <w:tc>
          <w:tcPr>
            <w:tcW w:w="1246" w:type="dxa"/>
            <w:tcBorders/>
            <w:shd w:fill="auto" w:val="clear"/>
            <w:vAlign w:val="center"/>
          </w:tcPr>
          <w:p>
            <w:pPr>
              <w:pStyle w:val="TableContents"/>
              <w:spacing w:lineRule="auto" w:line="242" w:before="0" w:after="0"/>
              <w:ind w:left="0" w:right="0" w:hanging="0"/>
              <w:jc w:val="center"/>
              <w:rPr>
                <w:rFonts w:ascii="Times New Roman" w:hAnsi="Times New Roman"/>
                <w:b/>
                <w:sz w:val="18"/>
              </w:rPr>
            </w:pPr>
            <w:r>
              <w:rPr>
                <w:rFonts w:ascii="Times New Roman" w:hAnsi="Times New Roman"/>
                <w:b/>
                <w:sz w:val="18"/>
              </w:rPr>
              <w:t>46-4233385</w:t>
            </w:r>
          </w:p>
        </w:tc>
      </w:tr>
      <w:tr>
        <w:trPr/>
        <w:tc>
          <w:tcPr>
            <w:tcW w:w="2476" w:type="dxa"/>
            <w:tcBorders/>
            <w:shd w:fill="auto" w:val="clear"/>
            <w:vAlign w:val="center"/>
          </w:tcPr>
          <w:p>
            <w:pPr>
              <w:pStyle w:val="TableContents"/>
              <w:spacing w:lineRule="auto" w:line="242" w:before="0" w:after="0"/>
              <w:ind w:left="0" w:right="0" w:hanging="0"/>
              <w:jc w:val="center"/>
              <w:rPr>
                <w:rFonts w:ascii="Times New Roman" w:hAnsi="Times New Roman"/>
                <w:b/>
                <w:sz w:val="14"/>
              </w:rPr>
            </w:pPr>
            <w:r>
              <w:rPr>
                <w:rFonts w:ascii="Times New Roman" w:hAnsi="Times New Roman"/>
                <w:b/>
                <w:sz w:val="14"/>
              </w:rPr>
              <w:t>(State or other jurisdiction of</w:t>
            </w:r>
          </w:p>
          <w:p>
            <w:pPr>
              <w:pStyle w:val="TableContents"/>
              <w:spacing w:lineRule="auto" w:line="242" w:before="0" w:after="0"/>
              <w:ind w:left="0" w:right="0" w:hanging="0"/>
              <w:jc w:val="center"/>
              <w:rPr>
                <w:rFonts w:ascii="Times New Roman" w:hAnsi="Times New Roman"/>
                <w:b/>
                <w:sz w:val="14"/>
              </w:rPr>
            </w:pPr>
            <w:r>
              <w:rPr>
                <w:rFonts w:ascii="Times New Roman" w:hAnsi="Times New Roman"/>
                <w:b/>
                <w:sz w:val="14"/>
              </w:rPr>
              <w:t>incorporation or organization)</w:t>
            </w:r>
          </w:p>
        </w:tc>
        <w:tc>
          <w:tcPr>
            <w:tcW w:w="1246" w:type="dxa"/>
            <w:tcBorders/>
            <w:shd w:fill="auto" w:val="clear"/>
            <w:vAlign w:val="center"/>
          </w:tcPr>
          <w:p>
            <w:pPr>
              <w:pStyle w:val="TableContents"/>
              <w:spacing w:lineRule="auto" w:line="242" w:before="0" w:after="0"/>
              <w:ind w:left="0" w:right="0" w:hanging="0"/>
              <w:jc w:val="center"/>
              <w:rPr>
                <w:rFonts w:ascii="Times New Roman" w:hAnsi="Times New Roman"/>
                <w:b/>
                <w:sz w:val="14"/>
              </w:rPr>
            </w:pPr>
            <w:r>
              <w:rPr>
                <w:rFonts w:ascii="Times New Roman" w:hAnsi="Times New Roman"/>
                <w:b/>
                <w:sz w:val="14"/>
              </w:rPr>
              <w:t>(I.R.S. Employer</w:t>
            </w:r>
          </w:p>
          <w:p>
            <w:pPr>
              <w:pStyle w:val="TableContents"/>
              <w:spacing w:lineRule="auto" w:line="242" w:before="0" w:after="0"/>
              <w:ind w:left="0" w:right="0" w:hanging="0"/>
              <w:jc w:val="center"/>
              <w:rPr>
                <w:rFonts w:ascii="Times New Roman" w:hAnsi="Times New Roman"/>
                <w:b/>
                <w:sz w:val="14"/>
              </w:rPr>
            </w:pPr>
            <w:r>
              <w:rPr>
                <w:rFonts w:ascii="Times New Roman" w:hAnsi="Times New Roman"/>
                <w:b/>
                <w:sz w:val="14"/>
              </w:rPr>
              <w:t>Identification No.)</w:t>
            </w:r>
          </w:p>
        </w:tc>
      </w:tr>
      <w:tr>
        <w:trPr/>
        <w:tc>
          <w:tcPr>
            <w:tcW w:w="2476" w:type="dxa"/>
            <w:tcBorders/>
            <w:shd w:fill="auto" w:val="clear"/>
            <w:vAlign w:val="center"/>
          </w:tcPr>
          <w:p>
            <w:pPr>
              <w:pStyle w:val="TableContents"/>
              <w:spacing w:lineRule="auto" w:line="242" w:before="0" w:after="0"/>
              <w:ind w:left="0" w:right="0" w:hanging="0"/>
              <w:jc w:val="center"/>
              <w:rPr>
                <w:rFonts w:ascii="Times New Roman" w:hAnsi="Times New Roman"/>
                <w:b/>
                <w:sz w:val="18"/>
              </w:rPr>
            </w:pPr>
            <w:r>
              <w:rPr>
                <w:rFonts w:ascii="Times New Roman" w:hAnsi="Times New Roman"/>
                <w:b/>
                <w:sz w:val="18"/>
              </w:rPr>
              <w:t>825 Industrial Road, Suite 300</w:t>
            </w:r>
          </w:p>
          <w:p>
            <w:pPr>
              <w:pStyle w:val="TableContents"/>
              <w:spacing w:lineRule="auto" w:line="242" w:before="0" w:after="0"/>
              <w:ind w:left="0" w:right="0" w:hanging="0"/>
              <w:jc w:val="center"/>
              <w:rPr>
                <w:rFonts w:ascii="Times New Roman" w:hAnsi="Times New Roman"/>
                <w:b/>
                <w:sz w:val="18"/>
              </w:rPr>
            </w:pPr>
            <w:r>
              <w:rPr>
                <w:rFonts w:ascii="Times New Roman" w:hAnsi="Times New Roman"/>
                <w:b/>
                <w:sz w:val="18"/>
              </w:rPr>
              <w:t>San Carlos, California</w:t>
            </w:r>
          </w:p>
        </w:tc>
        <w:tc>
          <w:tcPr>
            <w:tcW w:w="1246" w:type="dxa"/>
            <w:tcBorders/>
            <w:shd w:fill="auto" w:val="clear"/>
            <w:vAlign w:val="center"/>
          </w:tcPr>
          <w:p>
            <w:pPr>
              <w:pStyle w:val="TableContents"/>
              <w:spacing w:lineRule="auto" w:line="242" w:before="0" w:after="0"/>
              <w:ind w:left="0" w:right="0" w:hanging="0"/>
              <w:jc w:val="center"/>
              <w:rPr>
                <w:rFonts w:ascii="Times New Roman" w:hAnsi="Times New Roman"/>
                <w:b/>
                <w:sz w:val="18"/>
              </w:rPr>
            </w:pPr>
            <w:r>
              <w:rPr>
                <w:rFonts w:ascii="Times New Roman" w:hAnsi="Times New Roman"/>
                <w:b/>
                <w:sz w:val="18"/>
              </w:rPr>
              <w:t>94070</w:t>
            </w:r>
          </w:p>
        </w:tc>
      </w:tr>
      <w:tr>
        <w:trPr/>
        <w:tc>
          <w:tcPr>
            <w:tcW w:w="2476" w:type="dxa"/>
            <w:tcBorders/>
            <w:shd w:fill="auto" w:val="clear"/>
            <w:vAlign w:val="center"/>
          </w:tcPr>
          <w:p>
            <w:pPr>
              <w:pStyle w:val="TableContents"/>
              <w:spacing w:lineRule="auto" w:line="242" w:before="0" w:after="0"/>
              <w:ind w:left="0" w:right="0" w:hanging="0"/>
              <w:jc w:val="center"/>
              <w:rPr>
                <w:rFonts w:ascii="Times New Roman" w:hAnsi="Times New Roman"/>
                <w:b/>
                <w:sz w:val="14"/>
              </w:rPr>
            </w:pPr>
            <w:r>
              <w:rPr>
                <w:rFonts w:ascii="Times New Roman" w:hAnsi="Times New Roman"/>
                <w:b/>
                <w:sz w:val="14"/>
              </w:rPr>
              <w:t>(Address of principal executive offices)</w:t>
            </w:r>
          </w:p>
        </w:tc>
        <w:tc>
          <w:tcPr>
            <w:tcW w:w="1246" w:type="dxa"/>
            <w:tcBorders/>
            <w:shd w:fill="auto" w:val="clear"/>
            <w:vAlign w:val="center"/>
          </w:tcPr>
          <w:p>
            <w:pPr>
              <w:pStyle w:val="TableContents"/>
              <w:spacing w:lineRule="auto" w:line="242" w:before="0" w:after="0"/>
              <w:ind w:left="0" w:right="0" w:hanging="0"/>
              <w:jc w:val="center"/>
              <w:rPr>
                <w:rFonts w:ascii="Times New Roman" w:hAnsi="Times New Roman"/>
                <w:b/>
                <w:sz w:val="14"/>
              </w:rPr>
            </w:pPr>
            <w:r>
              <w:rPr>
                <w:rFonts w:ascii="Times New Roman" w:hAnsi="Times New Roman"/>
                <w:b/>
                <w:sz w:val="14"/>
              </w:rPr>
              <w:t>(Zip Code)</w:t>
            </w:r>
          </w:p>
        </w:tc>
      </w:tr>
    </w:tbl>
    <w:p>
      <w:pPr>
        <w:pStyle w:val="TextBody"/>
        <w:spacing w:lineRule="auto" w:line="266" w:before="0" w:after="0"/>
        <w:jc w:val="left"/>
        <w:rPr/>
      </w:pPr>
      <w:r>
        <w:rPr/>
        <w:t> </w:t>
      </w:r>
    </w:p>
    <w:p>
      <w:pPr>
        <w:pStyle w:val="TextBody"/>
        <w:spacing w:lineRule="auto" w:line="266" w:before="0" w:after="0"/>
        <w:jc w:val="center"/>
        <w:rPr>
          <w:rFonts w:ascii="Times New Roman" w:hAnsi="Times New Roman"/>
          <w:sz w:val="20"/>
        </w:rPr>
      </w:pPr>
      <w:r>
        <w:rPr>
          <w:rFonts w:ascii="Times New Roman" w:hAnsi="Times New Roman"/>
          <w:b/>
          <w:sz w:val="18"/>
        </w:rPr>
        <w:t>Registrant’s telephone number, including area code: (650) 837-0111</w:t>
      </w:r>
      <w:r>
        <w:rPr>
          <w:rFonts w:ascii="Times New Roman" w:hAnsi="Times New Roman"/>
          <w:sz w:val="20"/>
        </w:rPr>
        <w:t xml:space="preserve"> </w:t>
      </w:r>
    </w:p>
    <w:p>
      <w:pPr>
        <w:pStyle w:val="TextBody"/>
        <w:pBdr>
          <w:bottom w:val="single" w:sz="4" w:space="1" w:color="000000"/>
        </w:pBdr>
        <w:spacing w:lineRule="auto" w:line="266" w:before="0" w:after="0"/>
        <w:jc w:val="center"/>
        <w:rPr/>
      </w:pPr>
      <w:r>
        <w:rPr/>
        <w:t> </w:t>
      </w:r>
    </w:p>
    <w:p>
      <w:pPr>
        <w:pStyle w:val="TextBody"/>
        <w:spacing w:lineRule="auto" w:line="266" w:before="0" w:after="0"/>
        <w:jc w:val="center"/>
        <w:rPr/>
      </w:pPr>
      <w:r>
        <w:rPr/>
        <w:t> </w:t>
      </w:r>
    </w:p>
    <w:p>
      <w:pPr>
        <w:pStyle w:val="TextBody"/>
        <w:spacing w:lineRule="auto" w:line="266" w:before="0" w:after="0"/>
        <w:jc w:val="center"/>
        <w:rPr>
          <w:rFonts w:ascii="Times New Roman" w:hAnsi="Times New Roman"/>
          <w:b/>
          <w:sz w:val="15"/>
        </w:rPr>
      </w:pPr>
      <w:r>
        <w:rPr>
          <w:rFonts w:ascii="Times New Roman" w:hAnsi="Times New Roman"/>
          <w:b/>
          <w:sz w:val="15"/>
        </w:rPr>
        <w:t>Securities registered pursuant to Section 12(b) of the Act:</w:t>
      </w:r>
    </w:p>
    <w:p>
      <w:pPr>
        <w:pStyle w:val="TextBody"/>
        <w:spacing w:lineRule="auto" w:line="266" w:before="0" w:after="0"/>
        <w:jc w:val="left"/>
        <w:rPr/>
      </w:pPr>
      <w:r>
        <w:rPr/>
        <w:t> </w:t>
      </w:r>
    </w:p>
    <w:tbl>
      <w:tblPr>
        <w:tblW w:w="6730" w:type="dxa"/>
        <w:jc w:val="left"/>
        <w:tblInd w:w="0" w:type="dxa"/>
        <w:tblCellMar>
          <w:top w:w="28" w:type="dxa"/>
          <w:left w:w="28" w:type="dxa"/>
          <w:bottom w:w="28" w:type="dxa"/>
          <w:right w:w="28" w:type="dxa"/>
        </w:tblCellMar>
      </w:tblPr>
      <w:tblGrid>
        <w:gridCol w:w="2746"/>
        <w:gridCol w:w="146"/>
        <w:gridCol w:w="751"/>
        <w:gridCol w:w="146"/>
        <w:gridCol w:w="2941"/>
      </w:tblGrid>
      <w:tr>
        <w:trPr/>
        <w:tc>
          <w:tcPr>
            <w:tcW w:w="27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1" w:type="dxa"/>
            <w:tcBorders/>
            <w:shd w:fill="auto" w:val="clear"/>
            <w:vAlign w:val="center"/>
          </w:tcPr>
          <w:p>
            <w:pPr>
              <w:pStyle w:val="TableContents"/>
              <w:spacing w:before="0" w:after="283"/>
              <w:rPr>
                <w:sz w:val="4"/>
                <w:szCs w:val="4"/>
              </w:rPr>
            </w:pPr>
            <w:r>
              <w:rPr>
                <w:sz w:val="4"/>
                <w:szCs w:val="4"/>
              </w:rPr>
            </w:r>
          </w:p>
        </w:tc>
      </w:tr>
      <w:tr>
        <w:trPr/>
        <w:tc>
          <w:tcPr>
            <w:tcW w:w="2746" w:type="dxa"/>
            <w:tcBorders>
              <w:bottom w:val="single" w:sz="4" w:space="0" w:color="000000"/>
            </w:tcBorders>
            <w:shd w:fill="auto" w:val="clear"/>
            <w:tcMar>
              <w:top w:w="0" w:type="dxa"/>
              <w:left w:w="0" w:type="dxa"/>
              <w:right w:w="0" w:type="dxa"/>
            </w:tcMar>
            <w:vAlign w:val="center"/>
          </w:tcPr>
          <w:p>
            <w:pPr>
              <w:pStyle w:val="TableContents"/>
              <w:spacing w:lineRule="auto" w:line="242" w:before="0" w:after="0"/>
              <w:ind w:left="0" w:right="0" w:hanging="0"/>
              <w:jc w:val="center"/>
              <w:rPr>
                <w:rFonts w:ascii="Times New Roman" w:hAnsi="Times New Roman"/>
                <w:b/>
                <w:sz w:val="15"/>
              </w:rPr>
            </w:pPr>
            <w:r>
              <w:rPr>
                <w:rFonts w:ascii="Times New Roman" w:hAnsi="Times New Roman"/>
                <w:b/>
                <w:sz w:val="15"/>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42" w:before="0" w:after="0"/>
              <w:ind w:left="0" w:right="0" w:hanging="0"/>
              <w:jc w:val="center"/>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42" w:before="0" w:after="0"/>
              <w:ind w:left="0" w:right="0" w:hanging="0"/>
              <w:jc w:val="center"/>
              <w:rPr>
                <w:rFonts w:ascii="Times New Roman" w:hAnsi="Times New Roman"/>
                <w:b/>
                <w:sz w:val="15"/>
              </w:rPr>
            </w:pPr>
            <w:r>
              <w:rPr>
                <w:rFonts w:ascii="Times New Roman" w:hAnsi="Times New Roman"/>
                <w:b/>
                <w:sz w:val="15"/>
              </w:rPr>
              <w:t>Trading</w:t>
            </w:r>
          </w:p>
          <w:p>
            <w:pPr>
              <w:pStyle w:val="TableContents"/>
              <w:spacing w:lineRule="auto" w:line="242" w:before="0" w:after="0"/>
              <w:ind w:left="0" w:right="0" w:hanging="0"/>
              <w:jc w:val="center"/>
              <w:rPr>
                <w:rFonts w:ascii="Times New Roman" w:hAnsi="Times New Roman"/>
                <w:b/>
                <w:sz w:val="15"/>
              </w:rPr>
            </w:pPr>
            <w:r>
              <w:rPr>
                <w:rFonts w:ascii="Times New Roman" w:hAnsi="Times New Roman"/>
                <w:b/>
                <w:sz w:val="15"/>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42" w:before="0" w:after="0"/>
              <w:ind w:left="0" w:right="0" w:hanging="0"/>
              <w:jc w:val="center"/>
              <w:rPr/>
            </w:pPr>
            <w:r>
              <w:rPr/>
              <w:t> </w:t>
            </w:r>
          </w:p>
        </w:tc>
        <w:tc>
          <w:tcPr>
            <w:tcW w:w="2941" w:type="dxa"/>
            <w:tcBorders>
              <w:bottom w:val="single" w:sz="4" w:space="0" w:color="000000"/>
            </w:tcBorders>
            <w:shd w:fill="auto" w:val="clear"/>
            <w:tcMar>
              <w:top w:w="0" w:type="dxa"/>
              <w:left w:w="0" w:type="dxa"/>
              <w:right w:w="0" w:type="dxa"/>
            </w:tcMar>
            <w:vAlign w:val="center"/>
          </w:tcPr>
          <w:p>
            <w:pPr>
              <w:pStyle w:val="TableContents"/>
              <w:spacing w:lineRule="auto" w:line="242" w:before="0" w:after="0"/>
              <w:ind w:left="0" w:right="0" w:hanging="0"/>
              <w:jc w:val="center"/>
              <w:rPr>
                <w:rFonts w:ascii="Times New Roman" w:hAnsi="Times New Roman"/>
                <w:b/>
                <w:sz w:val="15"/>
              </w:rPr>
            </w:pPr>
            <w:r>
              <w:rPr>
                <w:rFonts w:ascii="Times New Roman" w:hAnsi="Times New Roman"/>
                <w:b/>
                <w:sz w:val="15"/>
              </w:rPr>
              <w:t>Name of each exchange on which registered</w:t>
            </w:r>
          </w:p>
        </w:tc>
      </w:tr>
      <w:tr>
        <w:trPr/>
        <w:tc>
          <w:tcPr>
            <w:tcW w:w="2746" w:type="dxa"/>
            <w:tcBorders/>
            <w:shd w:fill="auto" w:val="clear"/>
            <w:vAlign w:val="center"/>
          </w:tcPr>
          <w:p>
            <w:pPr>
              <w:pStyle w:val="TableContents"/>
              <w:spacing w:lineRule="auto" w:line="242" w:before="0" w:after="0"/>
              <w:ind w:left="0" w:right="0" w:hanging="0"/>
              <w:jc w:val="center"/>
              <w:rPr>
                <w:rFonts w:ascii="Times New Roman" w:hAnsi="Times New Roman"/>
                <w:b w:val="false"/>
                <w:sz w:val="15"/>
              </w:rPr>
            </w:pPr>
            <w:r>
              <w:rPr>
                <w:rFonts w:ascii="Times New Roman" w:hAnsi="Times New Roman"/>
                <w:b w:val="false"/>
                <w:sz w:val="15"/>
              </w:rPr>
              <w:t>Common Stock, $0.001 par value per share</w:t>
            </w:r>
          </w:p>
        </w:tc>
        <w:tc>
          <w:tcPr>
            <w:tcW w:w="146" w:type="dxa"/>
            <w:tcBorders/>
            <w:shd w:fill="auto" w:val="clear"/>
            <w:vAlign w:val="center"/>
          </w:tcPr>
          <w:p>
            <w:pPr>
              <w:pStyle w:val="TableContents"/>
              <w:spacing w:lineRule="auto" w:line="242" w:before="0" w:after="0"/>
              <w:ind w:left="0" w:right="0" w:hanging="0"/>
              <w:jc w:val="center"/>
              <w:rPr/>
            </w:pPr>
            <w:r>
              <w:rPr/>
              <w:t> </w:t>
            </w:r>
          </w:p>
        </w:tc>
        <w:tc>
          <w:tcPr>
            <w:tcW w:w="751" w:type="dxa"/>
            <w:tcBorders/>
            <w:shd w:fill="auto" w:val="clear"/>
            <w:vAlign w:val="center"/>
          </w:tcPr>
          <w:p>
            <w:pPr>
              <w:pStyle w:val="TableContents"/>
              <w:spacing w:lineRule="auto" w:line="242" w:before="0" w:after="0"/>
              <w:ind w:left="0" w:right="0" w:hanging="0"/>
              <w:jc w:val="center"/>
              <w:rPr>
                <w:rFonts w:ascii="Times New Roman" w:hAnsi="Times New Roman"/>
                <w:b w:val="false"/>
                <w:sz w:val="15"/>
              </w:rPr>
            </w:pPr>
            <w:r>
              <w:rPr>
                <w:rFonts w:ascii="Times New Roman" w:hAnsi="Times New Roman"/>
                <w:b w:val="false"/>
                <w:sz w:val="15"/>
              </w:rPr>
              <w:t>PCVX</w:t>
            </w:r>
          </w:p>
        </w:tc>
        <w:tc>
          <w:tcPr>
            <w:tcW w:w="146" w:type="dxa"/>
            <w:tcBorders/>
            <w:shd w:fill="auto" w:val="clear"/>
            <w:vAlign w:val="center"/>
          </w:tcPr>
          <w:p>
            <w:pPr>
              <w:pStyle w:val="TableContents"/>
              <w:spacing w:lineRule="auto" w:line="242" w:before="0" w:after="0"/>
              <w:ind w:left="0" w:right="0" w:hanging="0"/>
              <w:jc w:val="center"/>
              <w:rPr/>
            </w:pPr>
            <w:r>
              <w:rPr/>
              <w:t> </w:t>
            </w:r>
          </w:p>
        </w:tc>
        <w:tc>
          <w:tcPr>
            <w:tcW w:w="2941" w:type="dxa"/>
            <w:tcBorders/>
            <w:shd w:fill="auto" w:val="clear"/>
            <w:vAlign w:val="center"/>
          </w:tcPr>
          <w:p>
            <w:pPr>
              <w:pStyle w:val="TableContents"/>
              <w:spacing w:lineRule="auto" w:line="242" w:before="0" w:after="0"/>
              <w:ind w:left="0" w:right="0" w:hanging="0"/>
              <w:jc w:val="center"/>
              <w:rPr>
                <w:rFonts w:ascii="Times New Roman" w:hAnsi="Times New Roman"/>
                <w:b w:val="false"/>
                <w:sz w:val="15"/>
              </w:rPr>
            </w:pPr>
            <w:r>
              <w:rPr>
                <w:rFonts w:ascii="Times New Roman" w:hAnsi="Times New Roman"/>
                <w:b w:val="false"/>
                <w:sz w:val="15"/>
              </w:rPr>
              <w:t>The Nasdaq Stock Market</w:t>
            </w:r>
          </w:p>
        </w:tc>
      </w:tr>
    </w:tbl>
    <w:p>
      <w:pPr>
        <w:pStyle w:val="TextBody"/>
        <w:spacing w:lineRule="auto" w:line="266" w:before="0" w:after="0"/>
        <w:jc w:val="left"/>
        <w:rPr/>
      </w:pPr>
      <w:r>
        <w:rPr/>
        <w:t> </w:t>
      </w:r>
    </w:p>
    <w:p>
      <w:pPr>
        <w:pStyle w:val="TextBody"/>
        <w:spacing w:lineRule="auto" w:line="266" w:before="0" w:after="0"/>
        <w:jc w:val="center"/>
        <w:rPr>
          <w:rFonts w:ascii="Times New Roman" w:hAnsi="Times New Roman"/>
          <w:b/>
          <w:sz w:val="14"/>
        </w:rPr>
      </w:pPr>
      <w:r>
        <w:rPr>
          <w:rFonts w:ascii="Times New Roman" w:hAnsi="Times New Roman"/>
          <w:b/>
          <w:sz w:val="14"/>
        </w:rPr>
        <w:t>Securities registered pursuant to Section 12(g) of the Act: None</w:t>
      </w:r>
    </w:p>
    <w:p>
      <w:pPr>
        <w:pStyle w:val="TextBody"/>
        <w:spacing w:lineRule="auto" w:line="266" w:before="60" w:after="0"/>
        <w:jc w:val="left"/>
        <w:rPr>
          <w:rFonts w:ascii="Times New Roman" w:hAnsi="Times New Roman"/>
          <w:sz w:val="20"/>
        </w:rPr>
      </w:pPr>
      <w:r>
        <w:rPr>
          <w:rFonts w:ascii="Times New Roman" w:hAnsi="Times New Roman"/>
          <w:b w:val="false"/>
          <w:sz w:val="14"/>
        </w:rPr>
        <w:t xml:space="preserve">Indicate by check mark if the Registrant is a well-known seasoned issuer, as defined in Rule 405 of the Securities Act. </w:t>
      </w:r>
      <w:r>
        <w:rPr>
          <w:rFonts w:ascii="Times New Roman" w:hAnsi="Times New Roman"/>
          <w:b w:val="false"/>
          <w:caps/>
          <w:sz w:val="14"/>
        </w:rPr>
        <w:t>Yes</w:t>
      </w:r>
      <w:r>
        <w:rPr>
          <w:rFonts w:ascii="Times New Roman" w:hAnsi="Times New Roman"/>
          <w:sz w:val="20"/>
        </w:rPr>
        <w:t xml:space="preserve"> ☒ </w:t>
      </w:r>
      <w:r>
        <w:rPr>
          <w:rFonts w:ascii="Times New Roman" w:hAnsi="Times New Roman"/>
          <w:b w:val="false"/>
          <w:caps/>
          <w:sz w:val="14"/>
        </w:rPr>
        <w:t>No</w:t>
      </w:r>
      <w:r>
        <w:rPr>
          <w:rFonts w:ascii="Times New Roman" w:hAnsi="Times New Roman"/>
          <w:sz w:val="20"/>
        </w:rPr>
        <w:t xml:space="preserve"> ☐</w:t>
      </w:r>
    </w:p>
    <w:p>
      <w:pPr>
        <w:pStyle w:val="TextBody"/>
        <w:spacing w:lineRule="auto" w:line="266" w:before="60" w:after="0"/>
        <w:jc w:val="left"/>
        <w:rPr>
          <w:rFonts w:ascii="Times New Roman" w:hAnsi="Times New Roman"/>
          <w:sz w:val="20"/>
        </w:rPr>
      </w:pPr>
      <w:r>
        <w:rPr>
          <w:rFonts w:ascii="Times New Roman" w:hAnsi="Times New Roman"/>
          <w:b w:val="false"/>
          <w:sz w:val="14"/>
        </w:rPr>
        <w:t xml:space="preserve">Indicate by check mark if the Registrant is not required to file reports pursuant to Section 13 or 15(d) of the Act. </w:t>
      </w:r>
      <w:r>
        <w:rPr>
          <w:rFonts w:ascii="Times New Roman" w:hAnsi="Times New Roman"/>
          <w:b w:val="false"/>
          <w:caps/>
          <w:sz w:val="14"/>
        </w:rPr>
        <w:t>Yes</w:t>
      </w:r>
      <w:r>
        <w:rPr>
          <w:rFonts w:ascii="Times New Roman" w:hAnsi="Times New Roman"/>
          <w:sz w:val="20"/>
        </w:rPr>
        <w:t xml:space="preserve"> ☐ </w:t>
      </w:r>
      <w:r>
        <w:rPr>
          <w:rFonts w:ascii="Times New Roman" w:hAnsi="Times New Roman"/>
          <w:b w:val="false"/>
          <w:caps/>
          <w:sz w:val="14"/>
        </w:rPr>
        <w:t>No</w:t>
      </w:r>
      <w:r>
        <w:rPr>
          <w:rFonts w:ascii="Times New Roman" w:hAnsi="Times New Roman"/>
          <w:sz w:val="20"/>
        </w:rPr>
        <w:t xml:space="preserve"> ☒</w:t>
      </w:r>
    </w:p>
    <w:p>
      <w:pPr>
        <w:pStyle w:val="TextBody"/>
        <w:spacing w:lineRule="auto" w:line="266" w:before="60" w:after="0"/>
        <w:jc w:val="left"/>
        <w:rPr>
          <w:rFonts w:ascii="Times New Roman" w:hAnsi="Times New Roman"/>
          <w:sz w:val="20"/>
        </w:rPr>
      </w:pPr>
      <w:r>
        <w:rPr>
          <w:rFonts w:ascii="Times New Roman" w:hAnsi="Times New Roman"/>
          <w:b w:val="false"/>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b w:val="false"/>
          <w:caps/>
          <w:sz w:val="14"/>
        </w:rPr>
        <w:t>Yes</w:t>
      </w:r>
      <w:r>
        <w:rPr>
          <w:rFonts w:ascii="Times New Roman" w:hAnsi="Times New Roman"/>
          <w:sz w:val="20"/>
        </w:rPr>
        <w:t xml:space="preserve"> ☒ </w:t>
      </w:r>
      <w:r>
        <w:rPr>
          <w:rFonts w:ascii="Times New Roman" w:hAnsi="Times New Roman"/>
          <w:b w:val="false"/>
          <w:caps/>
          <w:sz w:val="14"/>
        </w:rPr>
        <w:t>No</w:t>
      </w:r>
      <w:r>
        <w:rPr>
          <w:rFonts w:ascii="Times New Roman" w:hAnsi="Times New Roman"/>
          <w:sz w:val="20"/>
        </w:rPr>
        <w:t xml:space="preserve"> ☐</w:t>
      </w:r>
    </w:p>
    <w:p>
      <w:pPr>
        <w:pStyle w:val="TextBody"/>
        <w:spacing w:lineRule="auto" w:line="266" w:before="60" w:after="0"/>
        <w:jc w:val="left"/>
        <w:rPr>
          <w:rFonts w:ascii="Times New Roman" w:hAnsi="Times New Roman"/>
          <w:sz w:val="20"/>
        </w:rPr>
      </w:pPr>
      <w:r>
        <w:rPr>
          <w:rFonts w:ascii="Times New Roman" w:hAnsi="Times New Roman"/>
          <w:b w:val="false"/>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b w:val="false"/>
          <w:caps/>
          <w:sz w:val="14"/>
        </w:rPr>
        <w:t>Yes</w:t>
      </w:r>
      <w:r>
        <w:rPr>
          <w:rFonts w:ascii="Times New Roman" w:hAnsi="Times New Roman"/>
          <w:sz w:val="20"/>
        </w:rPr>
        <w:t xml:space="preserve"> ☒ </w:t>
      </w:r>
      <w:r>
        <w:rPr>
          <w:rFonts w:ascii="Times New Roman" w:hAnsi="Times New Roman"/>
          <w:b w:val="false"/>
          <w:caps/>
          <w:sz w:val="14"/>
        </w:rPr>
        <w:t>No</w:t>
      </w:r>
      <w:r>
        <w:rPr>
          <w:rFonts w:ascii="Times New Roman" w:hAnsi="Times New Roman"/>
          <w:sz w:val="20"/>
        </w:rPr>
        <w:t xml:space="preserve"> ☐</w:t>
      </w:r>
    </w:p>
    <w:p>
      <w:pPr>
        <w:pStyle w:val="TextBody"/>
        <w:spacing w:lineRule="auto" w:line="266" w:before="60" w:after="0"/>
        <w:jc w:val="left"/>
        <w:rPr>
          <w:rFonts w:ascii="Times New Roman" w:hAnsi="Times New Roman"/>
          <w:b w:val="false"/>
          <w:sz w:val="14"/>
        </w:rPr>
      </w:pPr>
      <w:r>
        <w:rPr>
          <w:rFonts w:ascii="Times New Roman" w:hAnsi="Times New Roman"/>
          <w:b w:val="false"/>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lineRule="auto" w:line="266" w:before="0" w:after="0"/>
        <w:jc w:val="left"/>
        <w:rPr/>
      </w:pPr>
      <w:r>
        <w:rPr/>
        <w:t> </w:t>
      </w:r>
    </w:p>
    <w:tbl>
      <w:tblPr>
        <w:tblW w:w="4447" w:type="dxa"/>
        <w:jc w:val="left"/>
        <w:tblInd w:w="0" w:type="dxa"/>
        <w:tblCellMar>
          <w:top w:w="28" w:type="dxa"/>
          <w:left w:w="28" w:type="dxa"/>
          <w:bottom w:w="28" w:type="dxa"/>
          <w:right w:w="28" w:type="dxa"/>
        </w:tblCellMar>
      </w:tblPr>
      <w:tblGrid>
        <w:gridCol w:w="1666"/>
        <w:gridCol w:w="146"/>
        <w:gridCol w:w="316"/>
        <w:gridCol w:w="146"/>
        <w:gridCol w:w="1666"/>
        <w:gridCol w:w="146"/>
        <w:gridCol w:w="361"/>
      </w:tblGrid>
      <w:tr>
        <w:trPr/>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vAlign w:val="center"/>
          </w:tcPr>
          <w:p>
            <w:pPr>
              <w:pStyle w:val="TableContents"/>
              <w:spacing w:lineRule="auto" w:line="242" w:before="0" w:after="0"/>
              <w:ind w:left="0" w:right="0" w:hanging="0"/>
              <w:jc w:val="left"/>
              <w:rPr>
                <w:rFonts w:ascii="Times New Roman" w:hAnsi="Times New Roman"/>
                <w:b w:val="false"/>
                <w:sz w:val="14"/>
              </w:rPr>
            </w:pPr>
            <w:r>
              <w:rPr>
                <w:rFonts w:ascii="Times New Roman" w:hAnsi="Times New Roman"/>
                <w:b w:val="false"/>
                <w:sz w:val="14"/>
              </w:rPr>
              <w:t>Large accelerated filer</w:t>
            </w:r>
          </w:p>
        </w:tc>
        <w:tc>
          <w:tcPr>
            <w:tcW w:w="146" w:type="dxa"/>
            <w:tcBorders/>
            <w:shd w:fill="auto" w:val="clear"/>
            <w:vAlign w:val="center"/>
          </w:tcPr>
          <w:p>
            <w:pPr>
              <w:pStyle w:val="TableContents"/>
              <w:spacing w:lineRule="auto" w:line="242" w:before="0" w:after="0"/>
              <w:ind w:left="0" w:right="0" w:hanging="0"/>
              <w:jc w:val="left"/>
              <w:rPr/>
            </w:pPr>
            <w:r>
              <w:rPr/>
              <w:t> </w:t>
            </w:r>
          </w:p>
        </w:tc>
        <w:tc>
          <w:tcPr>
            <w:tcW w:w="316" w:type="dxa"/>
            <w:tcBorders/>
            <w:shd w:fill="auto" w:val="clear"/>
            <w:vAlign w:val="center"/>
          </w:tcPr>
          <w:p>
            <w:pPr>
              <w:pStyle w:val="TableContents"/>
              <w:spacing w:lineRule="auto" w:line="242" w:before="0" w:after="0"/>
              <w:ind w:left="0" w:right="0" w:hanging="0"/>
              <w:jc w:val="left"/>
              <w:rPr/>
            </w:pPr>
            <w:r>
              <w:rPr/>
              <w:t>☒</w:t>
            </w:r>
          </w:p>
        </w:tc>
        <w:tc>
          <w:tcPr>
            <w:tcW w:w="146" w:type="dxa"/>
            <w:tcBorders/>
            <w:shd w:fill="auto" w:val="clear"/>
            <w:vAlign w:val="center"/>
          </w:tcPr>
          <w:p>
            <w:pPr>
              <w:pStyle w:val="TableContents"/>
              <w:spacing w:lineRule="auto" w:line="242" w:before="0" w:after="0"/>
              <w:ind w:left="0" w:right="0" w:hanging="0"/>
              <w:jc w:val="left"/>
              <w:rPr/>
            </w:pPr>
            <w:r>
              <w:rPr/>
              <w:t> </w:t>
            </w:r>
          </w:p>
        </w:tc>
        <w:tc>
          <w:tcPr>
            <w:tcW w:w="1666" w:type="dxa"/>
            <w:tcBorders/>
            <w:shd w:fill="auto" w:val="clear"/>
            <w:vAlign w:val="center"/>
          </w:tcPr>
          <w:p>
            <w:pPr>
              <w:pStyle w:val="TableContents"/>
              <w:spacing w:lineRule="auto" w:line="242" w:before="0" w:after="0"/>
              <w:ind w:left="0" w:right="0" w:hanging="0"/>
              <w:jc w:val="left"/>
              <w:rPr>
                <w:rFonts w:ascii="Times New Roman" w:hAnsi="Times New Roman"/>
                <w:b w:val="false"/>
                <w:sz w:val="14"/>
              </w:rPr>
            </w:pPr>
            <w:r>
              <w:rPr>
                <w:rFonts w:ascii="Times New Roman" w:hAnsi="Times New Roman"/>
                <w:b w:val="false"/>
                <w:sz w:val="14"/>
              </w:rPr>
              <w:t>Accelerated filer</w:t>
            </w:r>
          </w:p>
        </w:tc>
        <w:tc>
          <w:tcPr>
            <w:tcW w:w="146" w:type="dxa"/>
            <w:tcBorders/>
            <w:shd w:fill="auto" w:val="clear"/>
            <w:vAlign w:val="center"/>
          </w:tcPr>
          <w:p>
            <w:pPr>
              <w:pStyle w:val="TableContents"/>
              <w:spacing w:lineRule="auto" w:line="242" w:before="0" w:after="0"/>
              <w:ind w:left="0" w:right="0" w:hanging="0"/>
              <w:jc w:val="left"/>
              <w:rPr/>
            </w:pPr>
            <w:r>
              <w:rPr/>
              <w:t> </w:t>
            </w:r>
          </w:p>
        </w:tc>
        <w:tc>
          <w:tcPr>
            <w:tcW w:w="361" w:type="dxa"/>
            <w:tcBorders/>
            <w:shd w:fill="auto" w:val="clear"/>
            <w:vAlign w:val="center"/>
          </w:tcPr>
          <w:p>
            <w:pPr>
              <w:pStyle w:val="TableContents"/>
              <w:spacing w:lineRule="auto" w:line="242" w:before="0" w:after="0"/>
              <w:ind w:left="0" w:right="0" w:hanging="0"/>
              <w:jc w:val="left"/>
              <w:rPr/>
            </w:pPr>
            <w:r>
              <w:rPr/>
              <w:t>☐</w:t>
            </w:r>
          </w:p>
        </w:tc>
      </w:tr>
      <w:tr>
        <w:trPr/>
        <w:tc>
          <w:tcPr>
            <w:tcW w:w="1666" w:type="dxa"/>
            <w:tcBorders/>
            <w:shd w:fill="auto" w:val="clear"/>
            <w:vAlign w:val="center"/>
          </w:tcPr>
          <w:p>
            <w:pPr>
              <w:pStyle w:val="TableContents"/>
              <w:spacing w:lineRule="auto" w:line="242" w:before="0" w:after="0"/>
              <w:ind w:left="0" w:right="0" w:hanging="0"/>
              <w:jc w:val="left"/>
              <w:rPr/>
            </w:pPr>
            <w:r>
              <w:rPr/>
              <w:t> </w:t>
            </w:r>
          </w:p>
        </w:tc>
        <w:tc>
          <w:tcPr>
            <w:tcW w:w="462" w:type="dxa"/>
            <w:gridSpan w:val="2"/>
            <w:tcBorders/>
            <w:shd w:fill="auto" w:val="clear"/>
            <w:vAlign w:val="center"/>
          </w:tcPr>
          <w:p>
            <w:pPr>
              <w:pStyle w:val="TableContents"/>
              <w:spacing w:lineRule="auto" w:line="242" w:before="0" w:after="0"/>
              <w:ind w:left="0" w:right="0" w:hanging="0"/>
              <w:jc w:val="left"/>
              <w:rPr/>
            </w:pPr>
            <w:r>
              <w:rPr/>
              <w:t> </w:t>
            </w:r>
          </w:p>
        </w:tc>
        <w:tc>
          <w:tcPr>
            <w:tcW w:w="1812" w:type="dxa"/>
            <w:gridSpan w:val="2"/>
            <w:tcBorders/>
            <w:shd w:fill="auto" w:val="clear"/>
            <w:vAlign w:val="center"/>
          </w:tcPr>
          <w:p>
            <w:pPr>
              <w:pStyle w:val="TableContents"/>
              <w:spacing w:lineRule="auto" w:line="242" w:before="0" w:after="0"/>
              <w:ind w:left="0" w:right="0" w:hanging="0"/>
              <w:jc w:val="left"/>
              <w:rPr/>
            </w:pPr>
            <w:r>
              <w:rPr/>
              <w:t> </w:t>
            </w:r>
          </w:p>
        </w:tc>
        <w:tc>
          <w:tcPr>
            <w:tcW w:w="507" w:type="dxa"/>
            <w:gridSpan w:val="2"/>
            <w:tcBorders/>
            <w:shd w:fill="auto" w:val="clear"/>
            <w:vAlign w:val="center"/>
          </w:tcPr>
          <w:p>
            <w:pPr>
              <w:pStyle w:val="TableContents"/>
              <w:spacing w:lineRule="auto" w:line="242" w:before="0" w:after="0"/>
              <w:ind w:left="0" w:right="0" w:hanging="0"/>
              <w:jc w:val="left"/>
              <w:rPr/>
            </w:pPr>
            <w:r>
              <w:rPr/>
              <w:t> </w:t>
            </w:r>
          </w:p>
        </w:tc>
      </w:tr>
      <w:tr>
        <w:trPr/>
        <w:tc>
          <w:tcPr>
            <w:tcW w:w="1666" w:type="dxa"/>
            <w:tcBorders/>
            <w:shd w:fill="auto" w:val="clear"/>
            <w:vAlign w:val="center"/>
          </w:tcPr>
          <w:p>
            <w:pPr>
              <w:pStyle w:val="TableContents"/>
              <w:spacing w:lineRule="auto" w:line="242" w:before="0" w:after="0"/>
              <w:ind w:left="0" w:right="0" w:hanging="0"/>
              <w:jc w:val="left"/>
              <w:rPr>
                <w:rFonts w:ascii="Times New Roman" w:hAnsi="Times New Roman"/>
                <w:b w:val="false"/>
                <w:sz w:val="14"/>
              </w:rPr>
            </w:pPr>
            <w:r>
              <w:rPr>
                <w:rFonts w:ascii="Times New Roman" w:hAnsi="Times New Roman"/>
                <w:b w:val="false"/>
                <w:sz w:val="14"/>
              </w:rPr>
              <w:t>Non-accelerated filer</w:t>
            </w:r>
          </w:p>
        </w:tc>
        <w:tc>
          <w:tcPr>
            <w:tcW w:w="146" w:type="dxa"/>
            <w:tcBorders/>
            <w:shd w:fill="auto" w:val="clear"/>
            <w:vAlign w:val="center"/>
          </w:tcPr>
          <w:p>
            <w:pPr>
              <w:pStyle w:val="TableContents"/>
              <w:spacing w:lineRule="auto" w:line="242" w:before="0" w:after="0"/>
              <w:ind w:left="0" w:right="0" w:hanging="0"/>
              <w:jc w:val="left"/>
              <w:rPr/>
            </w:pPr>
            <w:r>
              <w:rPr/>
              <w:t> </w:t>
            </w:r>
          </w:p>
        </w:tc>
        <w:tc>
          <w:tcPr>
            <w:tcW w:w="316" w:type="dxa"/>
            <w:tcBorders/>
            <w:shd w:fill="auto" w:val="clear"/>
            <w:vAlign w:val="center"/>
          </w:tcPr>
          <w:p>
            <w:pPr>
              <w:pStyle w:val="TableContents"/>
              <w:spacing w:lineRule="auto" w:line="242" w:before="0" w:after="0"/>
              <w:ind w:left="0" w:right="0" w:hanging="0"/>
              <w:jc w:val="left"/>
              <w:rPr/>
            </w:pPr>
            <w:r>
              <w:rPr/>
              <w:t>☐</w:t>
            </w:r>
          </w:p>
        </w:tc>
        <w:tc>
          <w:tcPr>
            <w:tcW w:w="146" w:type="dxa"/>
            <w:tcBorders/>
            <w:shd w:fill="auto" w:val="clear"/>
            <w:vAlign w:val="center"/>
          </w:tcPr>
          <w:p>
            <w:pPr>
              <w:pStyle w:val="TableContents"/>
              <w:spacing w:lineRule="auto" w:line="242" w:before="0" w:after="0"/>
              <w:ind w:left="0" w:right="0" w:hanging="0"/>
              <w:jc w:val="left"/>
              <w:rPr/>
            </w:pPr>
            <w:r>
              <w:rPr/>
              <w:t> </w:t>
            </w:r>
          </w:p>
        </w:tc>
        <w:tc>
          <w:tcPr>
            <w:tcW w:w="1666" w:type="dxa"/>
            <w:tcBorders/>
            <w:shd w:fill="auto" w:val="clear"/>
            <w:vAlign w:val="center"/>
          </w:tcPr>
          <w:p>
            <w:pPr>
              <w:pStyle w:val="TableContents"/>
              <w:spacing w:lineRule="auto" w:line="242" w:before="0" w:after="0"/>
              <w:ind w:left="0" w:right="0" w:hanging="0"/>
              <w:jc w:val="left"/>
              <w:rPr>
                <w:rFonts w:ascii="Times New Roman" w:hAnsi="Times New Roman"/>
                <w:b w:val="false"/>
                <w:sz w:val="14"/>
              </w:rPr>
            </w:pPr>
            <w:r>
              <w:rPr>
                <w:rFonts w:ascii="Times New Roman" w:hAnsi="Times New Roman"/>
                <w:b w:val="false"/>
                <w:sz w:val="14"/>
              </w:rPr>
              <w:t>Smaller reporting company</w:t>
            </w:r>
          </w:p>
        </w:tc>
        <w:tc>
          <w:tcPr>
            <w:tcW w:w="146" w:type="dxa"/>
            <w:tcBorders/>
            <w:shd w:fill="auto" w:val="clear"/>
            <w:vAlign w:val="center"/>
          </w:tcPr>
          <w:p>
            <w:pPr>
              <w:pStyle w:val="TableContents"/>
              <w:spacing w:lineRule="auto" w:line="242" w:before="0" w:after="0"/>
              <w:ind w:left="0" w:right="0" w:hanging="0"/>
              <w:jc w:val="left"/>
              <w:rPr/>
            </w:pPr>
            <w:r>
              <w:rPr/>
              <w:t> </w:t>
            </w:r>
          </w:p>
        </w:tc>
        <w:tc>
          <w:tcPr>
            <w:tcW w:w="361" w:type="dxa"/>
            <w:tcBorders/>
            <w:shd w:fill="auto" w:val="clear"/>
            <w:vAlign w:val="center"/>
          </w:tcPr>
          <w:p>
            <w:pPr>
              <w:pStyle w:val="TableContents"/>
              <w:spacing w:lineRule="auto" w:line="242" w:before="0" w:after="0"/>
              <w:ind w:left="0" w:right="0" w:hanging="0"/>
              <w:jc w:val="left"/>
              <w:rPr/>
            </w:pPr>
            <w:r>
              <w:rPr/>
              <w:t>☐</w:t>
            </w:r>
          </w:p>
        </w:tc>
      </w:tr>
      <w:tr>
        <w:trPr/>
        <w:tc>
          <w:tcPr>
            <w:tcW w:w="1666" w:type="dxa"/>
            <w:tcBorders/>
            <w:shd w:fill="auto" w:val="clear"/>
            <w:vAlign w:val="center"/>
          </w:tcPr>
          <w:p>
            <w:pPr>
              <w:pStyle w:val="TableContents"/>
              <w:spacing w:lineRule="auto" w:line="242" w:before="0" w:after="0"/>
              <w:ind w:left="0" w:right="0" w:hanging="0"/>
              <w:jc w:val="left"/>
              <w:rPr/>
            </w:pPr>
            <w:r>
              <w:rPr/>
              <w:t> </w:t>
            </w:r>
          </w:p>
        </w:tc>
        <w:tc>
          <w:tcPr>
            <w:tcW w:w="146" w:type="dxa"/>
            <w:tcBorders/>
            <w:shd w:fill="auto" w:val="clear"/>
            <w:vAlign w:val="center"/>
          </w:tcPr>
          <w:p>
            <w:pPr>
              <w:pStyle w:val="TableContents"/>
              <w:spacing w:lineRule="auto" w:line="242" w:before="0" w:after="0"/>
              <w:ind w:left="0" w:right="0" w:hanging="0"/>
              <w:jc w:val="left"/>
              <w:rPr/>
            </w:pPr>
            <w:r>
              <w:rPr/>
              <w:t> </w:t>
            </w:r>
          </w:p>
        </w:tc>
        <w:tc>
          <w:tcPr>
            <w:tcW w:w="316" w:type="dxa"/>
            <w:tcBorders/>
            <w:shd w:fill="auto" w:val="clear"/>
            <w:vAlign w:val="center"/>
          </w:tcPr>
          <w:p>
            <w:pPr>
              <w:pStyle w:val="TableContents"/>
              <w:spacing w:lineRule="auto" w:line="242" w:before="0" w:after="0"/>
              <w:ind w:left="0" w:right="0" w:hanging="0"/>
              <w:jc w:val="left"/>
              <w:rPr/>
            </w:pPr>
            <w:r>
              <w:rPr/>
              <w:t> </w:t>
            </w:r>
          </w:p>
        </w:tc>
        <w:tc>
          <w:tcPr>
            <w:tcW w:w="146" w:type="dxa"/>
            <w:tcBorders/>
            <w:shd w:fill="auto" w:val="clear"/>
            <w:vAlign w:val="center"/>
          </w:tcPr>
          <w:p>
            <w:pPr>
              <w:pStyle w:val="TableContents"/>
              <w:spacing w:lineRule="auto" w:line="242" w:before="0" w:after="0"/>
              <w:ind w:left="0" w:right="0" w:hanging="0"/>
              <w:jc w:val="left"/>
              <w:rPr/>
            </w:pPr>
            <w:r>
              <w:rPr/>
              <w:t> </w:t>
            </w:r>
          </w:p>
        </w:tc>
        <w:tc>
          <w:tcPr>
            <w:tcW w:w="1666" w:type="dxa"/>
            <w:tcBorders/>
            <w:shd w:fill="auto" w:val="clear"/>
            <w:vAlign w:val="center"/>
          </w:tcPr>
          <w:p>
            <w:pPr>
              <w:pStyle w:val="TableContents"/>
              <w:spacing w:lineRule="auto" w:line="242" w:before="0" w:after="0"/>
              <w:ind w:left="0" w:right="0" w:hanging="0"/>
              <w:jc w:val="left"/>
              <w:rPr/>
            </w:pPr>
            <w:r>
              <w:rPr/>
              <w:t> </w:t>
            </w:r>
          </w:p>
        </w:tc>
        <w:tc>
          <w:tcPr>
            <w:tcW w:w="146" w:type="dxa"/>
            <w:tcBorders/>
            <w:shd w:fill="auto" w:val="clear"/>
            <w:vAlign w:val="center"/>
          </w:tcPr>
          <w:p>
            <w:pPr>
              <w:pStyle w:val="TableContents"/>
              <w:spacing w:lineRule="auto" w:line="242" w:before="0" w:after="0"/>
              <w:ind w:left="0" w:right="0" w:hanging="0"/>
              <w:jc w:val="left"/>
              <w:rPr/>
            </w:pPr>
            <w:r>
              <w:rPr/>
              <w:t> </w:t>
            </w:r>
          </w:p>
        </w:tc>
        <w:tc>
          <w:tcPr>
            <w:tcW w:w="361" w:type="dxa"/>
            <w:tcBorders/>
            <w:shd w:fill="auto" w:val="clear"/>
            <w:vAlign w:val="center"/>
          </w:tcPr>
          <w:p>
            <w:pPr>
              <w:pStyle w:val="TableContents"/>
              <w:spacing w:lineRule="auto" w:line="242" w:before="0" w:after="0"/>
              <w:ind w:left="0" w:right="0" w:hanging="0"/>
              <w:jc w:val="left"/>
              <w:rPr/>
            </w:pPr>
            <w:r>
              <w:rPr/>
              <w:t> </w:t>
            </w:r>
          </w:p>
        </w:tc>
      </w:tr>
      <w:tr>
        <w:trPr/>
        <w:tc>
          <w:tcPr>
            <w:tcW w:w="1666" w:type="dxa"/>
            <w:tcBorders/>
            <w:shd w:fill="auto" w:val="clear"/>
            <w:vAlign w:val="center"/>
          </w:tcPr>
          <w:p>
            <w:pPr>
              <w:pStyle w:val="TableContents"/>
              <w:spacing w:lineRule="auto" w:line="242" w:before="0" w:after="0"/>
              <w:ind w:left="0" w:right="0" w:hanging="0"/>
              <w:jc w:val="left"/>
              <w:rPr>
                <w:rFonts w:ascii="Times New Roman" w:hAnsi="Times New Roman"/>
                <w:b w:val="false"/>
                <w:sz w:val="14"/>
              </w:rPr>
            </w:pPr>
            <w:r>
              <w:rPr>
                <w:rFonts w:ascii="Times New Roman" w:hAnsi="Times New Roman"/>
                <w:b w:val="false"/>
                <w:sz w:val="14"/>
              </w:rPr>
              <w:t>Emerging growth company</w:t>
            </w:r>
          </w:p>
        </w:tc>
        <w:tc>
          <w:tcPr>
            <w:tcW w:w="146" w:type="dxa"/>
            <w:tcBorders/>
            <w:shd w:fill="auto" w:val="clear"/>
            <w:vAlign w:val="center"/>
          </w:tcPr>
          <w:p>
            <w:pPr>
              <w:pStyle w:val="TableContents"/>
              <w:spacing w:lineRule="auto" w:line="242" w:before="0" w:after="0"/>
              <w:ind w:left="0" w:right="0" w:hanging="0"/>
              <w:jc w:val="left"/>
              <w:rPr/>
            </w:pPr>
            <w:r>
              <w:rPr/>
              <w:t> </w:t>
            </w:r>
          </w:p>
        </w:tc>
        <w:tc>
          <w:tcPr>
            <w:tcW w:w="316" w:type="dxa"/>
            <w:tcBorders/>
            <w:shd w:fill="auto" w:val="clear"/>
            <w:vAlign w:val="center"/>
          </w:tcPr>
          <w:p>
            <w:pPr>
              <w:pStyle w:val="TableContents"/>
              <w:spacing w:lineRule="auto" w:line="242" w:before="0" w:after="0"/>
              <w:ind w:left="0" w:right="0" w:hanging="0"/>
              <w:jc w:val="left"/>
              <w:rPr/>
            </w:pPr>
            <w:r>
              <w:rPr/>
              <w:t>☐</w:t>
            </w:r>
          </w:p>
        </w:tc>
        <w:tc>
          <w:tcPr>
            <w:tcW w:w="146" w:type="dxa"/>
            <w:tcBorders/>
            <w:shd w:fill="auto" w:val="clear"/>
            <w:vAlign w:val="center"/>
          </w:tcPr>
          <w:p>
            <w:pPr>
              <w:pStyle w:val="TableContents"/>
              <w:spacing w:lineRule="auto" w:line="242" w:before="0" w:after="0"/>
              <w:ind w:left="0" w:right="0" w:hanging="0"/>
              <w:jc w:val="left"/>
              <w:rPr/>
            </w:pPr>
            <w:r>
              <w:rPr/>
              <w:t> </w:t>
            </w:r>
          </w:p>
        </w:tc>
        <w:tc>
          <w:tcPr>
            <w:tcW w:w="1666" w:type="dxa"/>
            <w:tcBorders/>
            <w:shd w:fill="auto" w:val="clear"/>
            <w:vAlign w:val="center"/>
          </w:tcPr>
          <w:p>
            <w:pPr>
              <w:pStyle w:val="TableContents"/>
              <w:spacing w:lineRule="auto" w:line="242" w:before="0" w:after="0"/>
              <w:ind w:left="0" w:right="0" w:hanging="0"/>
              <w:jc w:val="left"/>
              <w:rPr/>
            </w:pPr>
            <w:r>
              <w:rPr/>
              <w:t> </w:t>
            </w:r>
          </w:p>
        </w:tc>
        <w:tc>
          <w:tcPr>
            <w:tcW w:w="146" w:type="dxa"/>
            <w:tcBorders/>
            <w:shd w:fill="auto" w:val="clear"/>
            <w:vAlign w:val="center"/>
          </w:tcPr>
          <w:p>
            <w:pPr>
              <w:pStyle w:val="TableContents"/>
              <w:spacing w:lineRule="auto" w:line="242" w:before="0" w:after="0"/>
              <w:ind w:left="0" w:right="0" w:hanging="0"/>
              <w:jc w:val="left"/>
              <w:rPr/>
            </w:pPr>
            <w:r>
              <w:rPr/>
              <w:t> </w:t>
            </w:r>
          </w:p>
        </w:tc>
        <w:tc>
          <w:tcPr>
            <w:tcW w:w="361" w:type="dxa"/>
            <w:tcBorders/>
            <w:shd w:fill="auto" w:val="clear"/>
            <w:vAlign w:val="center"/>
          </w:tcPr>
          <w:p>
            <w:pPr>
              <w:pStyle w:val="TableContents"/>
              <w:spacing w:lineRule="auto" w:line="242" w:before="0" w:after="0"/>
              <w:ind w:left="0" w:right="0" w:hanging="0"/>
              <w:jc w:val="left"/>
              <w:rPr/>
            </w:pPr>
            <w:r>
              <w:rPr/>
              <w:t> </w:t>
            </w:r>
          </w:p>
        </w:tc>
      </w:tr>
    </w:tbl>
    <w:p>
      <w:pPr>
        <w:pStyle w:val="TextBody"/>
        <w:spacing w:lineRule="auto" w:line="266" w:before="0" w:after="0"/>
        <w:jc w:val="left"/>
        <w:rPr/>
      </w:pPr>
      <w:r>
        <w:rPr/>
        <w:t> </w:t>
      </w:r>
    </w:p>
    <w:p>
      <w:pPr>
        <w:pStyle w:val="TextBody"/>
        <w:spacing w:lineRule="auto" w:line="266" w:before="0" w:after="0"/>
        <w:jc w:val="left"/>
        <w:rPr>
          <w:rFonts w:ascii="Times New Roman" w:hAnsi="Times New Roman"/>
          <w:b w:val="false"/>
          <w:sz w:val="14"/>
        </w:rPr>
      </w:pPr>
      <w:r>
        <w:rPr>
          <w:rFonts w:ascii="Times New Roman" w:hAnsi="Times New Roman"/>
          <w:b w:val="false"/>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66" w:before="60" w:after="0"/>
        <w:jc w:val="left"/>
        <w:rPr>
          <w:rFonts w:ascii="Times New Roman" w:hAnsi="Times New Roman"/>
          <w:sz w:val="20"/>
        </w:rPr>
      </w:pPr>
      <w:r>
        <w:rPr>
          <w:rFonts w:ascii="Times New Roman" w:hAnsi="Times New Roman"/>
          <w:b w:val="false"/>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sz w:val="20"/>
        </w:rPr>
        <w:t>☒</w:t>
      </w:r>
    </w:p>
    <w:p>
      <w:pPr>
        <w:pStyle w:val="TextBody"/>
        <w:spacing w:lineRule="auto" w:line="266" w:before="60" w:after="0"/>
        <w:jc w:val="left"/>
        <w:rPr>
          <w:rFonts w:ascii="Times New Roman" w:hAnsi="Times New Roman"/>
          <w:sz w:val="20"/>
        </w:rPr>
      </w:pPr>
      <w:r>
        <w:rPr>
          <w:rFonts w:ascii="Times New Roman" w:hAnsi="Times New Roman"/>
          <w:b w:val="false"/>
          <w:sz w:val="14"/>
        </w:rPr>
        <w:t xml:space="preserve">Indicate by check mark whether the Registrant is a shell company (as defined in Rule 12b-2 of the Exchange Act). </w:t>
      </w:r>
      <w:r>
        <w:rPr>
          <w:rFonts w:ascii="Times New Roman" w:hAnsi="Times New Roman"/>
          <w:b w:val="false"/>
          <w:caps/>
          <w:sz w:val="14"/>
        </w:rPr>
        <w:t>Yes</w:t>
      </w:r>
      <w:r>
        <w:rPr>
          <w:rFonts w:ascii="Times New Roman" w:hAnsi="Times New Roman"/>
          <w:sz w:val="20"/>
        </w:rPr>
        <w:t xml:space="preserve"> ☐ </w:t>
      </w:r>
      <w:r>
        <w:rPr>
          <w:rFonts w:ascii="Times New Roman" w:hAnsi="Times New Roman"/>
          <w:b w:val="false"/>
          <w:caps/>
          <w:sz w:val="14"/>
        </w:rPr>
        <w:t>No</w:t>
      </w:r>
      <w:r>
        <w:rPr>
          <w:rFonts w:ascii="Times New Roman" w:hAnsi="Times New Roman"/>
          <w:sz w:val="20"/>
        </w:rPr>
        <w:t xml:space="preserve"> ☒</w:t>
      </w:r>
    </w:p>
    <w:p>
      <w:pPr>
        <w:pStyle w:val="TextBody"/>
        <w:spacing w:lineRule="auto" w:line="266" w:before="60" w:after="0"/>
        <w:jc w:val="left"/>
        <w:rPr>
          <w:rFonts w:ascii="Times New Roman" w:hAnsi="Times New Roman"/>
          <w:sz w:val="20"/>
        </w:rPr>
      </w:pPr>
      <w:r>
        <w:rPr>
          <w:rFonts w:ascii="Times New Roman" w:hAnsi="Times New Roman"/>
          <w:b w:val="false"/>
          <w:sz w:val="14"/>
        </w:rPr>
        <w:t>The aggregate market value of the voting and non-voting common equity held by non-affiliates of the Registrant, based on the closing price of its Common Stock on the Nasdaq Global Select Market on June 30, 2021, the last business day of the Registrant’s most recently completed second fiscal quarter, was approximately $788.6</w:t>
      </w:r>
      <w:r>
        <w:rPr>
          <w:rFonts w:ascii="Times New Roman" w:hAnsi="Times New Roman"/>
          <w:sz w:val="20"/>
        </w:rPr>
        <w:t xml:space="preserve"> </w:t>
      </w:r>
      <w:r>
        <w:rPr>
          <w:rFonts w:ascii="Times New Roman" w:hAnsi="Times New Roman"/>
          <w:b w:val="false"/>
          <w:sz w:val="14"/>
        </w:rPr>
        <w:t>million. Shares of the Registrant’s common stock held by each executive officer, director and holder of 10% or more of the outstanding common stock have been excluded in that such persons may be deemed to be affiliates. This calculation does not reflect a determination that certain persons are affiliates of the Registrant for any other purpose.</w:t>
      </w:r>
    </w:p>
    <w:p>
      <w:pPr>
        <w:pStyle w:val="TextBody"/>
        <w:spacing w:lineRule="auto" w:line="266" w:before="60" w:after="0"/>
        <w:jc w:val="left"/>
        <w:rPr>
          <w:rFonts w:ascii="Times New Roman" w:hAnsi="Times New Roman"/>
          <w:sz w:val="20"/>
        </w:rPr>
      </w:pPr>
      <w:r>
        <w:rPr>
          <w:rFonts w:ascii="Times New Roman" w:hAnsi="Times New Roman"/>
          <w:b w:val="false"/>
          <w:sz w:val="14"/>
        </w:rPr>
        <w:t>The number of shares of Registrant’s Common Stock outstanding as of February 23, 2022 was 56,310,751.</w:t>
      </w:r>
      <w:r>
        <w:rPr>
          <w:rFonts w:ascii="Times New Roman" w:hAnsi="Times New Roman"/>
          <w:sz w:val="20"/>
        </w:rPr>
        <w:t xml:space="preserve"> </w:t>
      </w:r>
    </w:p>
    <w:p>
      <w:pPr>
        <w:pStyle w:val="TextBody"/>
        <w:spacing w:lineRule="auto" w:line="266" w:before="60" w:after="0"/>
        <w:jc w:val="center"/>
        <w:rPr>
          <w:rFonts w:ascii="Times New Roman" w:hAnsi="Times New Roman"/>
          <w:b w:val="false"/>
          <w:sz w:val="14"/>
        </w:rPr>
      </w:pPr>
      <w:r>
        <w:rPr>
          <w:rFonts w:ascii="Times New Roman" w:hAnsi="Times New Roman"/>
          <w:b w:val="false"/>
          <w:sz w:val="14"/>
        </w:rPr>
        <w:t>DOCUMENTS INCORPORATED BY REFERENCE</w:t>
      </w:r>
    </w:p>
    <w:p>
      <w:pPr>
        <w:pStyle w:val="TextBody"/>
        <w:spacing w:lineRule="auto" w:line="266" w:before="60" w:after="0"/>
        <w:jc w:val="left"/>
        <w:rPr>
          <w:rFonts w:ascii="Times New Roman" w:hAnsi="Times New Roman"/>
          <w:b w:val="false"/>
          <w:sz w:val="14"/>
        </w:rPr>
      </w:pPr>
      <w:r>
        <w:rPr>
          <w:rFonts w:ascii="Times New Roman" w:hAnsi="Times New Roman"/>
          <w:b w:val="false"/>
          <w:sz w:val="14"/>
        </w:rPr>
        <w:t>Part III incorporates information by reference from the Registrant’s definitive proxy statement to be filed with the U.S. Securities and Exchange Commission pursuant to Regulation 14A, not later than 120 days after the end of the fiscal year covered by this Annual Report on Form 10-K, in connection with the Registrant’s 2022 annual meeting of stockholders.</w:t>
      </w:r>
    </w:p>
    <w:p>
      <w:pPr>
        <w:pStyle w:val="TextBody"/>
        <w:pBdr>
          <w:bottom w:val="double" w:sz="6" w:space="1" w:color="000000"/>
        </w:pBdr>
        <w:spacing w:lineRule="auto" w:line="266" w:before="0" w:after="0"/>
        <w:jc w:val="left"/>
        <w:rPr/>
      </w:pPr>
      <w:r>
        <w:rPr/>
        <w:t> </w:t>
      </w:r>
    </w:p>
    <w:p>
      <w:pPr>
        <w:pStyle w:val="TextBody"/>
        <w:spacing w:lineRule="auto" w:line="266"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Table of Contents</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900"/>
        <w:gridCol w:w="8701"/>
        <w:gridCol w:w="604"/>
      </w:tblGrid>
      <w:tr>
        <w:trPr/>
        <w:tc>
          <w:tcPr>
            <w:tcW w:w="900" w:type="dxa"/>
            <w:tcBorders/>
            <w:shd w:fill="auto" w:val="clear"/>
            <w:vAlign w:val="center"/>
          </w:tcPr>
          <w:p>
            <w:pPr>
              <w:pStyle w:val="TableContents"/>
              <w:spacing w:before="0" w:after="283"/>
              <w:rPr>
                <w:sz w:val="4"/>
                <w:szCs w:val="4"/>
              </w:rPr>
            </w:pPr>
            <w:r>
              <w:rPr>
                <w:sz w:val="4"/>
                <w:szCs w:val="4"/>
              </w:rPr>
            </w:r>
          </w:p>
        </w:tc>
        <w:tc>
          <w:tcPr>
            <w:tcW w:w="870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04"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Page</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PART I</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pPr>
            <w:r>
              <w:rPr/>
              <w:t> </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1.</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_business">
              <w:r>
                <w:rPr>
                  <w:rStyle w:val="InternetLink"/>
                  <w:rFonts w:ascii="Times New Roman" w:hAnsi="Times New Roman"/>
                  <w:b w:val="false"/>
                  <w:sz w:val="20"/>
                  <w:u w:val="single"/>
                </w:rPr>
                <w:t>Business</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1</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1A.</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a_risk_factors">
              <w:r>
                <w:rPr>
                  <w:rStyle w:val="InternetLink"/>
                  <w:rFonts w:ascii="Times New Roman" w:hAnsi="Times New Roman"/>
                  <w:b w:val="false"/>
                  <w:sz w:val="20"/>
                  <w:u w:val="single"/>
                </w:rPr>
                <w:t>Risk Factors</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45</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1B.</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b_unresolved_staff_comments">
              <w:r>
                <w:rPr>
                  <w:rStyle w:val="InternetLink"/>
                  <w:rFonts w:ascii="Times New Roman" w:hAnsi="Times New Roman"/>
                  <w:b w:val="false"/>
                  <w:sz w:val="20"/>
                  <w:u w:val="single"/>
                </w:rPr>
                <w:t>Unresolved Staff Comments</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98</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2.</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2_properties">
              <w:r>
                <w:rPr>
                  <w:rStyle w:val="InternetLink"/>
                  <w:rFonts w:ascii="Times New Roman" w:hAnsi="Times New Roman"/>
                  <w:b w:val="false"/>
                  <w:sz w:val="20"/>
                  <w:u w:val="single"/>
                </w:rPr>
                <w:t>Properties</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98</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3.</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3_legal_proceedings">
              <w:r>
                <w:rPr>
                  <w:rStyle w:val="InternetLink"/>
                  <w:rFonts w:ascii="Times New Roman" w:hAnsi="Times New Roman"/>
                  <w:b w:val="false"/>
                  <w:sz w:val="20"/>
                  <w:u w:val="single"/>
                </w:rPr>
                <w:t>Legal Proceedings</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98</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4.</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4_mine_safety_disclosures">
              <w:r>
                <w:rPr>
                  <w:rStyle w:val="InternetLink"/>
                  <w:rFonts w:ascii="Times New Roman" w:hAnsi="Times New Roman"/>
                  <w:b w:val="false"/>
                  <w:sz w:val="20"/>
                  <w:u w:val="single"/>
                </w:rPr>
                <w:t>Mine Safety Disclosures</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98</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PART II</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pPr>
            <w:r>
              <w:rPr/>
              <w:t> </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5.</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5_market_for_registrants_common_equ">
              <w:r>
                <w:rPr>
                  <w:rStyle w:val="InternetLink"/>
                  <w:rFonts w:ascii="Times New Roman" w:hAnsi="Times New Roman"/>
                  <w:b w:val="false"/>
                  <w:sz w:val="20"/>
                  <w:u w:val="single"/>
                </w:rPr>
                <w:t>Market for Registrant’s Common Equity, Related Stockholder Matters and Issuer Purchases of Equity Securities</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99</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6.</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reserved">
              <w:r>
                <w:rPr>
                  <w:rStyle w:val="InternetLink"/>
                  <w:rFonts w:ascii="Times New Roman" w:hAnsi="Times New Roman"/>
                  <w:b w:val="false"/>
                  <w:sz w:val="20"/>
                  <w:u w:val="single"/>
                </w:rPr>
                <w:t>[Reserved]</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100</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7.</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7_managements_discussion_analysis_f">
              <w:r>
                <w:rPr>
                  <w:rStyle w:val="InternetLink"/>
                  <w:rFonts w:ascii="Times New Roman" w:hAnsi="Times New Roman"/>
                  <w:b w:val="false"/>
                  <w:sz w:val="20"/>
                  <w:u w:val="single"/>
                </w:rPr>
                <w:t>Management’s Discussion and Analysis of Financial Condition and Results of Operations</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101</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7A.</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7a_quantitative_qualitative_disclos">
              <w:r>
                <w:rPr>
                  <w:rStyle w:val="InternetLink"/>
                  <w:rFonts w:ascii="Times New Roman" w:hAnsi="Times New Roman"/>
                  <w:b w:val="false"/>
                  <w:sz w:val="20"/>
                  <w:u w:val="single"/>
                </w:rPr>
                <w:t>Quantitative and Qualitative Disclosures About Market Risk</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118</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8.</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8_financial_statements_supplement">
              <w:r>
                <w:rPr>
                  <w:rStyle w:val="InternetLink"/>
                  <w:rFonts w:ascii="Times New Roman" w:hAnsi="Times New Roman"/>
                  <w:b w:val="false"/>
                  <w:sz w:val="20"/>
                  <w:u w:val="single"/>
                </w:rPr>
                <w:t>Financial Statements and Supplementary Data</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119</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9.</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9_changes_in_disagreements_with_acc">
              <w:r>
                <w:rPr>
                  <w:rStyle w:val="InternetLink"/>
                  <w:rFonts w:ascii="Times New Roman" w:hAnsi="Times New Roman"/>
                  <w:b w:val="false"/>
                  <w:sz w:val="20"/>
                  <w:u w:val="single"/>
                </w:rPr>
                <w:t>Changes in and Disagreements With Accountants on Accounting and Financial Disclosure</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150</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9A.</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9a_controls_procedures">
              <w:r>
                <w:rPr>
                  <w:rStyle w:val="InternetLink"/>
                  <w:rFonts w:ascii="Times New Roman" w:hAnsi="Times New Roman"/>
                  <w:b w:val="false"/>
                  <w:sz w:val="20"/>
                  <w:u w:val="single"/>
                </w:rPr>
                <w:t>Controls and Procedures</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150</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9B.</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9b_or_information">
              <w:r>
                <w:rPr>
                  <w:rStyle w:val="InternetLink"/>
                  <w:rFonts w:ascii="Times New Roman" w:hAnsi="Times New Roman"/>
                  <w:b w:val="false"/>
                  <w:sz w:val="20"/>
                  <w:u w:val="single"/>
                </w:rPr>
                <w:t>Other Information</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153</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9C</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9c_foreign_jurisdictions">
              <w:r>
                <w:rPr>
                  <w:rStyle w:val="InternetLink"/>
                  <w:rFonts w:ascii="Times New Roman" w:hAnsi="Times New Roman"/>
                  <w:b w:val="false"/>
                  <w:sz w:val="20"/>
                  <w:u w:val="single"/>
                </w:rPr>
                <w:t>Disclosure Regarding Foreign Jurisdictions that Prevent Inspections</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153</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PART III</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pPr>
            <w:r>
              <w:rPr/>
              <w:t> </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10.</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0_directors_executive_ficers_corpo">
              <w:r>
                <w:rPr>
                  <w:rStyle w:val="InternetLink"/>
                  <w:rFonts w:ascii="Times New Roman" w:hAnsi="Times New Roman"/>
                  <w:b w:val="false"/>
                  <w:sz w:val="20"/>
                  <w:u w:val="single"/>
                </w:rPr>
                <w:t>Directors, Executive Officers and Corporate Governance</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154</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11.</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1_executive_compensation">
              <w:r>
                <w:rPr>
                  <w:rStyle w:val="InternetLink"/>
                  <w:rFonts w:ascii="Times New Roman" w:hAnsi="Times New Roman"/>
                  <w:b w:val="false"/>
                  <w:sz w:val="20"/>
                  <w:u w:val="single"/>
                </w:rPr>
                <w:t>Executive Compensation</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154</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12.</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2_security_ownership_certain_benef">
              <w:r>
                <w:rPr>
                  <w:rStyle w:val="InternetLink"/>
                  <w:rFonts w:ascii="Times New Roman" w:hAnsi="Times New Roman"/>
                  <w:b w:val="false"/>
                  <w:sz w:val="20"/>
                  <w:u w:val="single"/>
                </w:rPr>
                <w:t>Security Ownership of Certain Beneficial Owners and Management and Related Stockholder Matters</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154</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13.</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3_certain_relationships_related_tr">
              <w:r>
                <w:rPr>
                  <w:rStyle w:val="InternetLink"/>
                  <w:rFonts w:ascii="Times New Roman" w:hAnsi="Times New Roman"/>
                  <w:b w:val="false"/>
                  <w:sz w:val="20"/>
                  <w:u w:val="single"/>
                </w:rPr>
                <w:t>Certain Relationships and Related Transactions, and Director Independence</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154</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14.</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4_principal_accounting_fees_servic">
              <w:r>
                <w:rPr>
                  <w:rStyle w:val="InternetLink"/>
                  <w:rFonts w:ascii="Times New Roman" w:hAnsi="Times New Roman"/>
                  <w:b w:val="false"/>
                  <w:sz w:val="20"/>
                  <w:u w:val="single"/>
                </w:rPr>
                <w:t>Principal Accounting Fees and Services</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154</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PART IV</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pPr>
            <w:r>
              <w:rPr/>
              <w:t> </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15.</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5_exhibits_financial_statement_sch">
              <w:r>
                <w:rPr>
                  <w:rStyle w:val="InternetLink"/>
                  <w:rFonts w:ascii="Times New Roman" w:hAnsi="Times New Roman"/>
                  <w:b w:val="false"/>
                  <w:sz w:val="20"/>
                  <w:u w:val="single"/>
                </w:rPr>
                <w:t>Exhibits, Financial Statement Schedules</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155</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rFonts w:ascii="Times New Roman" w:hAnsi="Times New Roman"/>
                <w:b w:val="false"/>
                <w:sz w:val="20"/>
              </w:rPr>
            </w:pPr>
            <w:r>
              <w:rPr>
                <w:rFonts w:ascii="Times New Roman" w:hAnsi="Times New Roman"/>
                <w:b w:val="false"/>
                <w:sz w:val="20"/>
              </w:rPr>
              <w:t>Item 16</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6_form_10k_summary">
              <w:r>
                <w:rPr>
                  <w:rStyle w:val="InternetLink"/>
                  <w:rFonts w:ascii="Times New Roman" w:hAnsi="Times New Roman"/>
                  <w:b w:val="false"/>
                  <w:sz w:val="20"/>
                  <w:u w:val="single"/>
                </w:rPr>
                <w:t>Form 10-K Summary</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155</w:t>
            </w:r>
          </w:p>
        </w:tc>
      </w:tr>
      <w:tr>
        <w:trPr/>
        <w:tc>
          <w:tcPr>
            <w:tcW w:w="900"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7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ignatures">
              <w:r>
                <w:rPr>
                  <w:rStyle w:val="InternetLink"/>
                  <w:rFonts w:ascii="Times New Roman" w:hAnsi="Times New Roman"/>
                  <w:b w:val="false"/>
                  <w:sz w:val="20"/>
                  <w:u w:val="single"/>
                </w:rPr>
                <w:t>Signatures</w:t>
              </w:r>
            </w:hyperlink>
          </w:p>
        </w:tc>
        <w:tc>
          <w:tcPr>
            <w:tcW w:w="6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161</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Unless the context otherwise requires, all references in this Annual Report on Form 10-K to “we,” “us,” “our,” “our company” and “Vaxcyte” refer to Vaxcyte, Inc.</w:t>
      </w:r>
    </w:p>
    <w:p>
      <w:pPr>
        <w:pStyle w:val="TextBody"/>
        <w:spacing w:lineRule="auto" w:line="273" w:before="0" w:after="0"/>
        <w:jc w:val="left"/>
        <w:rPr/>
      </w:pPr>
      <w:r>
        <w:rPr/>
        <w:t> </w:t>
      </w:r>
    </w:p>
    <w:p>
      <w:pPr>
        <w:pStyle w:val="TextBody"/>
        <w:spacing w:lineRule="auto" w:line="273" w:before="0" w:after="0"/>
        <w:jc w:val="left"/>
        <w:rPr/>
      </w:pPr>
      <w:r>
        <w:rPr/>
        <w:t>“</w:t>
      </w:r>
      <w:r>
        <w:rPr>
          <w:rFonts w:ascii="Times New Roman" w:hAnsi="Times New Roman"/>
          <w:b w:val="false"/>
          <w:sz w:val="20"/>
        </w:rPr>
        <w:t>Vaxcyte,” “eCRM,” and other trademarks of ours appearing in this report are our property. This report contains additional trade names and trademarks of other companies. We do not intend our use or display of other companies’ trade names or trademarks to imply an endorsement or sponsorship of us by such companies, or any relationship with any of these companies.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i</w:t>
      </w:r>
    </w:p>
    <w:p>
      <w:pPr>
        <w:pStyle w:val="HorizontalLine"/>
        <w:rPr/>
      </w:pPr>
      <w:r>
        <w:rPr/>
      </w:r>
    </w:p>
    <w:p>
      <w:pPr>
        <w:pStyle w:val="TextBody"/>
        <w:spacing w:lineRule="auto" w:line="273" w:before="0" w:after="0"/>
        <w:jc w:val="left"/>
        <w:rPr/>
      </w:pPr>
      <w:r>
        <w:rPr/>
        <w:t> </w:t>
      </w:r>
    </w:p>
    <w:p>
      <w:pPr>
        <w:pStyle w:val="TextBody"/>
        <w:spacing w:lineRule="auto" w:line="268" w:before="0" w:after="0"/>
        <w:jc w:val="left"/>
        <w:rPr>
          <w:rFonts w:ascii="Times New Roman" w:hAnsi="Times New Roman"/>
          <w:b/>
          <w:sz w:val="20"/>
        </w:rPr>
      </w:pPr>
      <w:r>
        <w:rPr>
          <w:rFonts w:ascii="Times New Roman" w:hAnsi="Times New Roman"/>
          <w:b/>
          <w:sz w:val="20"/>
        </w:rPr>
        <w:t>Special Note Regarding Forward-Looking Statements</w:t>
      </w:r>
    </w:p>
    <w:p>
      <w:pPr>
        <w:pStyle w:val="TextBody"/>
        <w:spacing w:lineRule="auto" w:line="268" w:before="240" w:after="0"/>
        <w:jc w:val="left"/>
        <w:rPr>
          <w:rFonts w:ascii="Times New Roman" w:hAnsi="Times New Roman"/>
          <w:sz w:val="20"/>
        </w:rPr>
      </w:pPr>
      <w:r>
        <w:rPr>
          <w:rFonts w:ascii="Times New Roman" w:hAnsi="Times New Roman"/>
          <w:b w:val="false"/>
          <w:sz w:val="20"/>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“seek,” “should,” “target,” “will,” or “would,” or the negative of these words or other similar terms or expressions. Forward-looking statements contained in this Annual Report on Form 10-K include, but are not limited to, statements about:</w:t>
      </w:r>
      <w:r>
        <w:rPr>
          <w:rFonts w:ascii="Times New Roman" w:hAnsi="Times New Roman"/>
          <w:sz w:val="20"/>
        </w:rPr>
        <w:t xml:space="preserve"> </w:t>
      </w:r>
    </w:p>
    <w:p>
      <w:pPr>
        <w:pStyle w:val="TextBody"/>
        <w:spacing w:lineRule="auto" w:line="268" w:before="240" w:after="0"/>
        <w:jc w:val="left"/>
        <w:rPr/>
      </w:pPr>
      <w:r>
        <w:rPr/>
        <w:t>•</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our expectations regarding the potential benefits, spectrum coverage and immunogenicity of our vaccine candidates;</w:t>
      </w:r>
    </w:p>
    <w:p>
      <w:pPr>
        <w:pStyle w:val="TextBody"/>
        <w:spacing w:lineRule="auto" w:line="268" w:before="240" w:after="0"/>
        <w:jc w:val="left"/>
        <w:rPr/>
      </w:pPr>
      <w:r>
        <w:rPr/>
        <w:t>•</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our expectations regarding our preclinical study results potentially being predictive of clinical study results;</w:t>
      </w:r>
    </w:p>
    <w:p>
      <w:pPr>
        <w:pStyle w:val="TextBody"/>
        <w:spacing w:lineRule="auto" w:line="268" w:before="240" w:after="0"/>
        <w:jc w:val="left"/>
        <w:rPr/>
      </w:pPr>
      <w:r>
        <w:rPr/>
        <w:t>•</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our belief that our pneumococcal conjugate vaccine candidates could receive regulatory approval based on a demonstration of non-inferiority to the standard of care using well-defined surrogate immune endpoints rather than requiring clinical field efficacy studies;</w:t>
      </w:r>
    </w:p>
    <w:p>
      <w:pPr>
        <w:pStyle w:val="TextBody"/>
        <w:spacing w:lineRule="auto" w:line="268" w:before="240" w:after="0"/>
        <w:jc w:val="left"/>
        <w:rPr/>
      </w:pPr>
      <w:r>
        <w:rPr/>
        <w:t>•</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 xml:space="preserve">the timing of the initiation, progress and potential results of our preclinical studies, clinical trials and our research and development programs; </w:t>
      </w:r>
    </w:p>
    <w:p>
      <w:pPr>
        <w:pStyle w:val="TextBody"/>
        <w:spacing w:lineRule="auto" w:line="268" w:before="240" w:after="0"/>
        <w:jc w:val="left"/>
        <w:rPr/>
      </w:pPr>
      <w:r>
        <w:rPr/>
        <w:t>•</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 xml:space="preserve">our ability to advance vaccine candidates into, and successfully complete, preclinical studies and clinical trials; </w:t>
      </w:r>
    </w:p>
    <w:p>
      <w:pPr>
        <w:pStyle w:val="TextBody"/>
        <w:spacing w:lineRule="auto" w:line="268" w:before="240" w:after="0"/>
        <w:jc w:val="left"/>
        <w:rPr/>
      </w:pPr>
      <w:r>
        <w:rPr/>
        <w:t>•</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the commercialization of our vaccine candidates, if approved;</w:t>
      </w:r>
    </w:p>
    <w:p>
      <w:pPr>
        <w:pStyle w:val="TextBody"/>
        <w:spacing w:lineRule="auto" w:line="268" w:before="240" w:after="0"/>
        <w:jc w:val="left"/>
        <w:rPr/>
      </w:pPr>
      <w:r>
        <w:rPr/>
        <w:t>•</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estimates of our future expenses, capital requirements and our needs for additional financing;</w:t>
      </w:r>
    </w:p>
    <w:p>
      <w:pPr>
        <w:pStyle w:val="TextBody"/>
        <w:spacing w:lineRule="auto" w:line="268" w:before="240" w:after="0"/>
        <w:jc w:val="left"/>
        <w:rPr/>
      </w:pPr>
      <w:r>
        <w:rPr/>
        <w:t>•</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our ability to compete effectively with existing competitors and new market entrants;</w:t>
      </w:r>
    </w:p>
    <w:p>
      <w:pPr>
        <w:pStyle w:val="TextBody"/>
        <w:spacing w:lineRule="auto" w:line="268" w:before="240" w:after="0"/>
        <w:jc w:val="left"/>
        <w:rPr/>
      </w:pPr>
      <w:r>
        <w:rPr/>
        <w:t>•</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our ability to establish and maintain intellectual property protection for our products or avoid claims of infringement;</w:t>
      </w:r>
    </w:p>
    <w:p>
      <w:pPr>
        <w:pStyle w:val="TextBody"/>
        <w:spacing w:lineRule="auto" w:line="268" w:before="240" w:after="0"/>
        <w:jc w:val="left"/>
        <w:rPr/>
      </w:pPr>
      <w:r>
        <w:rPr/>
        <w:t>•</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our and our third-party manufacturers’ manufacturing capabilities and the scalable nature of our manufacturing process;</w:t>
      </w:r>
    </w:p>
    <w:p>
      <w:pPr>
        <w:pStyle w:val="TextBody"/>
        <w:spacing w:lineRule="auto" w:line="268" w:before="240" w:after="0"/>
        <w:jc w:val="left"/>
        <w:rPr/>
      </w:pPr>
      <w:r>
        <w:rPr/>
        <w:t>•</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potential effects of extensive government regulation;</w:t>
      </w:r>
    </w:p>
    <w:p>
      <w:pPr>
        <w:pStyle w:val="TextBody"/>
        <w:spacing w:lineRule="auto" w:line="268" w:before="240" w:after="0"/>
        <w:jc w:val="left"/>
        <w:rPr/>
      </w:pPr>
      <w:r>
        <w:rPr/>
        <w:t>•</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the pricing, coverage and reimbursement of our vaccine candidates, if approved;</w:t>
      </w:r>
    </w:p>
    <w:p>
      <w:pPr>
        <w:pStyle w:val="TextBody"/>
        <w:spacing w:lineRule="auto" w:line="268" w:before="240" w:after="0"/>
        <w:jc w:val="left"/>
        <w:rPr/>
      </w:pPr>
      <w:r>
        <w:rPr/>
        <w:t>•</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our ability and the ability of our third-party contract manufacturers to operate and continue operations in light of the COVID-19 pandemic;</w:t>
      </w:r>
    </w:p>
    <w:p>
      <w:pPr>
        <w:pStyle w:val="TextBody"/>
        <w:spacing w:lineRule="auto" w:line="268" w:before="240" w:after="0"/>
        <w:jc w:val="left"/>
        <w:rPr/>
      </w:pPr>
      <w:r>
        <w:rPr/>
        <w:t>•</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our ability to hire and retain key personnel;</w:t>
      </w:r>
    </w:p>
    <w:p>
      <w:pPr>
        <w:pStyle w:val="TextBody"/>
        <w:spacing w:lineRule="auto" w:line="268" w:before="240" w:after="0"/>
        <w:jc w:val="left"/>
        <w:rPr/>
      </w:pPr>
      <w:r>
        <w:rPr/>
        <w:t>•</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our ability to obtain additional financing; and</w:t>
      </w:r>
    </w:p>
    <w:p>
      <w:pPr>
        <w:pStyle w:val="TextBody"/>
        <w:spacing w:lineRule="auto" w:line="268" w:before="240" w:after="0"/>
        <w:jc w:val="left"/>
        <w:rPr/>
      </w:pPr>
      <w:r>
        <w:rPr/>
        <w:t>•</w:t>
      </w:r>
    </w:p>
    <w:p>
      <w:pPr>
        <w:pStyle w:val="TextBody"/>
        <w:spacing w:lineRule="auto" w:line="268" w:before="240" w:after="283"/>
        <w:jc w:val="left"/>
        <w:rPr>
          <w:rFonts w:ascii="Times New Roman" w:hAnsi="Times New Roman"/>
          <w:b w:val="false"/>
          <w:sz w:val="20"/>
        </w:rPr>
      </w:pPr>
      <w:r>
        <w:rPr>
          <w:rFonts w:ascii="Times New Roman" w:hAnsi="Times New Roman"/>
          <w:b w:val="false"/>
          <w:sz w:val="20"/>
        </w:rPr>
        <w:t>the volatility of the trading price of our common stock.</w:t>
      </w:r>
    </w:p>
    <w:p>
      <w:pPr>
        <w:pStyle w:val="TextBody"/>
        <w:spacing w:lineRule="auto" w:line="273" w:before="240" w:after="0"/>
        <w:jc w:val="left"/>
        <w:rPr>
          <w:rFonts w:ascii="Times New Roman" w:hAnsi="Times New Roman"/>
          <w:sz w:val="20"/>
        </w:rPr>
      </w:pPr>
      <w:r>
        <w:rPr>
          <w:rFonts w:ascii="Times New Roman" w:hAnsi="Times New Roman"/>
          <w:b w:val="false"/>
          <w:sz w:val="20"/>
        </w:rPr>
        <w:t>Actual events or results may differ from those expressed in forward-looking statements. You should not rely on forward-looking statements as predictions of future events. We have based the forward-looking statements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ii</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statements that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r>
        <w:rPr>
          <w:rFonts w:ascii="Times New Roman" w:hAnsi="Times New Roman"/>
          <w:sz w:val="20"/>
        </w:rPr>
        <w:t xml:space="preserve"> </w:t>
      </w:r>
    </w:p>
    <w:p>
      <w:pPr>
        <w:pStyle w:val="TextBody"/>
        <w:spacing w:lineRule="auto" w:line="273" w:before="240" w:after="0"/>
        <w:jc w:val="left"/>
        <w:rPr>
          <w:rFonts w:ascii="Times New Roman" w:hAnsi="Times New Roman"/>
          <w:b/>
          <w:sz w:val="20"/>
        </w:rPr>
      </w:pPr>
      <w:r>
        <w:rPr>
          <w:rFonts w:ascii="Times New Roman" w:hAnsi="Times New Roman"/>
          <w:b/>
          <w:sz w:val="20"/>
        </w:rPr>
        <w:t>Summary of Risks Affecting Our Business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business is subject to numerous risks and uncertainties, including those discussed more fully in the section titled “Risk Factors” in this Annual Report on Form 10-K. These risks include, but are not limited to, the following:</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are in the early stages of vaccine development and have a very limited operating history and no products approved for commercial sale, which may make it difficult for you to evaluate the success of our business to date and to assess our future viability.</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have incurred significant net losses since inception and anticipate that we will continue to incur substantial net losses for the foreseeable future. We currently have no source of product revenue and may never achieve profitability. Our stock is a highly speculative investment.</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will require substantial additional funding to finance our operations, which may not be available to us on acceptable terms, or at all. If we are unable to raise additional capital when needed, we could be forced to delay, reduce or terminate certain of our development programs or other operations.</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approach to the discovery and development of our vaccine candidates is based on novel technologies that are unproven, which may expose us to unforeseen risks, require us to modify processes, and make it difficult to predict the time and cost of vaccine candidate development and the timing to apply for and obtain regulatory approvals.</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Our vaccine candidates are in early stages of development and may fail in development or suffer delays that materially and adversely affect their commercial viability. If we are unable to complete development of or commercialize our vaccine candidates or experience significant delays in doing so, our business would be materially harmed.</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iii</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U.S. Food and Drug Administration, or FDA, may disagree with our regulatory plan, and we may fail to obtain regulatory approval of our vaccine candidates.</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Our business is highly dependent on the success of VAX-24, which is in the early stages of development. If we are unable to obtain approval for VAX-24 and effectively commercialize VAX-24, our business would be significantly harmed.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primary competitors have significantly greater resources and experience than we do, which may make it difficult for us to successfully develop our vaccine candidates, or may result in others discovering, developing or commercializing products before or more successfully than us.</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may not be successful in our efforts to use our cell-free protein synthesis platform to expand our pipeline of vaccine candidates and develop marketable products.</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currently rely on third-party manufacturing and supply partners, including Lonza Ltd., or Lonza, and Sutro Biopharma, Inc., or Sutro Biopharma, to supply raw materials and components for, and manufacture of, our preclinical and clinical supplies as well as our vaccine candidates. Our inability to procure necessary raw materials or to have sufficient quantities of preclinical and clinical supplies or the inability to have our vaccine candidates manufactured, including delays or interruptions at our third-party manufacturers, or our failure to comply with applicable regulatory requirements or to supply sufficient quantities at acceptable quality levels or prices, or at all, would materially and adversely affect our business.</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Health epidemics, including the effects of the ongoing COVID-19 pandemic, have impacted and could continue to impact our business, including in regions where we or third parties on which we rely have significant manufacturing facilities, concentrations of potential clinical trial sites or other business operations.</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FDA regulatory approval process is lengthy and time-consuming, and we may experience significant delays in the clinical development and regulatory approval of our vaccine candidates.</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If we are unable to obtain and maintain patent protection for our technology and products, or if the scope of the patent protection obtained is not sufficiently broad, we may not be able to compete effectively in our markets.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iv</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PART I</w:t>
      </w:r>
    </w:p>
    <w:p>
      <w:pPr>
        <w:pStyle w:val="TextBody"/>
        <w:spacing w:lineRule="auto" w:line="273" w:before="240" w:after="0"/>
        <w:jc w:val="left"/>
        <w:rPr>
          <w:rFonts w:ascii="Times New Roman" w:hAnsi="Times New Roman"/>
          <w:sz w:val="20"/>
        </w:rPr>
      </w:pPr>
      <w:bookmarkStart w:id="2" w:name="item_1_business"/>
      <w:bookmarkEnd w:id="2"/>
      <w:r>
        <w:rPr>
          <w:rFonts w:ascii="Times New Roman" w:hAnsi="Times New Roman"/>
          <w:b/>
          <w:sz w:val="20"/>
        </w:rPr>
        <w:t>Item 1.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Overview</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are a clinical-stage vaccine innovation company engineering high-fidelity vaccines to protect humankind from the consequences of bacterial diseases. We are developing broad-spectrum conjugate and novel protein vaccines to prevent or treat bacterial infectious diseases. We are re-engineering the way highly complex vaccines are made through modern synthetic techniques, including advanced chemistry and the XpressCF cell-free protein synthesis platform, exclusively licensed from Sutro Biopharma, Inc. Unlike conventional cell-based approaches, our system for producing difficult-to-make proteins and antigens is intended to accelerate our ability to efficiently create and deliver high-fidelity vaccines with enhanced immunological benefits.</w:t>
      </w:r>
    </w:p>
    <w:p>
      <w:pPr>
        <w:pStyle w:val="TextBody"/>
        <w:spacing w:lineRule="auto" w:line="273" w:before="240" w:after="0"/>
        <w:jc w:val="left"/>
        <w:rPr>
          <w:rFonts w:ascii="Times New Roman" w:hAnsi="Times New Roman"/>
          <w:sz w:val="20"/>
        </w:rPr>
      </w:pPr>
      <w:r>
        <w:rPr>
          <w:rFonts w:ascii="Times New Roman" w:hAnsi="Times New Roman"/>
          <w:b w:val="false"/>
          <w:sz w:val="20"/>
        </w:rPr>
        <w:t>Vaccines are one of the most successful and cost-effective global health interventions and prevent millions of deaths worldwide each year. Routine pediatric vaccinations are estimated to prevent 20 million cases of disease each year, saving over $180 billion in direct and societal costs in the United States alone. Adult vaccination rates are lower than pediatric vaccination rates, but new technologies are driving adult vaccine development, which in turn is fueling the growth of the overall vaccine market. Given the critical role vaccines play in preventing disease from childhood to adulthood, the global vaccine market is large, durable and growing. Nonetheless, there are areas of unmet medical need, including vaccines that can provide broader protection than currently marketed vaccines and novel vaccines that target pathogens for which there are no currently approved vaccines. We are driven to eradicate or treat invasive bacterial infections, which have serious and costly health consequences when left unchecked.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carefully select our target disease areas and vaccine candidates based on the following criteria: areas of significant unmet medical need, well-defined commercial landscape and efficient market adoption, acceptable biological risk and established clinical pathways. We are leveraging our scalable cell-free protein synthesis platform to develop potentially superior and novel conjugate and protein vaccine candidates for adult and pediatric indications using these criteria.</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pipeline includes:</w:t>
      </w:r>
    </w:p>
    <w:p>
      <w:pPr>
        <w:pStyle w:val="TextBody"/>
        <w:spacing w:lineRule="auto" w:line="273" w:before="240" w:after="0"/>
        <w:jc w:val="left"/>
        <w:rPr/>
      </w:pPr>
      <w:r>
        <w:rPr/>
        <w:t>•</w:t>
      </w:r>
    </w:p>
    <w:p>
      <w:pPr>
        <w:pStyle w:val="TextBody"/>
        <w:spacing w:lineRule="auto" w:line="273" w:before="240" w:after="0"/>
        <w:jc w:val="left"/>
        <w:rPr/>
      </w:pPr>
      <w:r>
        <w:rPr>
          <w:rFonts w:ascii="Times New Roman" w:hAnsi="Times New Roman"/>
          <w:b w:val="false"/>
          <w:sz w:val="20"/>
        </w:rPr>
        <w:t xml:space="preserve">Pneumococcal conjugate vaccine, or PCV, candidates that we believe are among the most broad-spectrum PCV candidates currently in development, targeting the approximately $7 billion global pneumococcal vaccine market. Pneumococcal disease, or PD, is an infection caused by </w:t>
      </w:r>
      <w:r>
        <w:rPr>
          <w:rFonts w:ascii="Times New Roman" w:hAnsi="Times New Roman"/>
          <w:b w:val="false"/>
          <w:i/>
          <w:sz w:val="20"/>
        </w:rPr>
        <w:t>Streptococcus pneumoniae,</w:t>
      </w:r>
      <w:r>
        <w:rPr/>
        <w:t xml:space="preserve"> </w:t>
      </w:r>
      <w:r>
        <w:rPr>
          <w:rFonts w:ascii="Times New Roman" w:hAnsi="Times New Roman"/>
          <w:b w:val="false"/>
          <w:sz w:val="20"/>
        </w:rPr>
        <w:t>or</w:t>
      </w:r>
      <w:r>
        <w:rPr/>
        <w:t xml:space="preserve"> </w:t>
      </w:r>
      <w:r>
        <w:rPr>
          <w:rFonts w:ascii="Times New Roman" w:hAnsi="Times New Roman"/>
          <w:b w:val="false"/>
          <w:sz w:val="20"/>
        </w:rPr>
        <w:t>pneumococcus, bacteria. It can result in invasive pneumococcal disease, or IPD, including meningitis and bacteremia, and non-invasive pneumococcal disease, including pneumonia, otitis media and sinusitis.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Our lead vaccine candidate, VAX-24, is a 24-valent, broad-spectrum investigational PCV being developed for the prevention of IPD and pneumonia. VAX-24 is intended to improve upon the standard-of-care PCV vaccines for both children and adults by covering the serotypes that are responsible for most of the residual pneumococcal disease currently in circulation. On January 6, 2022, we announced that the U.S. Food and Drug Administration, or FDA, cleared our Investigational New Drug, or IND, application for VAX-24 in adults. On February 23, 2022, we announced the initiation of our Phase 1/2 clinical proof-of-concept study of VAX-24 in adults 18 to 64 years of age. We expect to announce topline safety, tolerability and immunogenicity results from this Phase 1/2 clinical study by the end of 2022. The Phase 1 portion includes approximately 64 healthy adults 18 to 49 years of age and the Phase 2 portion includes approximately 800 healthy adults 50 to 64 years of age. Pending the successful completion of the Phase 1 portion of this study, we expect to begin enrollment in a separate Phase 2 study in healthy adults aged 65 and older and to announce topline safety, tolerability and immunogenicity results from this study in the first half of 2023. We also anticipate submitting our first VAX-24 pediatric IND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application to the FDA in the first half of 2023, subject to a pre-IND meeting with the FDA and successful topline results from the VAX-24 Phase 1/2 study in adults 18 to 64 years of age.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second PCV candidate, VAX-XP, leverages our scalable and modular platform and builds on the technical proof-of-concept established by VAX-24 and is designed to expand the breadth of coverage to greater than 30 strains without compromising immunogenicity due to carrier suppression.</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VAX-A1, a novel conjugate vaccine candidate designed to prevent Group A Strep, a pervasive disease that results in 700 million cases of illness annually, including pharyngitis, or strep throat, and certain severe invasive infections such as sepsis, necrotizing fasciitis and toxic shock syndrome. There is currently no vaccine against Group A Strep, which is one of the leading infectious disease-related causes of death and disability worldwide. We believe we have demonstrated preclinical proof of concept for VAX-A1, the data for which were published in December 2020. We nominated the final vaccine candidate for VAX-A1 in the first quarter of 2021 and initiated IND-enabling activities in the second half of 2021.</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VAX-PG, a novel protein vaccine candidate targeting the keystone pathogen responsible for periodontitis, a chronic oral inflammatory disease affecting an estimated 65 million adults in the United States. We believe we have demonstrated preclinical proof of concept, the data for which was published in February 2019. We expect to nominate a final vaccine candidate for VAX-PG by the end of 2022. Our initial goal is to develop a therapeutic vaccine to slow or stop disease progression; however, the results from clinical trials may inform the potential adoption of prophylactic immunization.</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We have other discovery-stage programs that leverage our cell-free protein synthesis platform, which, if proven successful in preclinical studies, could also be advanced into IND-enabling activities and clinical studies. </w:t>
      </w:r>
    </w:p>
    <w:p>
      <w:pPr>
        <w:pStyle w:val="TextBody"/>
        <w:spacing w:lineRule="auto" w:line="273" w:before="240" w:after="0"/>
        <w:jc w:val="left"/>
        <w:rPr>
          <w:rFonts w:ascii="Times New Roman" w:hAnsi="Times New Roman"/>
          <w:sz w:val="20"/>
        </w:rPr>
      </w:pPr>
      <w:r>
        <w:rPr>
          <w:rFonts w:ascii="Times New Roman" w:hAnsi="Times New Roman"/>
          <w:b w:val="false"/>
          <w:sz w:val="20"/>
        </w:rPr>
        <w:t>Our modern synthetic techniques, including advanced chemistry and the XpressCF cell-free protein synthesis platform, offer several advantages over conventional cell-based protein expression methods, which we believe enable us to generate superior, novel, more broad-spectrum and/or more immunogenic vaccines. In the context of conjugate vaccines, we believe we can add more antigenic strains without compromising the overall immune response. In particular, our ability to specify the attachment point of antigens, including polysaccharides, on protein carriers represents a significant improvement over the random conjugation that occurs with conventional technologies. This site-specific conjugation is designed to ensure that B-cell and/or T-cell epitopes are optimally exposed, maximizing the immune response, whereas random conjugation blocks these critical immunogenic epitopes, which dampens the immune response and may lead to a phenomenon known as carrier suppression.</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believe this precise control of conjugation chemistry enables us to design broader-spectrum conjugate vaccine candidates using carrier-sparing conjugates that use less protein carrier without sacrificing immunogenicity. We are also able to design novel conjugate vaccine candidates using standard amounts of protein carrier to generate heightened immunogenicity. Beyond conjugate vaccines, we believe we can also design novel protein vaccine candidates based on well-appreciated but highly complex antigens that currently cannot be made using conventional technologies to address diseases for which there are no available vaccines. In addition, our platform enables us to rapidly screen vaccine candidates, requiring less effort than conventional chemistry which allows us to produce and iterate conjugate candidates, thereby dramatically accelerating the development cycle of designing, producing and testing vaccine candidates.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sz w:val="20"/>
        </w:rPr>
        <w:t>Our Approach</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To address areas of significant unmet medical need, we carefully select the disease areas we target and are developing vaccine candidates based on the following criteria:</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pPr>
      <w:r>
        <w:rPr>
          <w:rFonts w:ascii="Times New Roman" w:hAnsi="Times New Roman"/>
          <w:b w:val="false"/>
          <w:i/>
          <w:sz w:val="20"/>
        </w:rPr>
        <w:t>Well-defined commercial landscape and efficient market adoption:</w:t>
      </w:r>
      <w:r>
        <w:rPr/>
        <w:t xml:space="preserve"> </w:t>
      </w:r>
      <w:r>
        <w:rPr>
          <w:rFonts w:ascii="Times New Roman" w:hAnsi="Times New Roman"/>
          <w:b w:val="false"/>
          <w:sz w:val="20"/>
        </w:rPr>
        <w:t xml:space="preserve">We select vaccine targets that are characterized by an established patient population and significant unmet medical need. Our lead vaccine candidate, VAX-24, is a PCV intended to improve upon the standard-of-care for both children and adults by covering the serotypes that are responsible for most of the residual pneumococcal disease currently in circulation without sacrificing immunogenicity. We believe that by providing the broadest coverage of serotypes for PCVs, as well as providing novel vaccines for diseases for which there are no currently approved vaccines, we can leverage the U.S. Centers for Disease Control, or CDC, its Advisory Committee on Immunization Practices, or ACIP, and similar international advisory body recommendations to drive rapid and significant market adoption. </w:t>
      </w:r>
    </w:p>
    <w:p>
      <w:pPr>
        <w:pStyle w:val="TextBody"/>
        <w:spacing w:lineRule="auto" w:line="273" w:before="240" w:after="0"/>
        <w:jc w:val="left"/>
        <w:rPr/>
      </w:pPr>
      <w:r>
        <w:rPr/>
        <w:t>•</w:t>
      </w:r>
    </w:p>
    <w:p>
      <w:pPr>
        <w:pStyle w:val="TextBody"/>
        <w:spacing w:lineRule="auto" w:line="273" w:before="240" w:after="0"/>
        <w:jc w:val="left"/>
        <w:rPr/>
      </w:pPr>
      <w:r>
        <w:rPr>
          <w:rFonts w:ascii="Times New Roman" w:hAnsi="Times New Roman"/>
          <w:b w:val="false"/>
          <w:i/>
          <w:sz w:val="20"/>
        </w:rPr>
        <w:t>Acceptable biological risk:</w:t>
      </w:r>
      <w:r>
        <w:rPr/>
        <w:t xml:space="preserve"> </w:t>
      </w:r>
      <w:r>
        <w:rPr>
          <w:rFonts w:ascii="Times New Roman" w:hAnsi="Times New Roman"/>
          <w:b w:val="false"/>
          <w:sz w:val="20"/>
        </w:rPr>
        <w:t xml:space="preserve">We choose vaccine targets with well-understood mechanisms of action and strong precedents for positive preclinical study results that we believe will translate to positive clinical trial results. For example, conjugate vaccines have demonstrated effectiveness in both preclinical and clinical trials against a range of bacteria, including pneumococcus, meningococcus and Haemophilus influenza B. There is consistent evidence that antibodies directed against these bacteria are protective against their respective diseases. </w:t>
      </w:r>
    </w:p>
    <w:p>
      <w:pPr>
        <w:pStyle w:val="TextBody"/>
        <w:spacing w:lineRule="auto" w:line="266" w:before="240" w:after="0"/>
        <w:jc w:val="left"/>
        <w:rPr/>
      </w:pPr>
      <w:r>
        <w:rPr/>
        <w:t>•</w:t>
      </w:r>
    </w:p>
    <w:p>
      <w:pPr>
        <w:pStyle w:val="TextBody"/>
        <w:spacing w:lineRule="auto" w:line="266" w:before="240" w:after="283"/>
        <w:jc w:val="left"/>
        <w:rPr/>
      </w:pPr>
      <w:r>
        <w:rPr>
          <w:rFonts w:ascii="Times New Roman" w:hAnsi="Times New Roman"/>
          <w:b w:val="false"/>
          <w:i/>
          <w:sz w:val="20"/>
        </w:rPr>
        <w:t>Established clinical pathways:</w:t>
      </w:r>
      <w:r>
        <w:rPr/>
        <w:t xml:space="preserve"> </w:t>
      </w:r>
      <w:r>
        <w:rPr>
          <w:rFonts w:ascii="Times New Roman" w:hAnsi="Times New Roman"/>
          <w:b w:val="false"/>
          <w:sz w:val="20"/>
        </w:rPr>
        <w:t xml:space="preserve">We pursue vaccine targets that we believe have clear and established clinical development pathways in order to accelerate the potential time to market. For example, we believe that our PCVs could receive regulatory approval based on successful completion of clinical studies utilizing well-defined surrogate immune endpoints, consistent with how other PCVs have obtained regulatory approval in the past, rather than requiring clinical field efficacy studies. However, while there have been approvals granted for both PCVs and meningococcal conjugate vaccines based on surrogate immune endpoints rather than field efficacy studies, we will not be able to confirm this approach’s applicability for our PCVs until we complete our Phase 2 clinical development program. For our novel vaccine candidates, where we believe clinical field efficacy studies will be necessary, we select disease areas with high attack rates, such as Group A Strep, which may allow for more manageable study sizes. For novel protein-based therapeutic vaccine candidates, such as our periodontitis vaccine candidate, we select disease areas where we believe clinical efficacy may be evaluated based on disease progression rather than prevention, which could allow for smaller and faster trials relative to preventative vaccines. </w:t>
      </w:r>
    </w:p>
    <w:p>
      <w:pPr>
        <w:pStyle w:val="TextBody"/>
        <w:spacing w:lineRule="auto" w:line="266" w:before="240" w:after="0"/>
        <w:jc w:val="left"/>
        <w:rPr>
          <w:rFonts w:ascii="Times New Roman" w:hAnsi="Times New Roman"/>
          <w:sz w:val="20"/>
        </w:rPr>
      </w:pPr>
      <w:r>
        <w:rPr>
          <w:rFonts w:ascii="Times New Roman" w:hAnsi="Times New Roman"/>
          <w:b/>
          <w:sz w:val="20"/>
        </w:rPr>
        <w:t>Our Platform</w:t>
      </w:r>
      <w:r>
        <w:rPr>
          <w:rFonts w:ascii="Times New Roman" w:hAnsi="Times New Roman"/>
          <w:sz w:val="20"/>
        </w:rPr>
        <w:t xml:space="preserve"> </w:t>
      </w:r>
    </w:p>
    <w:p>
      <w:pPr>
        <w:pStyle w:val="TextBody"/>
        <w:spacing w:lineRule="auto" w:line="266" w:before="240" w:after="0"/>
        <w:jc w:val="left"/>
        <w:rPr>
          <w:rFonts w:ascii="Times New Roman" w:hAnsi="Times New Roman"/>
          <w:sz w:val="20"/>
        </w:rPr>
      </w:pPr>
      <w:r>
        <w:rPr>
          <w:rFonts w:ascii="Times New Roman" w:hAnsi="Times New Roman"/>
          <w:b w:val="false"/>
          <w:sz w:val="20"/>
        </w:rPr>
        <w:t>We are re-engineering the way highly complex vaccines are made through modern synthetic techniques, including advanced chemistry and the XpressCF</w:t>
      </w:r>
      <w:r>
        <w:rPr>
          <w:rFonts w:ascii="Times New Roman" w:hAnsi="Times New Roman"/>
          <w:sz w:val="20"/>
        </w:rPr>
        <w:t xml:space="preserve"> </w:t>
      </w:r>
      <w:r>
        <w:rPr>
          <w:rFonts w:ascii="Times New Roman" w:hAnsi="Times New Roman"/>
          <w:b w:val="false"/>
          <w:sz w:val="20"/>
        </w:rPr>
        <w:t>cell-free protein synthesis platform to develop potentially superior and novel conjugate and protein vaccine candidates for adult and pediatric indications using the above criteria by taking advantage of the following:</w:t>
      </w:r>
    </w:p>
    <w:p>
      <w:pPr>
        <w:pStyle w:val="TextBody"/>
        <w:spacing w:lineRule="auto" w:line="266" w:before="240" w:after="0"/>
        <w:jc w:val="left"/>
        <w:rPr/>
      </w:pPr>
      <w:r>
        <w:rPr/>
        <w:t>•</w:t>
      </w:r>
    </w:p>
    <w:p>
      <w:pPr>
        <w:pStyle w:val="TextBody"/>
        <w:spacing w:lineRule="auto" w:line="266" w:before="240" w:after="0"/>
        <w:jc w:val="left"/>
        <w:rPr/>
      </w:pPr>
      <w:r>
        <w:rPr>
          <w:rFonts w:ascii="Times New Roman" w:hAnsi="Times New Roman"/>
          <w:b w:val="false"/>
          <w:i/>
          <w:sz w:val="20"/>
        </w:rPr>
        <w:t xml:space="preserve">Site-Specific Conjugation. </w:t>
      </w:r>
      <w:r>
        <w:rPr>
          <w:rFonts w:ascii="Times New Roman" w:hAnsi="Times New Roman"/>
          <w:b w:val="false"/>
          <w:sz w:val="20"/>
        </w:rPr>
        <w:t>We are able to specify the attachment point of antigens, including polysaccharides, on protein carriers to ensure optimal exposure of B-cell and/or T-cell epitopes, thereby creating protein carriers designed to have enhanced potency. We believe this precise control of conjugation chemistry enables us to create broader-spectrum conjugate vaccine candidates using carrier-sparing conjugates that use less protein carrier without sacrificing immunogenicity. We are also able to design novel conjugate vaccine candidates using standard amounts of protein carrier to generate heightened immunogenicity.</w:t>
      </w:r>
    </w:p>
    <w:p>
      <w:pPr>
        <w:pStyle w:val="TextBody"/>
        <w:spacing w:lineRule="auto" w:line="266" w:before="240" w:after="0"/>
        <w:jc w:val="left"/>
        <w:rPr/>
      </w:pPr>
      <w:r>
        <w:rPr/>
        <w:t>•</w:t>
      </w:r>
    </w:p>
    <w:p>
      <w:pPr>
        <w:pStyle w:val="TextBody"/>
        <w:spacing w:lineRule="auto" w:line="266" w:before="240" w:after="283"/>
        <w:jc w:val="left"/>
        <w:rPr/>
      </w:pPr>
      <w:r>
        <w:rPr>
          <w:rFonts w:ascii="Times New Roman" w:hAnsi="Times New Roman"/>
          <w:b w:val="false"/>
          <w:i/>
          <w:sz w:val="20"/>
        </w:rPr>
        <w:t>Production of Novel Protein Vaccines</w:t>
      </w:r>
      <w:r>
        <w:rPr>
          <w:rFonts w:ascii="Times New Roman" w:hAnsi="Times New Roman"/>
          <w:b w:val="false"/>
          <w:sz w:val="20"/>
        </w:rPr>
        <w:t xml:space="preserve">. We can design novel protein vaccine candidates based on well-appreciated but highly complex antigens that currently cannot be made with conventional technologies to address diseases for which there are no available vaccines, and we believe we may be able to leverage our platform to rapidly respond to new or emerging pathogens. We can design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w:t>
      </w:r>
    </w:p>
    <w:p>
      <w:pPr>
        <w:pStyle w:val="HorizontalLine"/>
        <w:rPr/>
      </w:pPr>
      <w:r>
        <w:rPr/>
      </w:r>
    </w:p>
    <w:p>
      <w:pPr>
        <w:pStyle w:val="TextBody"/>
        <w:spacing w:lineRule="auto" w:line="273" w:before="0" w:after="0"/>
        <w:jc w:val="left"/>
        <w:rPr/>
      </w:pPr>
      <w:r>
        <w:rPr/>
        <w:t> </w:t>
      </w:r>
    </w:p>
    <w:p>
      <w:pPr>
        <w:pStyle w:val="TextBody"/>
        <w:spacing w:lineRule="auto" w:line="266" w:before="240" w:after="0"/>
        <w:jc w:val="left"/>
        <w:rPr>
          <w:rFonts w:ascii="Times New Roman" w:hAnsi="Times New Roman"/>
          <w:b w:val="false"/>
          <w:sz w:val="20"/>
        </w:rPr>
      </w:pPr>
      <w:r>
        <w:rPr>
          <w:rFonts w:ascii="Times New Roman" w:hAnsi="Times New Roman"/>
          <w:b w:val="false"/>
          <w:sz w:val="20"/>
        </w:rPr>
        <w:t>and produce these “tough-to-make” antigens that conform to the target pathogens, thereby increasing the likelihood that the vaccine will elicit a protective immune response.</w:t>
      </w:r>
    </w:p>
    <w:p>
      <w:pPr>
        <w:pStyle w:val="TextBody"/>
        <w:spacing w:lineRule="auto" w:line="266" w:before="240" w:after="0"/>
        <w:jc w:val="left"/>
        <w:rPr/>
      </w:pPr>
      <w:r>
        <w:rPr/>
        <w:t>•</w:t>
      </w:r>
    </w:p>
    <w:p>
      <w:pPr>
        <w:pStyle w:val="TextBody"/>
        <w:spacing w:lineRule="auto" w:line="266" w:before="240" w:after="283"/>
        <w:jc w:val="left"/>
        <w:rPr/>
      </w:pPr>
      <w:r>
        <w:rPr>
          <w:rFonts w:ascii="Times New Roman" w:hAnsi="Times New Roman"/>
          <w:b w:val="false"/>
          <w:i/>
          <w:sz w:val="20"/>
        </w:rPr>
        <w:t xml:space="preserve">Speed, Flexibility and Scalability of the Discovery Engine. </w:t>
      </w:r>
      <w:r>
        <w:rPr>
          <w:rFonts w:ascii="Times New Roman" w:hAnsi="Times New Roman"/>
          <w:b w:val="false"/>
          <w:sz w:val="20"/>
        </w:rPr>
        <w:t>We are able to rapidly screen vaccine candidates and produce conjugates, thereby accelerating the process of making and testing vaccine candidates. Because cell viability is not required for cell-free protein synthesis, we can utilize a broader range of reaction conditions as we seek to optimize proteins. This flexibility enables us to develop novel vaccine candidates unachievable with current technologies. Furthermore, we believe our platform can scale linearly from discovery to commercial scale.</w:t>
      </w:r>
    </w:p>
    <w:p>
      <w:pPr>
        <w:pStyle w:val="TextBody"/>
        <w:spacing w:lineRule="auto" w:line="266" w:before="240" w:after="0"/>
        <w:jc w:val="left"/>
        <w:rPr>
          <w:rFonts w:ascii="Times New Roman" w:hAnsi="Times New Roman"/>
          <w:sz w:val="20"/>
        </w:rPr>
      </w:pPr>
      <w:r>
        <w:rPr>
          <w:rFonts w:ascii="Times New Roman" w:hAnsi="Times New Roman"/>
          <w:b/>
          <w:sz w:val="20"/>
        </w:rPr>
        <w:t>Our Strategy</w:t>
      </w:r>
      <w:r>
        <w:rPr>
          <w:rFonts w:ascii="Times New Roman" w:hAnsi="Times New Roman"/>
          <w:sz w:val="20"/>
        </w:rPr>
        <w:t xml:space="preserve"> </w:t>
      </w:r>
    </w:p>
    <w:p>
      <w:pPr>
        <w:pStyle w:val="TextBody"/>
        <w:spacing w:lineRule="auto" w:line="266" w:before="240" w:after="0"/>
        <w:jc w:val="left"/>
        <w:rPr>
          <w:rFonts w:ascii="Times New Roman" w:hAnsi="Times New Roman"/>
          <w:sz w:val="20"/>
        </w:rPr>
      </w:pPr>
      <w:r>
        <w:rPr>
          <w:rFonts w:ascii="Times New Roman" w:hAnsi="Times New Roman"/>
          <w:b w:val="false"/>
          <w:sz w:val="20"/>
        </w:rPr>
        <w:t>Our goal is to become a leader in the vaccines industry by using our cell-free protein synthesis platform to develop superior and/or novel vaccines to prevent or treat serious infectious diseases. Key elements of our strategy include:</w:t>
      </w:r>
      <w:r>
        <w:rPr>
          <w:rFonts w:ascii="Times New Roman" w:hAnsi="Times New Roman"/>
          <w:sz w:val="20"/>
        </w:rPr>
        <w:t xml:space="preserve"> </w:t>
      </w:r>
    </w:p>
    <w:p>
      <w:pPr>
        <w:pStyle w:val="TextBody"/>
        <w:spacing w:lineRule="auto" w:line="266" w:before="240" w:after="0"/>
        <w:jc w:val="left"/>
        <w:rPr/>
      </w:pPr>
      <w:r>
        <w:rPr/>
        <w:t>•</w:t>
      </w:r>
    </w:p>
    <w:p>
      <w:pPr>
        <w:pStyle w:val="TextBody"/>
        <w:spacing w:lineRule="auto" w:line="266" w:before="240" w:after="0"/>
        <w:jc w:val="left"/>
        <w:rPr/>
      </w:pPr>
      <w:r>
        <w:rPr>
          <w:rFonts w:ascii="Times New Roman" w:hAnsi="Times New Roman"/>
          <w:b w:val="false"/>
          <w:i/>
          <w:sz w:val="20"/>
        </w:rPr>
        <w:t>Advance VAX-24 through clinical development and regulatory approval.</w:t>
      </w:r>
      <w:r>
        <w:rPr/>
        <w:t xml:space="preserve"> </w:t>
      </w:r>
      <w:r>
        <w:rPr>
          <w:rFonts w:ascii="Times New Roman" w:hAnsi="Times New Roman"/>
          <w:b w:val="false"/>
          <w:sz w:val="20"/>
        </w:rPr>
        <w:t xml:space="preserve">Our lead vaccine candidate, VAX-24, targets the pneumococcal vaccine market. We expect to advance VAX-24 along a well-understood clinical development pathway in an effort to obtain regulatory approval in adults and infants based on successful completion of clinical studies using previously established surrogate immune endpoints, potentially without the need to conduct a clinical field efficacy study, consistent with how other conjugate vaccines have obtained approval. On January 6, 2022, we announced that the FDA cleared our IND application for VAX-24. On February 23, 2022, we announced the initiation of our Phase 1/2 clinical proof-of-concept study of VAX-24 in adults 18 to 64 years of age. We expect to announce Phase 1/2 topline safety, tolerability and immunogenicity results from this study by the end of 2022. Pending the successful completion of the Phase 1 portion of this study, we expect to begin enrollment in a separate Phase 2 study in healthy adults aged 65 and older and to announce topline safety, tolerability and immunogenicity results from this study in the first half of 2023. Subject to a pre-IND meeting with the FDA and successful topline results of the initial Phase 1/2 proof-of-concept study in adults ages 18 to 64, we anticipate submitting a pediatric IND application to the FDA for VAX-24 in the first half of 2023. </w:t>
      </w:r>
    </w:p>
    <w:p>
      <w:pPr>
        <w:pStyle w:val="TextBody"/>
        <w:spacing w:lineRule="auto" w:line="266" w:before="240" w:after="0"/>
        <w:jc w:val="left"/>
        <w:rPr/>
      </w:pPr>
      <w:r>
        <w:rPr/>
        <w:t>•</w:t>
      </w:r>
    </w:p>
    <w:p>
      <w:pPr>
        <w:pStyle w:val="TextBody"/>
        <w:spacing w:lineRule="auto" w:line="266" w:before="240" w:after="0"/>
        <w:jc w:val="left"/>
        <w:rPr/>
      </w:pPr>
      <w:r>
        <w:rPr>
          <w:rFonts w:ascii="Times New Roman" w:hAnsi="Times New Roman"/>
          <w:b w:val="false"/>
          <w:i/>
          <w:sz w:val="20"/>
        </w:rPr>
        <w:t>Advance VAX-XP through IND-enabling activities, clinical development and regulatory approval.</w:t>
      </w:r>
      <w:r>
        <w:rPr/>
        <w:t xml:space="preserve"> </w:t>
      </w:r>
      <w:r>
        <w:rPr>
          <w:rFonts w:ascii="Times New Roman" w:hAnsi="Times New Roman"/>
          <w:b w:val="false"/>
          <w:sz w:val="20"/>
        </w:rPr>
        <w:t>Our second PCV candidate, VAX-XP, leverages our scalable and modular platform and builds on the technical proof of concept established by VAX-24 and is designed to expand the breadth of coverage to greater than 30 strains without compromising immunogenicity due to carrier suppression. We intend to advance VAX-XP to maximize the optionality for and value of our PCV franchise.</w:t>
      </w:r>
    </w:p>
    <w:p>
      <w:pPr>
        <w:pStyle w:val="TextBody"/>
        <w:spacing w:lineRule="auto" w:line="268" w:before="240" w:after="0"/>
        <w:jc w:val="left"/>
        <w:rPr/>
      </w:pPr>
      <w:r>
        <w:rPr/>
        <w:t>•</w:t>
      </w:r>
    </w:p>
    <w:p>
      <w:pPr>
        <w:pStyle w:val="TextBody"/>
        <w:spacing w:lineRule="auto" w:line="268" w:before="240" w:after="0"/>
        <w:jc w:val="left"/>
        <w:rPr/>
      </w:pPr>
      <w:r>
        <w:rPr>
          <w:rFonts w:ascii="Times New Roman" w:hAnsi="Times New Roman"/>
          <w:b w:val="false"/>
          <w:i/>
          <w:sz w:val="20"/>
        </w:rPr>
        <w:t>Establish scalable production of VAX-24 and VAX-XP.</w:t>
      </w:r>
      <w:r>
        <w:rPr/>
        <w:t xml:space="preserve"> </w:t>
      </w:r>
      <w:r>
        <w:rPr>
          <w:rFonts w:ascii="Times New Roman" w:hAnsi="Times New Roman"/>
          <w:b w:val="false"/>
          <w:sz w:val="20"/>
        </w:rPr>
        <w:t xml:space="preserve">We believe high-quality and scalable manufacturing is critical to our long-term success. We have designed and developed a proprietary, scalable and portable manufacturing process that we believe can scale to supply clinical and commercial volumes of VAX-24 needed to serve both adult and pediatric populations. We have completed the production of Phase 1/2 clinical trial material for VAX-24 and are conducting Phase 3 optimization and commercial scale-up activities. We have access to substantial manufacturing resources through our contract manufacturer, Lonza, that we believe can facilitate an independent path to market. Moreover, our next-generation VAX-XP program will use the components and core manufacturing processes established for VAX-24. </w:t>
      </w:r>
    </w:p>
    <w:p>
      <w:pPr>
        <w:pStyle w:val="TextBody"/>
        <w:spacing w:lineRule="auto" w:line="268" w:before="240" w:after="0"/>
        <w:jc w:val="left"/>
        <w:rPr/>
      </w:pPr>
      <w:r>
        <w:rPr/>
        <w:t>•</w:t>
      </w:r>
    </w:p>
    <w:p>
      <w:pPr>
        <w:pStyle w:val="TextBody"/>
        <w:spacing w:lineRule="auto" w:line="268" w:before="240" w:after="283"/>
        <w:jc w:val="left"/>
        <w:rPr/>
      </w:pPr>
      <w:r>
        <w:rPr>
          <w:rFonts w:ascii="Times New Roman" w:hAnsi="Times New Roman"/>
          <w:b w:val="false"/>
          <w:i/>
          <w:sz w:val="20"/>
        </w:rPr>
        <w:t>Create a long-lasting PCV franchise by offering the broadest-spectrum PCV available.</w:t>
      </w:r>
      <w:r>
        <w:rPr/>
        <w:t xml:space="preserve"> </w:t>
      </w:r>
      <w:r>
        <w:rPr>
          <w:rFonts w:ascii="Times New Roman" w:hAnsi="Times New Roman"/>
          <w:b w:val="false"/>
          <w:sz w:val="20"/>
        </w:rPr>
        <w:t xml:space="preserve">The two leading pneumococcal vaccine franchises to date, Prevnar and Pneumovax 23, have generated over $100 billion in combined sales, have been on the market for over 40 years and 20 years, respectively, and can attribute their success to being the broadest-spectrum vaccines on the market. If approved, we believe VAX-24 may obtain an ACIP preferred recommendation and potentially replace both lesser-valent incumbents for pneumococcal disease prevention in both adult and pediatric populations because of its broader coverage. We designed VAX-24 to address the 24 pneumococcal strains covered by Prevnar and Pneumovax 23 that drive most pneumococcal disease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w:t>
      </w:r>
    </w:p>
    <w:p>
      <w:pPr>
        <w:pStyle w:val="HorizontalLine"/>
        <w:rPr/>
      </w:pPr>
      <w:r>
        <w:rPr/>
      </w:r>
    </w:p>
    <w:p>
      <w:pPr>
        <w:pStyle w:val="TextBody"/>
        <w:spacing w:lineRule="auto" w:line="273" w:before="0" w:after="0"/>
        <w:jc w:val="left"/>
        <w:rPr/>
      </w:pPr>
      <w:r>
        <w:rPr/>
        <w:t> </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today with the durable, boostable immune response of a conjugate vaccine. Further, we have designed VAX-XP to address these 24 strains plus additional epidemiologically significant emerging strains expected to cause increasing pneumococcal disease and antibiotic resistance in the future. With these broad-spectrum vaccine candidates, we believe we are well-positioned to obtain an ACIP preferred recommendation and potentially replace the current standard of care for pneumococcal disease prevention in both adult and pediatric populations, thereby creating a long-lasting PCV franchise.</w:t>
      </w:r>
    </w:p>
    <w:p>
      <w:pPr>
        <w:pStyle w:val="TextBody"/>
        <w:spacing w:lineRule="auto" w:line="268" w:before="240" w:after="0"/>
        <w:jc w:val="left"/>
        <w:rPr/>
      </w:pPr>
      <w:r>
        <w:rPr/>
        <w:t>•</w:t>
      </w:r>
    </w:p>
    <w:p>
      <w:pPr>
        <w:pStyle w:val="TextBody"/>
        <w:spacing w:lineRule="auto" w:line="268" w:before="240" w:after="0"/>
        <w:jc w:val="left"/>
        <w:rPr>
          <w:rFonts w:ascii="Times New Roman" w:hAnsi="Times New Roman"/>
          <w:b w:val="false"/>
          <w:i/>
          <w:sz w:val="20"/>
        </w:rPr>
      </w:pPr>
      <w:r>
        <w:rPr>
          <w:rFonts w:ascii="Times New Roman" w:hAnsi="Times New Roman"/>
          <w:b w:val="false"/>
          <w:i/>
          <w:sz w:val="20"/>
        </w:rPr>
        <w:t xml:space="preserve">Advance our novel vaccine candidates and leverage our platform to expand our pipeline. </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o</w:t>
      </w:r>
    </w:p>
    <w:p>
      <w:pPr>
        <w:pStyle w:val="TextBody"/>
        <w:spacing w:lineRule="auto" w:line="268" w:before="240" w:after="0"/>
        <w:jc w:val="left"/>
        <w:rPr/>
      </w:pPr>
      <w:r>
        <w:rPr>
          <w:rFonts w:ascii="Times New Roman" w:hAnsi="Times New Roman"/>
          <w:b w:val="false"/>
          <w:i/>
          <w:sz w:val="20"/>
        </w:rPr>
        <w:t>Advance VAX-A1 through IND-enabling activities, clinical development and regulatory approval</w:t>
      </w:r>
      <w:r>
        <w:rPr>
          <w:rFonts w:ascii="Times New Roman" w:hAnsi="Times New Roman"/>
          <w:b w:val="false"/>
          <w:sz w:val="20"/>
        </w:rPr>
        <w:t xml:space="preserve">. VAX-A1 is designed to prevent Group A Strep, a pervasive disease that results in 700 million cases of illness each year and is one of the leading infectious disease-related causes of death and disability worldwide. Some of the most serious consequences of Group A Strep include flesh eating disease (necrotizing fasciitis) and invasive diseases such as sepsis and rheumatic heart disease. However, the majority of Group A Strep cases are pharyngitis, commonly known as strep throat. Pharyngitis is highly prevalent in school-age children and a significant source of antibiotic prescriptions, which further exacerbates the growing problem of antibiotic resistance globally. VAX-A1 is a conjugate vaccine candidate designed to confer broad protective immune responses against all subtypes of Group A Strep and be boostable to offer long-lasting protection from infection. We believe our data published in December 2020 demonstrated preclinical proof of concept for VAX-A1. We nominated the final vaccine candidate for VAX-A1 in the first quarter of 2021 and initiated IND-enabling activities in the second half of 2021. </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o</w:t>
      </w:r>
    </w:p>
    <w:p>
      <w:pPr>
        <w:pStyle w:val="TextBody"/>
        <w:spacing w:lineRule="auto" w:line="268" w:before="240" w:after="0"/>
        <w:jc w:val="left"/>
        <w:rPr/>
      </w:pPr>
      <w:r>
        <w:rPr>
          <w:rFonts w:ascii="Times New Roman" w:hAnsi="Times New Roman"/>
          <w:b w:val="false"/>
          <w:i/>
          <w:sz w:val="20"/>
        </w:rPr>
        <w:t>Advance VAX-PG to final vaccine candidate nomination and IND-enabling activities, clinical development and regulatory approval.</w:t>
      </w:r>
      <w:r>
        <w:rPr/>
        <w:t xml:space="preserve"> </w:t>
      </w:r>
      <w:r>
        <w:rPr>
          <w:rFonts w:ascii="Times New Roman" w:hAnsi="Times New Roman"/>
          <w:b w:val="false"/>
          <w:sz w:val="20"/>
        </w:rPr>
        <w:t xml:space="preserve">VAX-PG is our novel protein vaccine candidate which targets the keystone pathogen responsible for periodontitis, a chronic oral inflammatory disease affecting an estimated 65 million adults in the United States. Our initial goal is to develop a therapeutic vaccine to slow or stop disease progression; however, the results from clinical trials may inform the potential adoption of prophylactic immunization. We have established preclinical proof of concept for VAX-PG, and we expect to nominate a final vaccine candidate for VAX-PG by the end of 2022. </w:t>
      </w:r>
    </w:p>
    <w:p>
      <w:pPr>
        <w:pStyle w:val="TextBody"/>
        <w:spacing w:lineRule="auto" w:line="268" w:before="240" w:after="0"/>
        <w:jc w:val="left"/>
        <w:rPr>
          <w:rFonts w:ascii="Times New Roman" w:hAnsi="Times New Roman"/>
          <w:b w:val="false"/>
          <w:sz w:val="20"/>
        </w:rPr>
      </w:pPr>
      <w:r>
        <w:rPr>
          <w:rFonts w:ascii="Times New Roman" w:hAnsi="Times New Roman"/>
          <w:b w:val="false"/>
          <w:sz w:val="20"/>
        </w:rPr>
        <w:t>o</w:t>
      </w:r>
    </w:p>
    <w:p>
      <w:pPr>
        <w:pStyle w:val="TextBody"/>
        <w:spacing w:lineRule="auto" w:line="268" w:before="240" w:after="0"/>
        <w:jc w:val="left"/>
        <w:rPr/>
      </w:pPr>
      <w:r>
        <w:rPr>
          <w:rFonts w:ascii="Times New Roman" w:hAnsi="Times New Roman"/>
          <w:b w:val="false"/>
          <w:i/>
          <w:sz w:val="20"/>
        </w:rPr>
        <w:t>Leverage our platform for other discovery stage programs.</w:t>
      </w:r>
      <w:r>
        <w:rPr/>
        <w:t xml:space="preserve"> </w:t>
      </w:r>
      <w:r>
        <w:rPr>
          <w:rFonts w:ascii="Times New Roman" w:hAnsi="Times New Roman"/>
          <w:b w:val="false"/>
          <w:sz w:val="20"/>
        </w:rPr>
        <w:t xml:space="preserve">We are also able to leverage our platform as a discovery engine given our ability to uniquely create building blocks to construct potential novel conjugate and protein vaccine candidates, and we have other discovery-stage programs which leverage this platform. </w:t>
      </w:r>
    </w:p>
    <w:p>
      <w:pPr>
        <w:pStyle w:val="TextBody"/>
        <w:spacing w:lineRule="auto" w:line="273" w:before="240" w:after="0"/>
        <w:jc w:val="left"/>
        <w:rPr/>
      </w:pPr>
      <w:r>
        <w:rPr/>
        <w:t>•</w:t>
      </w:r>
    </w:p>
    <w:p>
      <w:pPr>
        <w:pStyle w:val="TextBody"/>
        <w:spacing w:lineRule="auto" w:line="273" w:before="240" w:after="283"/>
        <w:jc w:val="left"/>
        <w:rPr/>
      </w:pPr>
      <w:r>
        <w:rPr>
          <w:rFonts w:ascii="Times New Roman" w:hAnsi="Times New Roman"/>
          <w:b w:val="false"/>
          <w:i/>
          <w:sz w:val="20"/>
        </w:rPr>
        <w:t>Continue to build a robust intellectual property portfolio.</w:t>
      </w:r>
      <w:r>
        <w:rPr/>
        <w:t xml:space="preserve"> </w:t>
      </w:r>
      <w:r>
        <w:rPr>
          <w:rFonts w:ascii="Times New Roman" w:hAnsi="Times New Roman"/>
          <w:b w:val="false"/>
          <w:sz w:val="20"/>
        </w:rPr>
        <w:t xml:space="preserve">We have developed and are continuing to develop a comprehensive intellectual property portfolio related to vaccine applications, including manufacturing, formulation and process applications as well as protection for our specific vaccine candidates. We have rights to a robust portfolio of patents and patent applications related to the XpressCF platform through our exclusive license from Sutro Biopharma. We currently have an issued U.S. patent and multiple pending patent applications in the United States and internationally that cover vaccine formulations, protein-antigen conjugates, methods of making conjugate vaccines with various protein-antigen conjugates and other processes, enhancements of immunogenicity and methods of use.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Our Pipeline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utilized our cell-free protein synthesis platform to generate a pipeline of vaccine candidates that we believe, if approved, may offer important advantages over existing vaccines or for which there are no vaccines available today. The following table summarizes our current pipeline:</w:t>
      </w:r>
      <w:r>
        <w:rPr>
          <w:rFonts w:ascii="Times New Roman" w:hAnsi="Times New Roman"/>
          <w:sz w:val="20"/>
        </w:rPr>
        <w:t xml:space="preserve"> </w:t>
      </w:r>
    </w:p>
    <w:p>
      <w:pPr>
        <w:pStyle w:val="TextBody"/>
        <w:spacing w:lineRule="auto" w:line="273" w:before="0" w:after="0"/>
        <w:jc w:val="center"/>
        <w:rPr/>
      </w:pPr>
      <w:r>
        <w:rPr/>
        <w:t> </w:t>
      </w:r>
    </w:p>
    <w:p>
      <w:pPr>
        <w:pStyle w:val="TextBody"/>
        <w:spacing w:lineRule="auto" w:line="273" w:before="0" w:after="0"/>
        <w:jc w:val="center"/>
        <w:rPr/>
      </w:pPr>
      <w:r>
        <w:rPr/>
        <w:drawing>
          <wp:inline distT="0" distB="0" distL="0" distR="0">
            <wp:extent cx="5943600" cy="2295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2295525"/>
                    </a:xfrm>
                    <a:prstGeom prst="rect">
                      <a:avLst/>
                    </a:prstGeom>
                  </pic:spPr>
                </pic:pic>
              </a:graphicData>
            </a:graphic>
          </wp:inline>
        </w:drawing>
      </w:r>
      <w:r>
        <w:rPr/>
        <w:t> </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Global Vaccine Market (Excluding COVID-19 Vaccines)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global vaccine market, excluding COVID-19 vaccines, was approximately $41 billion in 2021 and is expected to grow at an 10% CAGR to approximately $67 billion by 2026. The World Health Organization, or WHO, has reported that non-COVID vaccine revenues have grown at nearly twice the rate of therapeutic products over the last two decades. Conjugate vaccines, including PCVs, have historically represented the largest segment (approximately 39% in 2018) of the global non-COVID vaccine market. The Prevnar franchise, comprised of Prevnar 13 and Prevnar 20, was the highest selling vaccine product in the world in 2021, accounting for approximately 13% of global non-COVID vaccine sales.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pediatric vaccine market is large and well-established in the United States and European Union and growing in emerging countries. The annual new birth cohort, which in the United States and Europe approached more than eight million in 2020, drives ongoing sales year after year. In the United States, once a new vaccine is approved by the FDA, the ACIP considers whether to recommend the use of the vaccine. New pediatric vaccines that receive a preferred recommendation from ACIP are nearly universally adopted by pediatricians and parents and are required by many schools, contributing to a national immunization rate for the diseases targeted by such vaccines of approximately 90%.</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addition, the adult vaccine market is currently undergoing rapid growth. Vaccination rates among adults have historically been lower and vary by disease, though strong initiatives are underway to increase awareness and utilization. Excluding the impact of the COVID-19 pandemic, studies estimate that 40,000 to 80,000 adults in the United States die annually of vaccine-preventable diseases, and hundreds of thousands more are hospitalized. In recent years, manufacturers have started developing more vaccines for the adult market, with Pfizer’s Prevnar 13 and Prevnar 20, Merck's Vaxneuvance and GlaxoSmithKline’s Shingrix each representing successful examples. Prevnar 13 and Pneumovax 23 generated annual sales of over $2 billion in the adult indication, and Shingrix, a vaccine for shingles (herpes zoster) debuted with over $1 billion in sales in 2018 as it replaced Merck’s incumbent vaccine, Zostavax, after receiving an ACIP preferred recommendation, and generated over $2.5 billion in sales in 2020.</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The complex development and production processes of vaccines create a high barrier to entry and long product lifecycles. Four multinational companies—GlaxoSmithKline, Merck, Pfizer and Sanofi—historically comprised approximately 75% of the global vaccine market. As a result of the COVID-19 pandemic, there have been a number of new entrants into the vaccines market, including multinational companies such as Johnson &amp; Johnson, and emerging biopharmaceutical companies.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Pneumococcal Disease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Pneumococcal disease is an infection caused by </w:t>
      </w:r>
      <w:r>
        <w:rPr>
          <w:rFonts w:ascii="Times New Roman" w:hAnsi="Times New Roman"/>
          <w:b w:val="false"/>
          <w:i/>
          <w:sz w:val="20"/>
        </w:rPr>
        <w:t xml:space="preserve">Streptococcus pneumoniae </w:t>
      </w:r>
      <w:r>
        <w:rPr>
          <w:rFonts w:ascii="Times New Roman" w:hAnsi="Times New Roman"/>
          <w:b w:val="false"/>
          <w:sz w:val="20"/>
        </w:rPr>
        <w:t>(pneumococcus)</w:t>
      </w:r>
      <w:r>
        <w:rPr>
          <w:rFonts w:ascii="Times New Roman" w:hAnsi="Times New Roman"/>
          <w:sz w:val="20"/>
        </w:rPr>
        <w:t xml:space="preserve"> </w:t>
      </w:r>
      <w:r>
        <w:rPr>
          <w:rFonts w:ascii="Times New Roman" w:hAnsi="Times New Roman"/>
          <w:b w:val="false"/>
          <w:sz w:val="20"/>
        </w:rPr>
        <w:t>bacteria. It can result in IPD, including meningitis and bacteremia, and non-invasive pneumococcal disease, including pneumonia, otitis media and sinusitis. The global incidence of pneumococcal disease is driven by emerging serotypes not covered by currently available vaccines. In the United States, approximately 900,000 people get pneumococcal pneumonia each year, which is estimated to result in approximately 400,000 hospitalizations and 28,000 deaths. Pneumococci also cause over 50% of all cases of bacterial meningitis in the United States. Antibiotics are used to treat pneumococcal disease, but some strains of the bacteria have developed resistance to treatments. The morbidity and mortality due to pneumococcal disease are highly significant, particularly for young children and older adults, underscoring the need for a more broad-spectrum vaccine.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Evolution of Pneumococcal Vaccines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There are currently two types of vaccines targeting pneumococcal disease—polysaccharide-only vaccines and polysaccharide-conjugate vaccines. Polysaccharide vaccines contain polysaccharide antigens, which induce antibodies (B-cell responses) that bind to a bacteria’s outer coating of polysaccharides and clear the bacteria. PCVs improve on polysaccharide vaccines by attaching, or conjugating, the polysaccharide antigen to a non-disease specific protein carrier. PCVs induce both an improved B-cell response and a T-cell response, resulting in a stronger and more durable immune response and longer-lasting protection, as compared to polysaccharide vaccines, which only induce a B-cell response.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Pneumococcal Polysaccharide-Only Vaccines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Pneumovax 23, manufactured and marketed by Merck &amp; Co., Inc., is the only pneumococcal polysaccharide vaccine widely available. Pneumovax 23 is indicated for the prevention of pneumococcal disease in adults and was first approved in the United States in 1977, at which time it contained 14 different strains of pneumococcal bacteria. In 1983, it was replaced by the current version containing 23 different strains. Pneumovax 23 is routinely administered to adults to provide protection against bacteremia and generates sales of over $900 million per year.</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Polysaccharide vaccines induce a B-cell response only and do not induce a T-cell dependent immune response. In the absence of immunological memory responses, the resulting antibody responses are transient and cannot be boosted. Without the ability to provide long-lasting durable immunity, polysaccharide vaccines are not effective in children below two years of age. In addition, the antibody responses primarily consist of immunoglobulin M, or IgM, antibodies that, due to their size, are restricted to blood and are unable to penetrate into lung tissue to protect against pneumonia. Therefore, polysaccharide vaccines such as Pneumovax 23 are only thought to protect against blood-borne infections, such as bacteremia. Figure 1 below illustrates polysaccharide-induced T-cell independent antibody responses.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i/>
          <w:sz w:val="20"/>
        </w:rPr>
        <w:t>Figure 1.</w:t>
      </w:r>
      <w:r>
        <w:rPr>
          <w:rFonts w:ascii="Times New Roman" w:hAnsi="Times New Roman"/>
          <w:sz w:val="20"/>
        </w:rPr>
        <w:t xml:space="preserve"> </w:t>
      </w:r>
    </w:p>
    <w:p>
      <w:pPr>
        <w:pStyle w:val="TextBody"/>
        <w:spacing w:lineRule="auto" w:line="273" w:before="240" w:after="0"/>
        <w:jc w:val="left"/>
        <w:rPr/>
      </w:pPr>
      <w:r>
        <w:rPr/>
        <w:drawing>
          <wp:inline distT="0" distB="0" distL="0" distR="0">
            <wp:extent cx="2743200" cy="1962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43200" cy="1962150"/>
                    </a:xfrm>
                    <a:prstGeom prst="rect">
                      <a:avLst/>
                    </a:prstGeom>
                  </pic:spPr>
                </pic:pic>
              </a:graphicData>
            </a:graphic>
          </wp:inline>
        </w:drawing>
      </w:r>
      <w:r>
        <w:rPr/>
        <w:t xml:space="preserve">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Graphics adapted from Strugnell et al, </w:t>
      </w:r>
      <w:r>
        <w:rPr>
          <w:rFonts w:ascii="Times New Roman" w:hAnsi="Times New Roman"/>
          <w:b w:val="false"/>
          <w:i/>
          <w:sz w:val="20"/>
        </w:rPr>
        <w:t>Understanding Modern Vaccines</w:t>
      </w:r>
      <w:r>
        <w:rPr>
          <w:rFonts w:ascii="Times New Roman" w:hAnsi="Times New Roman"/>
          <w:b w:val="false"/>
          <w:sz w:val="20"/>
        </w:rPr>
        <w:t>, Vol 1, Issue 1, 61-88.</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Polysaccharide vaccines also interfere with optimal use of PCVs, as they create a hyporesponsive immune effect. In particular, absent T-cell inducement, polysaccharide vaccines actually clear the memory B-cells that are formed following primary immunization with a PCV, thereby eliminating the ability to boost with subsequent vaccination. This historically has been a significant drawback of vaccination in older adults, which consisted of the administration of a limited spectrum PCV followed by the administration of a polysaccharide vaccine. Despite these shortcomings, Pneumovax 23 historically has been widely used primarily to provide protection against circulating strains not contained in the currently available PCV. The current standard of care, which consists of the administration of either Prevnar 20 alone or Vaxneuvance followed by the administration of Pneumovax 23, continues to include the alternative of a polysaccharide vaccine.</w:t>
      </w:r>
    </w:p>
    <w:p>
      <w:pPr>
        <w:pStyle w:val="TextBody"/>
        <w:spacing w:lineRule="auto" w:line="273" w:before="240" w:after="0"/>
        <w:jc w:val="left"/>
        <w:rPr>
          <w:rFonts w:ascii="Times New Roman" w:hAnsi="Times New Roman"/>
          <w:sz w:val="20"/>
        </w:rPr>
      </w:pPr>
      <w:r>
        <w:rPr>
          <w:rFonts w:ascii="Times New Roman" w:hAnsi="Times New Roman"/>
          <w:b w:val="false"/>
          <w:i/>
          <w:sz w:val="20"/>
        </w:rPr>
        <w:t>Pneumococcal Conjugate Vaccines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PCVs overcome the limitations of polysaccharide vaccines by conjugating the polysaccharide to a more immunogenic protein carrier containing T-cell epitopes. These T-cell epitopes provide CD4</w:t>
      </w:r>
      <w:r>
        <w:rPr>
          <w:rFonts w:ascii="Times New Roman" w:hAnsi="Times New Roman"/>
          <w:b w:val="false"/>
          <w:sz w:val="13"/>
        </w:rPr>
        <w:t>+</w:t>
      </w:r>
      <w:r>
        <w:rPr>
          <w:rFonts w:ascii="Times New Roman" w:hAnsi="Times New Roman"/>
          <w:sz w:val="20"/>
        </w:rPr>
        <w:t xml:space="preserve"> </w:t>
      </w:r>
      <w:r>
        <w:rPr>
          <w:rFonts w:ascii="Times New Roman" w:hAnsi="Times New Roman"/>
          <w:b w:val="false"/>
          <w:sz w:val="20"/>
        </w:rPr>
        <w:t>help, which is critical to the conversion of a traditional B-cell dependent immune response to a more robust combined B-cell and T-cell dependent immune response. The T-cell response causes immediate class switching of the B-cells from more rudimentary IgM antibodies prevalent with polysaccharide vaccines to more refined IgG antibodies. IgG antibodies are refined enough to penetrate into lung tissues to prevent pneumonia. Furthermore, as polysaccharide strands attach to multiple copies of the protein carrier, they create an inter-strand cross-linked matrix structure, which the immune system easily recognizes as foreign. The T-cell dependent immune response also generates memory B-cells that can be re-stimulated, creating a prime-boost immune response and enabling a more robust and durable immune response, enabling the use of PCVs in young children. Figure 2 below illustrates this immune response:</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Figure 2</w:t>
      </w:r>
      <w:r>
        <w:rPr>
          <w:rFonts w:ascii="Times New Roman" w:hAnsi="Times New Roman"/>
          <w:b w:val="false"/>
          <w:sz w:val="20"/>
        </w:rPr>
        <w:t>.</w:t>
      </w:r>
    </w:p>
    <w:p>
      <w:pPr>
        <w:pStyle w:val="TextBody"/>
        <w:spacing w:lineRule="auto" w:line="273" w:before="0" w:after="0"/>
        <w:jc w:val="left"/>
        <w:rPr/>
      </w:pPr>
      <w:r>
        <w:rPr/>
        <w:t> </w:t>
      </w:r>
    </w:p>
    <w:p>
      <w:pPr>
        <w:pStyle w:val="TextBody"/>
        <w:spacing w:lineRule="auto" w:line="273" w:before="240" w:after="0"/>
        <w:jc w:val="left"/>
        <w:rPr/>
      </w:pPr>
      <w:r>
        <w:rPr/>
        <w:drawing>
          <wp:inline distT="0" distB="0" distL="0" distR="0">
            <wp:extent cx="2552700" cy="2000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52700" cy="2000250"/>
                    </a:xfrm>
                    <a:prstGeom prst="rect">
                      <a:avLst/>
                    </a:prstGeom>
                  </pic:spPr>
                </pic:pic>
              </a:graphicData>
            </a:graphic>
          </wp:inline>
        </w:drawing>
      </w: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The first PCV, Prevnar, was a 7-valent vaccine that was launched in the United States in 2000. It included purified capsular polysaccharides of seven serotypes of </w:t>
      </w:r>
      <w:r>
        <w:rPr>
          <w:rFonts w:ascii="Times New Roman" w:hAnsi="Times New Roman"/>
          <w:b w:val="false"/>
          <w:i/>
          <w:sz w:val="20"/>
        </w:rPr>
        <w:t>S. pneumoniae</w:t>
      </w:r>
      <w:r>
        <w:rPr>
          <w:rFonts w:ascii="Times New Roman" w:hAnsi="Times New Roman"/>
          <w:sz w:val="20"/>
        </w:rPr>
        <w:t xml:space="preserve"> </w:t>
      </w:r>
      <w:r>
        <w:rPr>
          <w:rFonts w:ascii="Times New Roman" w:hAnsi="Times New Roman"/>
          <w:b w:val="false"/>
          <w:sz w:val="20"/>
        </w:rPr>
        <w:t>(4, 6B, 9V, 14, 18C, 19F and 23F), each of which was individually conjugated to a T-cell-epitope-containing, nontoxic variant of diphtheria toxin known as CRM</w:t>
      </w:r>
      <w:r>
        <w:rPr>
          <w:rFonts w:ascii="Times New Roman" w:hAnsi="Times New Roman"/>
          <w:b w:val="false"/>
          <w:sz w:val="13"/>
        </w:rPr>
        <w:t>197</w:t>
      </w:r>
      <w:r>
        <w:rPr>
          <w:rFonts w:ascii="Times New Roman" w:hAnsi="Times New Roman"/>
          <w:sz w:val="20"/>
        </w:rPr>
        <w:t xml:space="preserve"> </w:t>
      </w:r>
      <w:r>
        <w:rPr>
          <w:rFonts w:ascii="Times New Roman" w:hAnsi="Times New Roman"/>
          <w:b w:val="false"/>
          <w:sz w:val="20"/>
        </w:rPr>
        <w:t>to produce seven separate conjugates. To obtain approval, a large field efficacy study was conducted that demonstrated the vaccine’s efficacy in infants. Efficacy correlated with serological immune endpoints, as measured by IgG titers (a measurement of concentration), and a seroconversion threshold (or reference antibody concentration) of protection was defined. Prevnar is credited with tremendous medical and commercial success, having dramatically reduced circulating disease in children. However, after a number of years of widespread use, IPD incidence caused by strains not contained in the vaccine started to opportunistically rise, a phenomenon called serotype replacement, which led to the need for a broader-spectrum version of the vaccine.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the race to develop a broader-spectrum PCV than Prevnar, two vaccines were successfully developed: Synflorix, a 10-valent PCV from GlaxoSmithKline, and Prevnar 13, a 13-valent PCV from Wyeth (subsequently acquired by Pfizer). Based on its broader coverage of then-emerging strains, Prevnar 13 was adopted as the standard of care in the United States and Europe. Synflorix continues to be used primarily in emerging countries.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Prevnar 13 contains the seven serotypes originally included in Prevnar plus six more serotypes of </w:t>
      </w:r>
      <w:r>
        <w:rPr>
          <w:rFonts w:ascii="Times New Roman" w:hAnsi="Times New Roman"/>
          <w:b w:val="false"/>
          <w:i/>
          <w:sz w:val="20"/>
        </w:rPr>
        <w:t>S. pneumoniae</w:t>
      </w:r>
      <w:r>
        <w:rPr>
          <w:rFonts w:ascii="Times New Roman" w:hAnsi="Times New Roman"/>
          <w:sz w:val="20"/>
        </w:rPr>
        <w:t xml:space="preserve"> </w:t>
      </w:r>
      <w:r>
        <w:rPr>
          <w:rFonts w:ascii="Times New Roman" w:hAnsi="Times New Roman"/>
          <w:b w:val="false"/>
          <w:sz w:val="20"/>
        </w:rPr>
        <w:t>(1, 3, 5, 6A, 7F and 19A) and was approved and launched in the United States in 2010. Each polysaccharide is conjugated to CRM</w:t>
      </w:r>
      <w:r>
        <w:rPr>
          <w:rFonts w:ascii="Times New Roman" w:hAnsi="Times New Roman"/>
          <w:b w:val="false"/>
          <w:sz w:val="13"/>
        </w:rPr>
        <w:t>197</w:t>
      </w:r>
      <w:r>
        <w:rPr>
          <w:rFonts w:ascii="Times New Roman" w:hAnsi="Times New Roman"/>
          <w:sz w:val="20"/>
        </w:rPr>
        <w:t xml:space="preserve"> </w:t>
      </w:r>
      <w:r>
        <w:rPr>
          <w:rFonts w:ascii="Times New Roman" w:hAnsi="Times New Roman"/>
          <w:b w:val="false"/>
          <w:sz w:val="20"/>
        </w:rPr>
        <w:t>to produce 13 individual conjugates, which are mixed into a final vaccine formulation and then adsorbed to alum. In 2010, Prevnar 13 obtained FDA approval for the prevention of IPD in infants based on non-inferior IgG antibody responses relative to Prevnar, using the surrogate immune endpoints established by the prior Prevnar field efficacy study. While Prevnar 13 failed to achieve non-inferiority on two of the common seven strains relative to Prevnar, it was granted approval across all 13 strains. Upon receipt of the ACIP preferred recommendation, Prevnar 13 replaced Prevnar in the infant market as the standard of care. This also created a “catch-up” population for those children previously vaccinated with Prevnar to provide protection against the incremental serotypes covered by Prevnar 13.</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Prevnar 13 has also received accelerated approval for the prevention of IPD and pneumonia in adults in the United States based on non-inferior opsonophagocytosis activity, or OPA, responses as compared to Pneumovax 23. To fulfill a post-marketing commitment, a large-scale field efficacy study of adults in the Netherlands was completed in 2013, which showed protection against community-acquired pneumonia and concordance between OPA and protection from community-acquired pneumonia. Thus, OPA was established as a validated surrogate immune endpoint in adults to support future regulatory approvals. Prevnar 13 subsequently received an ACIP preferred recommendation for adults 65 years and older, and the standard of care was amended to first vaccinate with Prevnar 13, and then after a waiting period, Pneumovax 23. This dual vaccine regimen provides some protection against the circulating strains over and above Prevnar 13 but we believe creates coverage gaps and patient compliance and convenience challenges.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Prevnar 13 quickly became the highest selling product in the global vaccine market. However, at the time of ACIP’s recommendation in 2014, it was determined that the recommendation would be revisited in four years to evaluate the impact of Prevnar 13 on pneumococcal disease burden in older adults. In June 2019, the ACIP downgraded its recommendation of Prevnar 13 for older adults, given the lack of disease caused by the incorporated strains, and instead began directing physicians and patients to decide whether to vaccinate on a case-by-case basis while still recommending universal vaccination with Pneumovax 23 due to its broader coverage.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an effort to develop even broader-spectrum PCVs than Prevnar 13, two vaccines were successfully developed for the adult population: Prevnar 20, a 20-valent PCV from Pfizer, and Vaxneuvance, a 15-valent PCV from Merck.</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Prevnar 20 contains the 13 serotypes included in Prevnar 13 plus seven more serotypes of </w:t>
      </w:r>
      <w:r>
        <w:rPr>
          <w:rFonts w:ascii="Times New Roman" w:hAnsi="Times New Roman"/>
          <w:b w:val="false"/>
          <w:i/>
          <w:sz w:val="20"/>
        </w:rPr>
        <w:t>S. pneumoniae</w:t>
      </w:r>
      <w:r>
        <w:rPr>
          <w:rFonts w:ascii="Times New Roman" w:hAnsi="Times New Roman"/>
          <w:sz w:val="20"/>
        </w:rPr>
        <w:t xml:space="preserve"> </w:t>
      </w:r>
      <w:r>
        <w:rPr>
          <w:rFonts w:ascii="Times New Roman" w:hAnsi="Times New Roman"/>
          <w:b w:val="false"/>
          <w:sz w:val="20"/>
        </w:rPr>
        <w:t>(8, 10A, 11A, 12F, 15B, 22F and 33F) and was granted regulatory approval and launched in the United States in 2021 for the prevention of IPD in adults based on non-inferior OPA responses relative to Prevnar 13 without the need for a field efficacy study. While Prevnar 20 failed to achieve non-inferiority on serotype 8 relative to Pneumovax 23, it was still granted approval across all 20 strains.</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Vaxneuvance contains the 13 serotypes included in Prevnar 13 plus two more serotypes of </w:t>
      </w:r>
      <w:r>
        <w:rPr>
          <w:rFonts w:ascii="Times New Roman" w:hAnsi="Times New Roman"/>
          <w:b w:val="false"/>
          <w:i/>
          <w:sz w:val="20"/>
        </w:rPr>
        <w:t>S. pneumoniae</w:t>
      </w:r>
      <w:r>
        <w:rPr>
          <w:rFonts w:ascii="Times New Roman" w:hAnsi="Times New Roman"/>
          <w:sz w:val="20"/>
        </w:rPr>
        <w:t xml:space="preserve"> </w:t>
      </w:r>
      <w:r>
        <w:rPr>
          <w:rFonts w:ascii="Times New Roman" w:hAnsi="Times New Roman"/>
          <w:b w:val="false"/>
          <w:sz w:val="20"/>
        </w:rPr>
        <w:t>(22F and 33F) and was granted regulatory approval and launched in the United States in 2021 for the prevention of IPD in adults based on non-inferior OPA responses relative to Prevnar 13 without the need for a field efficacy study.</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October 2021, the ACIP voted to recommend universal vaccination for the use of either Prevnar 20 alone or Vaxneuvance with Pneumovax 23 for routine use in adults aged 65 years and older as well as for those between the ages of 19 and 64 years with certain underlying medical conditions or other risk factors.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Pfizer and Merck also are developing Prevnar 20 and Vaxneuvance, respectively, for infants.</w:t>
      </w:r>
    </w:p>
    <w:p>
      <w:pPr>
        <w:pStyle w:val="TextBody"/>
        <w:spacing w:lineRule="auto" w:line="273" w:before="240" w:after="0"/>
        <w:jc w:val="left"/>
        <w:rPr>
          <w:rFonts w:ascii="Times New Roman" w:hAnsi="Times New Roman"/>
          <w:sz w:val="20"/>
        </w:rPr>
      </w:pPr>
      <w:r>
        <w:rPr>
          <w:rFonts w:ascii="Times New Roman" w:hAnsi="Times New Roman"/>
          <w:b/>
          <w:i/>
          <w:sz w:val="20"/>
        </w:rPr>
        <w:t>Drawbacks for Current PCVs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Routine immunization with PCVs has been effective in dramatically lowering the incidence of IPD in both adults and children in the United States and other industrialized nations. However, due to a phenomenon called serotype replacement, strains that are not covered by existing vaccines are increasing in prevalence. As published in 2020, over 71% of IPD incidence in 2017 for both children and adults was caused by strains beyond the 13 strains covered by Prevnar 13. Efforts to improve upon current standard of care vaccines center around expanding the valency of PCVs to address the strains driving residual pneumococcal disease. However, limitations due to conventional conjugation chemistry and carrier suppression have complicated those efforts, and notwithstanding the recent approvals of Prevnar 20 and Vaxneuvance, there remains a significant need for broader-spectrum PCVs, as evidenced by the fact that despite Prevnar 20’s broader coverage, the combination of Vaxneuvance and Pneumovax 23 remains universally recommended in adults, as an alternative to Prevnar 20 alone, given its broader-spectrum coverage.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While vaccination with current PCVs has been effective in dramatically lowering the incidence of IPD in both adults and children in the United States and other industrialized nations, current PCVs suffer from the following drawbacks.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Serotype Replacement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Current PCVs do not address circulating strains causing the majority of pneumococcal disease. Since its introduction, there has been a decrease in the incidence of disease attributable to the serotypes covered by Prevnar 13 but an increase in incidence attributable to the incremental 11 strains that now cause most residual disease. Such change is driven by the void created when serotypes are taken out of circulation after widespread vaccination, which is a phenomenon known as serotype replacement. As a result of such change, broader-spectrum PCVs are required to maintain protection against historically pathogenic strains while expanding coverage to address current circulating and emerging strains.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To date, the most comprehensive pneumococcal disease surveillance has been conducted by the CDC in the United States and by the National Institute of Health and Care Excellence, in the United Kingdom. As shown in Figure 3, IPD cases in adults in the United States initially declined after the introduction of Prevnar 13 but have since plateaued. As published in 2020, non-covered serotypes were responsible for over 71% of IPD incidence in 2017 for both children and adults. The rate of serotype replacement has been more pronounced in the United Kingdom. Figure 4 shows the approximate IPD incidence rates in the United Kingdom caused by the incremental 11 strains over and above those in Prevnar 13, which increased over the last three years of surveillance.</w:t>
      </w:r>
      <w:r>
        <w:rPr>
          <w:rFonts w:ascii="Times New Roman" w:hAnsi="Times New Roman"/>
          <w:sz w:val="20"/>
        </w:rPr>
        <w:t xml:space="preserve">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4688"/>
        <w:gridCol w:w="146"/>
        <w:gridCol w:w="109"/>
        <w:gridCol w:w="118"/>
        <w:gridCol w:w="5144"/>
      </w:tblGrid>
      <w:tr>
        <w:trPr/>
        <w:tc>
          <w:tcPr>
            <w:tcW w:w="46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5144" w:type="dxa"/>
            <w:tcBorders/>
            <w:shd w:fill="auto" w:val="clear"/>
            <w:vAlign w:val="center"/>
          </w:tcPr>
          <w:p>
            <w:pPr>
              <w:pStyle w:val="TableContents"/>
              <w:spacing w:before="0" w:after="283"/>
              <w:rPr>
                <w:sz w:val="4"/>
                <w:szCs w:val="4"/>
              </w:rPr>
            </w:pPr>
            <w:r>
              <w:rPr>
                <w:sz w:val="4"/>
                <w:szCs w:val="4"/>
              </w:rPr>
            </w:r>
          </w:p>
        </w:tc>
      </w:tr>
      <w:tr>
        <w:trPr/>
        <w:tc>
          <w:tcPr>
            <w:tcW w:w="4688"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firstLine="980"/>
              <w:jc w:val="left"/>
              <w:rPr>
                <w:rFonts w:ascii="Times New Roman" w:hAnsi="Times New Roman"/>
                <w:b w:val="false"/>
                <w:i/>
                <w:sz w:val="20"/>
              </w:rPr>
            </w:pPr>
            <w:r>
              <w:rPr>
                <w:rFonts w:ascii="Times New Roman" w:hAnsi="Times New Roman"/>
                <w:b w:val="false"/>
                <w:i/>
                <w:sz w:val="20"/>
              </w:rPr>
              <w:t>Figure 3.</w:t>
            </w:r>
          </w:p>
          <w:p>
            <w:pPr>
              <w:pStyle w:val="TableContents"/>
              <w:spacing w:lineRule="auto" w:line="252" w:before="0" w:after="20"/>
              <w:ind w:left="0" w:right="0" w:hanging="0"/>
              <w:jc w:val="left"/>
              <w:rPr/>
            </w:pPr>
            <w:r>
              <w:rPr/>
              <w:t> </w:t>
            </w:r>
          </w:p>
        </w:tc>
        <w:tc>
          <w:tcPr>
            <w:tcW w:w="255" w:type="dxa"/>
            <w:gridSpan w:val="2"/>
            <w:tcBorders/>
            <w:shd w:fill="auto" w:val="clear"/>
            <w:vAlign w:val="center"/>
          </w:tcPr>
          <w:p>
            <w:pPr>
              <w:pStyle w:val="TableContents"/>
              <w:spacing w:lineRule="auto" w:line="252" w:before="0" w:after="0"/>
              <w:ind w:left="0" w:right="0" w:hanging="0"/>
              <w:jc w:val="left"/>
              <w:rPr/>
            </w:pPr>
            <w:r>
              <w:rPr/>
              <w:t> </w:t>
            </w:r>
          </w:p>
        </w:tc>
        <w:tc>
          <w:tcPr>
            <w:tcW w:w="5262" w:type="dxa"/>
            <w:gridSpan w:val="2"/>
            <w:tcBorders/>
            <w:shd w:fill="auto" w:val="clear"/>
            <w:vAlign w:val="center"/>
          </w:tcPr>
          <w:p>
            <w:pPr>
              <w:pStyle w:val="TableContents"/>
              <w:spacing w:lineRule="auto" w:line="252" w:before="0" w:after="0"/>
              <w:ind w:left="0" w:right="0" w:firstLine="980"/>
              <w:jc w:val="left"/>
              <w:rPr>
                <w:rFonts w:ascii="Times New Roman" w:hAnsi="Times New Roman"/>
                <w:b w:val="false"/>
                <w:i/>
                <w:sz w:val="20"/>
              </w:rPr>
            </w:pPr>
            <w:r>
              <w:rPr>
                <w:rFonts w:ascii="Times New Roman" w:hAnsi="Times New Roman"/>
                <w:b w:val="false"/>
                <w:i/>
                <w:sz w:val="20"/>
              </w:rPr>
              <w:t>Figure 4.</w:t>
            </w:r>
          </w:p>
          <w:p>
            <w:pPr>
              <w:pStyle w:val="TableContents"/>
              <w:spacing w:lineRule="auto" w:line="252" w:before="0" w:after="20"/>
              <w:ind w:left="0" w:right="0" w:hanging="0"/>
              <w:jc w:val="left"/>
              <w:rPr/>
            </w:pPr>
            <w:r>
              <w:rPr/>
              <w:t> </w:t>
            </w:r>
          </w:p>
        </w:tc>
      </w:tr>
      <w:tr>
        <w:trPr/>
        <w:tc>
          <w:tcPr>
            <w:tcW w:w="4688"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sz w:val="20"/>
              </w:rPr>
              <w:t xml:space="preserve">US IPD Incidence in Adults </w:t>
            </w:r>
            <w:r>
              <w:rPr>
                <w:rFonts w:ascii="Times New Roman" w:hAnsi="Times New Roman"/>
                <w:b/>
                <w:sz w:val="20"/>
                <w:u w:val="single"/>
              </w:rPr>
              <w:t>&gt;</w:t>
            </w:r>
            <w:r>
              <w:rPr>
                <w:rFonts w:ascii="Times New Roman" w:hAnsi="Times New Roman"/>
                <w:sz w:val="20"/>
              </w:rPr>
              <w:t> </w:t>
            </w:r>
            <w:r>
              <w:rPr>
                <w:rFonts w:ascii="Times New Roman" w:hAnsi="Times New Roman"/>
                <w:b/>
                <w:sz w:val="20"/>
              </w:rPr>
              <w:t>65</w:t>
            </w:r>
            <w:r>
              <w:rPr>
                <w:rFonts w:ascii="Times New Roman" w:hAnsi="Times New Roman"/>
                <w:b/>
                <w:sz w:val="11"/>
              </w:rPr>
              <w:t>1</w:t>
            </w:r>
          </w:p>
        </w:tc>
        <w:tc>
          <w:tcPr>
            <w:tcW w:w="373" w:type="dxa"/>
            <w:gridSpan w:val="3"/>
            <w:tcBorders/>
            <w:shd w:fill="auto" w:val="clear"/>
            <w:vAlign w:val="center"/>
          </w:tcPr>
          <w:p>
            <w:pPr>
              <w:pStyle w:val="TableContents"/>
              <w:spacing w:lineRule="auto" w:line="252" w:before="0" w:after="0"/>
              <w:ind w:left="0" w:right="0" w:hanging="0"/>
              <w:jc w:val="left"/>
              <w:rPr/>
            </w:pPr>
            <w:r>
              <w:rPr/>
              <w:t> </w:t>
            </w:r>
          </w:p>
        </w:tc>
        <w:tc>
          <w:tcPr>
            <w:tcW w:w="5144"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sz w:val="20"/>
              </w:rPr>
              <w:t xml:space="preserve">UK IPD Incidence in Adults </w:t>
            </w:r>
            <w:r>
              <w:rPr>
                <w:rFonts w:ascii="Times New Roman" w:hAnsi="Times New Roman"/>
                <w:b/>
                <w:sz w:val="20"/>
                <w:u w:val="single"/>
              </w:rPr>
              <w:t>&gt;</w:t>
            </w:r>
            <w:r>
              <w:rPr>
                <w:rFonts w:ascii="Times New Roman" w:hAnsi="Times New Roman"/>
                <w:sz w:val="20"/>
              </w:rPr>
              <w:t> </w:t>
            </w:r>
            <w:r>
              <w:rPr>
                <w:rFonts w:ascii="Times New Roman" w:hAnsi="Times New Roman"/>
                <w:b/>
                <w:sz w:val="20"/>
              </w:rPr>
              <w:t>65</w:t>
            </w:r>
            <w:r>
              <w:rPr>
                <w:rFonts w:ascii="Times New Roman" w:hAnsi="Times New Roman"/>
                <w:b/>
                <w:sz w:val="11"/>
              </w:rPr>
              <w:t>2</w:t>
            </w:r>
          </w:p>
        </w:tc>
      </w:tr>
      <w:tr>
        <w:trPr/>
        <w:tc>
          <w:tcPr>
            <w:tcW w:w="4688"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p>
            <w:pPr>
              <w:pStyle w:val="TableContents"/>
              <w:spacing w:lineRule="auto" w:line="252" w:before="0" w:after="20"/>
              <w:ind w:left="0" w:right="0" w:hanging="0"/>
              <w:jc w:val="center"/>
              <w:rPr/>
            </w:pPr>
            <w:r>
              <w:rPr/>
              <w:drawing>
                <wp:inline distT="0" distB="0" distL="0" distR="0">
                  <wp:extent cx="2838450" cy="1781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38450" cy="1781175"/>
                          </a:xfrm>
                          <a:prstGeom prst="rect">
                            <a:avLst/>
                          </a:prstGeom>
                        </pic:spPr>
                      </pic:pic>
                    </a:graphicData>
                  </a:graphic>
                </wp:inline>
              </w:drawing>
            </w:r>
            <w:r>
              <w:rPr/>
              <w:t> </w:t>
            </w:r>
          </w:p>
        </w:tc>
        <w:tc>
          <w:tcPr>
            <w:tcW w:w="373" w:type="dxa"/>
            <w:gridSpan w:val="3"/>
            <w:tcBorders/>
            <w:shd w:fill="auto" w:val="clear"/>
            <w:vAlign w:val="center"/>
          </w:tcPr>
          <w:p>
            <w:pPr>
              <w:pStyle w:val="TableContents"/>
              <w:spacing w:lineRule="auto" w:line="252" w:before="0" w:after="0"/>
              <w:ind w:left="0" w:right="0" w:hanging="0"/>
              <w:jc w:val="left"/>
              <w:rPr/>
            </w:pPr>
            <w:r>
              <w:rPr/>
              <w:t> </w:t>
            </w:r>
          </w:p>
        </w:tc>
        <w:tc>
          <w:tcPr>
            <w:tcW w:w="5144" w:type="dxa"/>
            <w:tcBorders/>
            <w:shd w:fill="auto" w:val="clear"/>
            <w:vAlign w:val="center"/>
          </w:tcPr>
          <w:p>
            <w:pPr>
              <w:pStyle w:val="TableContents"/>
              <w:spacing w:lineRule="auto" w:line="252" w:before="0" w:after="20"/>
              <w:ind w:left="0" w:right="0" w:hanging="0"/>
              <w:jc w:val="center"/>
              <w:rPr/>
            </w:pPr>
            <w:r>
              <w:rPr/>
              <w:drawing>
                <wp:inline distT="0" distB="0" distL="0" distR="0">
                  <wp:extent cx="2886075" cy="1695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886075" cy="1695450"/>
                          </a:xfrm>
                          <a:prstGeom prst="rect">
                            <a:avLst/>
                          </a:prstGeom>
                        </pic:spPr>
                      </pic:pic>
                    </a:graphicData>
                  </a:graphic>
                </wp:inline>
              </w:drawing>
            </w:r>
            <w:r>
              <w:rPr/>
              <w:t> </w:t>
            </w:r>
          </w:p>
        </w:tc>
      </w:tr>
      <w:tr>
        <w:trPr/>
        <w:tc>
          <w:tcPr>
            <w:tcW w:w="4688"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71" w:type="dxa"/>
            <w:gridSpan w:val="3"/>
            <w:tcBorders/>
            <w:shd w:fill="auto" w:val="clear"/>
            <w:vAlign w:val="center"/>
          </w:tcPr>
          <w:p>
            <w:pPr>
              <w:pStyle w:val="TableContents"/>
              <w:spacing w:lineRule="auto" w:line="252" w:before="0" w:after="0"/>
              <w:ind w:left="0" w:right="0" w:hanging="0"/>
              <w:jc w:val="left"/>
              <w:rPr/>
            </w:pPr>
            <w:r>
              <w:rPr/>
              <w:t> </w:t>
            </w:r>
          </w:p>
        </w:tc>
      </w:tr>
      <w:tr>
        <w:trPr/>
        <w:tc>
          <w:tcPr>
            <w:tcW w:w="4688"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13"/>
              </w:rPr>
              <w:t>1</w:t>
            </w:r>
            <w:r>
              <w:rPr>
                <w:rFonts w:ascii="Times New Roman" w:hAnsi="Times New Roman"/>
                <w:sz w:val="20"/>
              </w:rPr>
              <w:t> </w:t>
            </w:r>
            <w:r>
              <w:rPr>
                <w:rFonts w:ascii="Times New Roman" w:hAnsi="Times New Roman"/>
                <w:b w:val="false"/>
                <w:sz w:val="20"/>
              </w:rPr>
              <w:t>US CDC Active Bacterial Core Surveillance Annual Reports</w:t>
            </w:r>
          </w:p>
        </w:tc>
        <w:tc>
          <w:tcPr>
            <w:tcW w:w="255" w:type="dxa"/>
            <w:gridSpan w:val="2"/>
            <w:tcBorders/>
            <w:shd w:fill="auto" w:val="clear"/>
            <w:vAlign w:val="center"/>
          </w:tcPr>
          <w:p>
            <w:pPr>
              <w:pStyle w:val="TableContents"/>
              <w:spacing w:lineRule="auto" w:line="252" w:before="0" w:after="0"/>
              <w:ind w:left="0" w:right="0" w:hanging="0"/>
              <w:jc w:val="left"/>
              <w:rPr/>
            </w:pPr>
            <w:r>
              <w:rPr/>
              <w:t> </w:t>
            </w:r>
          </w:p>
        </w:tc>
        <w:tc>
          <w:tcPr>
            <w:tcW w:w="5262" w:type="dxa"/>
            <w:gridSpan w:val="2"/>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13"/>
              </w:rPr>
              <w:t>2</w:t>
            </w:r>
            <w:r>
              <w:rPr>
                <w:rFonts w:ascii="Times New Roman" w:hAnsi="Times New Roman"/>
                <w:sz w:val="20"/>
              </w:rPr>
              <w:t> </w:t>
            </w:r>
            <w:r>
              <w:rPr>
                <w:rFonts w:ascii="Times New Roman" w:hAnsi="Times New Roman"/>
                <w:b w:val="false"/>
                <w:sz w:val="20"/>
              </w:rPr>
              <w:t xml:space="preserve">Ladhani et al, </w:t>
            </w:r>
            <w:r>
              <w:rPr>
                <w:rFonts w:ascii="Times New Roman" w:hAnsi="Times New Roman"/>
                <w:b w:val="false"/>
                <w:i/>
                <w:sz w:val="20"/>
              </w:rPr>
              <w:t xml:space="preserve">Lancet Infectious Disease, </w:t>
            </w:r>
            <w:r>
              <w:rPr>
                <w:rFonts w:ascii="Times New Roman" w:hAnsi="Times New Roman"/>
                <w:b w:val="false"/>
                <w:sz w:val="20"/>
              </w:rPr>
              <w:t>2018 Apr.; 18(4):441-45 inclusive of unpublished raw data</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While these 11 strains are covered by Pneumovax 23, that vaccine only protects against blood-borne infections and not pneumonia, leaving patients vulnerable to infection. Although Prevnar 20 and Vaxneuvance address more disease-causing strains than Prevnar 13, we believe there remains a significant need for even broader-spectrum vaccines to address a greater number of currently circulating and emerging strains.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Carrier Suppression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Technical constraints inherent to conventional conjugation chemistry limit the coverage of current PCVs due to a phenomenon known as carrier suppression. In particular, traditional conjugation methods cannot control where conjugation of the polysaccharide occurs on the protein carrier. The protein carrier used in all versions of Prevnar is CRM</w:t>
      </w:r>
      <w:r>
        <w:rPr>
          <w:rFonts w:ascii="Times New Roman" w:hAnsi="Times New Roman"/>
          <w:b w:val="false"/>
          <w:sz w:val="13"/>
        </w:rPr>
        <w:t>197</w:t>
      </w:r>
      <w:r>
        <w:rPr>
          <w:rFonts w:ascii="Times New Roman" w:hAnsi="Times New Roman"/>
          <w:b w:val="false"/>
          <w:sz w:val="20"/>
        </w:rPr>
        <w:t>, a diphtheria toxin with a single point mutation rendering it non-toxic. The CRM</w:t>
      </w:r>
      <w:r>
        <w:rPr>
          <w:rFonts w:ascii="Times New Roman" w:hAnsi="Times New Roman"/>
          <w:b w:val="false"/>
          <w:sz w:val="13"/>
        </w:rPr>
        <w:t>197</w:t>
      </w:r>
      <w:r>
        <w:rPr>
          <w:rFonts w:ascii="Times New Roman" w:hAnsi="Times New Roman"/>
          <w:sz w:val="20"/>
        </w:rPr>
        <w:t xml:space="preserve"> </w:t>
      </w:r>
      <w:r>
        <w:rPr>
          <w:rFonts w:ascii="Times New Roman" w:hAnsi="Times New Roman"/>
          <w:b w:val="false"/>
          <w:sz w:val="20"/>
        </w:rPr>
        <w:t>protein contains 39 lysines, approximately 20% of which border relevant T-cell epitopes. Conventional conjugation chemistry randomly attaches the polysaccharide to any of the numerous lysines located on the protein carrier. When a polysaccharide is covalently bound to a protein carrier at a lysine residue that is co-resident with a T-cell epitope, it blocks the presentation of the T-cell epitope to the immune system, thus preventing the induction of a T-cell response. The masking of these critical epitopes prevents the conversion to a T-cell dependent immune response and negates the benefit of the protein carrier.</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Meanwhile, the B-cell epitopes of both the protein carrier and the antigen are presented to the immune system, causing B-cells to the respective immunogens to compete with one another for the T-cell help engendered by unblocked T-cell epitopes. This competition for T-cell help diminishes the immune response to the polysaccharide antigen of interest, resulting in carrier suppression.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result of carrier suppression is a decrease in the targeted immune response to the disease-specific polysaccharides, which intensifies with higher cumulative amounts of protein carrier. This phenomenon impedes the ability to expand coverage of current PCVs and has been shown consistently when broader-spectrum versions of conventional PCVs have been compared to lesser-valent versions. When Prevnar 13 was compared to Prevnar (Pfizer’s first generation 7-valent PCV) in a well-controlled Phase 3 study in infants, the IgG antibody responses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directed against the polysaccharides of interest for all seven of the common strains in each vaccine were lower for Prevnar 13 (Figure 5). In 2020, Pfizer presented results of a well-controlled Phase 3 study in adults, aged 60 and over, where they compared Prevnar 20 to Prevnar 13. In that study, the OPA responses directed against the polysaccharides of interest for all thirteen of the common strains in each vaccine were lower for the 20-valent development candidate (Figure 6).</w:t>
      </w:r>
      <w:r>
        <w:rPr>
          <w:rFonts w:ascii="Times New Roman" w:hAnsi="Times New Roman"/>
          <w:sz w:val="20"/>
        </w:rPr>
        <w:t xml:space="preserve"> </w:t>
      </w:r>
    </w:p>
    <w:p>
      <w:pPr>
        <w:pStyle w:val="TextBody"/>
        <w:spacing w:lineRule="auto" w:line="273" w:before="0" w:after="0"/>
        <w:jc w:val="left"/>
        <w:rPr/>
      </w:pPr>
      <w:r>
        <w:rPr/>
        <w:t> </w:t>
      </w:r>
    </w:p>
    <w:tbl>
      <w:tblPr>
        <w:tblW w:w="9622" w:type="dxa"/>
        <w:jc w:val="left"/>
        <w:tblInd w:w="0" w:type="dxa"/>
        <w:tblCellMar>
          <w:top w:w="28" w:type="dxa"/>
          <w:left w:w="28" w:type="dxa"/>
          <w:bottom w:w="28" w:type="dxa"/>
          <w:right w:w="28" w:type="dxa"/>
        </w:tblCellMar>
      </w:tblPr>
      <w:tblGrid>
        <w:gridCol w:w="4631"/>
        <w:gridCol w:w="146"/>
        <w:gridCol w:w="109"/>
        <w:gridCol w:w="4736"/>
      </w:tblGrid>
      <w:tr>
        <w:trPr/>
        <w:tc>
          <w:tcPr>
            <w:tcW w:w="4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36" w:type="dxa"/>
            <w:tcBorders/>
            <w:shd w:fill="auto" w:val="clear"/>
            <w:vAlign w:val="center"/>
          </w:tcPr>
          <w:p>
            <w:pPr>
              <w:pStyle w:val="TableContents"/>
              <w:spacing w:before="0" w:after="283"/>
              <w:rPr>
                <w:sz w:val="4"/>
                <w:szCs w:val="4"/>
              </w:rPr>
            </w:pPr>
            <w:r>
              <w:rPr>
                <w:sz w:val="4"/>
                <w:szCs w:val="4"/>
              </w:rPr>
            </w:r>
          </w:p>
        </w:tc>
      </w:tr>
      <w:tr>
        <w:trPr/>
        <w:tc>
          <w:tcPr>
            <w:tcW w:w="4631"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firstLine="980"/>
              <w:jc w:val="left"/>
              <w:rPr>
                <w:rFonts w:ascii="Times New Roman" w:hAnsi="Times New Roman"/>
                <w:b w:val="false"/>
                <w:i/>
                <w:sz w:val="20"/>
              </w:rPr>
            </w:pPr>
            <w:r>
              <w:rPr>
                <w:rFonts w:ascii="Times New Roman" w:hAnsi="Times New Roman"/>
                <w:b w:val="false"/>
                <w:i/>
                <w:sz w:val="20"/>
              </w:rPr>
              <w:t>Figure 5.</w:t>
            </w:r>
          </w:p>
          <w:p>
            <w:pPr>
              <w:pStyle w:val="TableContents"/>
              <w:spacing w:lineRule="auto" w:line="252" w:before="0" w:after="2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845" w:type="dxa"/>
            <w:gridSpan w:val="2"/>
            <w:tcBorders/>
            <w:shd w:fill="auto" w:val="clear"/>
            <w:vAlign w:val="center"/>
          </w:tcPr>
          <w:p>
            <w:pPr>
              <w:pStyle w:val="TableContents"/>
              <w:spacing w:lineRule="auto" w:line="252" w:before="0" w:after="0"/>
              <w:ind w:left="0" w:right="0" w:firstLine="980"/>
              <w:jc w:val="left"/>
              <w:rPr>
                <w:rFonts w:ascii="Times New Roman" w:hAnsi="Times New Roman"/>
                <w:b w:val="false"/>
                <w:i/>
                <w:sz w:val="20"/>
              </w:rPr>
            </w:pPr>
            <w:r>
              <w:rPr>
                <w:rFonts w:ascii="Times New Roman" w:hAnsi="Times New Roman"/>
                <w:b w:val="false"/>
                <w:i/>
                <w:sz w:val="20"/>
              </w:rPr>
              <w:t>Figure 6.</w:t>
            </w:r>
          </w:p>
          <w:p>
            <w:pPr>
              <w:pStyle w:val="TableContents"/>
              <w:spacing w:lineRule="auto" w:line="252" w:before="0" w:after="20"/>
              <w:ind w:left="0" w:right="0" w:hanging="0"/>
              <w:jc w:val="left"/>
              <w:rPr/>
            </w:pPr>
            <w:r>
              <w:rPr/>
              <w:t> </w:t>
            </w:r>
          </w:p>
        </w:tc>
      </w:tr>
      <w:tr>
        <w:trPr/>
        <w:tc>
          <w:tcPr>
            <w:tcW w:w="4631"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Infant Immune Responses (IGG):</w:t>
            </w:r>
          </w:p>
          <w:p>
            <w:pPr>
              <w:pStyle w:val="TableContents"/>
              <w:pBdr/>
              <w:spacing w:lineRule="auto" w:line="252" w:before="0" w:after="0"/>
              <w:ind w:left="0" w:right="0" w:hanging="240"/>
              <w:jc w:val="center"/>
              <w:rPr>
                <w:rFonts w:ascii="Times New Roman" w:hAnsi="Times New Roman"/>
                <w:sz w:val="20"/>
              </w:rPr>
            </w:pPr>
            <w:r>
              <w:rPr>
                <w:rFonts w:ascii="Times New Roman" w:hAnsi="Times New Roman"/>
                <w:b/>
                <w:sz w:val="20"/>
              </w:rPr>
              <w:t>Prevnar 7 vs Prevnar 13</w:t>
            </w:r>
            <w:r>
              <w:rPr>
                <w:rFonts w:ascii="Times New Roman" w:hAnsi="Times New Roman"/>
                <w:b/>
                <w:sz w:val="13"/>
              </w:rPr>
              <w:t>1</w:t>
            </w:r>
          </w:p>
        </w:tc>
        <w:tc>
          <w:tcPr>
            <w:tcW w:w="255"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736"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sz w:val="20"/>
              </w:rPr>
              <w:t>Adult Immune Responses (OPA):</w:t>
            </w:r>
          </w:p>
          <w:p>
            <w:pPr>
              <w:pStyle w:val="TableContents"/>
              <w:spacing w:lineRule="auto" w:line="252" w:before="0" w:after="0"/>
              <w:ind w:left="0" w:right="0" w:hanging="0"/>
              <w:jc w:val="center"/>
              <w:rPr>
                <w:rFonts w:ascii="Times New Roman" w:hAnsi="Times New Roman"/>
                <w:sz w:val="17"/>
              </w:rPr>
            </w:pPr>
            <w:r>
              <w:rPr>
                <w:rFonts w:ascii="Times New Roman" w:hAnsi="Times New Roman"/>
                <w:b/>
                <w:sz w:val="17"/>
              </w:rPr>
              <w:t>Prevnar 13 VS PCV20</w:t>
            </w:r>
            <w:r>
              <w:rPr>
                <w:rFonts w:ascii="Times New Roman" w:hAnsi="Times New Roman"/>
                <w:b/>
                <w:sz w:val="11"/>
              </w:rPr>
              <w:t>2</w:t>
            </w:r>
          </w:p>
        </w:tc>
      </w:tr>
      <w:tr>
        <w:trPr/>
        <w:tc>
          <w:tcPr>
            <w:tcW w:w="4631"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p>
            <w:pPr>
              <w:pStyle w:val="TableContents"/>
              <w:spacing w:lineRule="auto" w:line="252" w:before="0" w:after="20"/>
              <w:ind w:left="0" w:right="0" w:hanging="0"/>
              <w:jc w:val="center"/>
              <w:rPr/>
            </w:pPr>
            <w:r>
              <w:rPr/>
              <w:drawing>
                <wp:inline distT="0" distB="0" distL="0" distR="0">
                  <wp:extent cx="2838450" cy="1133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838450" cy="1133475"/>
                          </a:xfrm>
                          <a:prstGeom prst="rect">
                            <a:avLst/>
                          </a:prstGeom>
                        </pic:spPr>
                      </pic:pic>
                    </a:graphicData>
                  </a:graphic>
                </wp:inline>
              </w:drawing>
            </w:r>
            <w:r>
              <w:rPr/>
              <w:t> </w:t>
            </w:r>
          </w:p>
        </w:tc>
        <w:tc>
          <w:tcPr>
            <w:tcW w:w="255"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736" w:type="dxa"/>
            <w:tcBorders/>
            <w:shd w:fill="auto" w:val="clear"/>
            <w:vAlign w:val="center"/>
          </w:tcPr>
          <w:p>
            <w:pPr>
              <w:pStyle w:val="TableContents"/>
              <w:spacing w:lineRule="auto" w:line="252" w:before="0" w:after="20"/>
              <w:ind w:left="0" w:right="0" w:hanging="0"/>
              <w:jc w:val="center"/>
              <w:rPr/>
            </w:pPr>
            <w:r>
              <w:rPr/>
              <w:drawing>
                <wp:inline distT="0" distB="0" distL="0" distR="0">
                  <wp:extent cx="2886075" cy="1162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886075" cy="1162050"/>
                          </a:xfrm>
                          <a:prstGeom prst="rect">
                            <a:avLst/>
                          </a:prstGeom>
                        </pic:spPr>
                      </pic:pic>
                    </a:graphicData>
                  </a:graphic>
                </wp:inline>
              </w:drawing>
            </w:r>
            <w:r>
              <w:rPr/>
              <w:t> </w:t>
            </w:r>
          </w:p>
        </w:tc>
      </w:tr>
    </w:tbl>
    <w:p>
      <w:pPr>
        <w:pStyle w:val="TextBody"/>
        <w:spacing w:lineRule="auto" w:line="273" w:before="240" w:after="0"/>
        <w:jc w:val="left"/>
        <w:rPr/>
      </w:pPr>
      <w:r>
        <w:rPr/>
        <w:t> </w:t>
      </w:r>
    </w:p>
    <w:p>
      <w:pPr>
        <w:pStyle w:val="TextBody"/>
        <w:pBdr>
          <w:bottom w:val="single" w:sz="6" w:space="1" w:color="000000"/>
        </w:pBdr>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13"/>
        </w:rPr>
        <w:t xml:space="preserve">1 </w:t>
      </w:r>
      <w:r>
        <w:rPr>
          <w:rFonts w:ascii="Times New Roman" w:hAnsi="Times New Roman"/>
          <w:b w:val="false"/>
          <w:sz w:val="20"/>
        </w:rPr>
        <w:t>Yeh et al, Pediatrics. 126:e493 (2010)</w:t>
      </w:r>
      <w:r>
        <w:rPr>
          <w:rFonts w:ascii="Times New Roman" w:hAnsi="Times New Roman"/>
          <w:b w:val="false"/>
          <w:i/>
          <w:sz w:val="20"/>
        </w:rPr>
        <w:t>.</w:t>
      </w:r>
      <w:r>
        <w:rPr>
          <w:rFonts w:ascii="Times New Roman" w:hAnsi="Times New Roman"/>
          <w:sz w:val="20"/>
        </w:rPr>
        <w:t xml:space="preserve"> </w:t>
      </w:r>
    </w:p>
    <w:p>
      <w:pPr>
        <w:pStyle w:val="TextBody"/>
        <w:spacing w:lineRule="auto" w:line="273" w:before="40" w:after="0"/>
        <w:jc w:val="left"/>
        <w:rPr>
          <w:rFonts w:ascii="Times New Roman" w:hAnsi="Times New Roman"/>
          <w:sz w:val="20"/>
        </w:rPr>
      </w:pPr>
      <w:r>
        <w:rPr>
          <w:rFonts w:ascii="Times New Roman" w:hAnsi="Times New Roman"/>
          <w:b w:val="false"/>
          <w:sz w:val="13"/>
        </w:rPr>
        <w:t xml:space="preserve">2 </w:t>
      </w:r>
      <w:r>
        <w:rPr>
          <w:rFonts w:ascii="Times New Roman" w:hAnsi="Times New Roman"/>
          <w:b w:val="false"/>
          <w:sz w:val="20"/>
        </w:rPr>
        <w:t>Prevnar 20 BLA Clinical Review Memorandum. STN: 125731/0 June 8, 2021.</w:t>
      </w:r>
    </w:p>
    <w:p>
      <w:pPr>
        <w:pStyle w:val="TextBody"/>
        <w:spacing w:lineRule="auto" w:line="273" w:before="240" w:after="0"/>
        <w:jc w:val="left"/>
        <w:rPr>
          <w:rFonts w:ascii="Times New Roman" w:hAnsi="Times New Roman"/>
          <w:sz w:val="20"/>
        </w:rPr>
      </w:pPr>
      <w:r>
        <w:rPr>
          <w:rFonts w:ascii="Times New Roman" w:hAnsi="Times New Roman"/>
          <w:b w:val="false"/>
          <w:i/>
          <w:sz w:val="20"/>
        </w:rPr>
        <w:t>Conventional Chemistry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problem of carrier suppression is compounded by conventional conjugation chemistry used to make current PCVs, including Prevnar 13, Prevnar 20 and Vaxneuvance, which requires a higher amount of CRM</w:t>
      </w:r>
      <w:r>
        <w:rPr>
          <w:rFonts w:ascii="Times New Roman" w:hAnsi="Times New Roman"/>
          <w:b w:val="false"/>
          <w:sz w:val="13"/>
        </w:rPr>
        <w:t>197</w:t>
      </w:r>
      <w:r>
        <w:rPr>
          <w:rFonts w:ascii="Times New Roman" w:hAnsi="Times New Roman"/>
          <w:sz w:val="20"/>
        </w:rPr>
        <w:t xml:space="preserve"> </w:t>
      </w:r>
      <w:r>
        <w:rPr>
          <w:rFonts w:ascii="Times New Roman" w:hAnsi="Times New Roman"/>
          <w:b w:val="false"/>
          <w:sz w:val="20"/>
        </w:rPr>
        <w:t>protein carrier than polysaccharide antigen to complete the conjugation reaction, as well as long reaction times and harsh conditions that can damage the critical epitopes on the polysaccharide antigens. This results in a higher ratio of protein carrier to polysaccharide antigen in their monovalent conjugates (approximately 1.1 on average), as well as a much higher amount of cumulative protein carrier in the final formulation compared to the amount of any given polysaccharide antigen. For example, in the marketed Prevnar 13 formulation, there are 34 micrograms of the protein carrier, CRM</w:t>
      </w:r>
      <w:r>
        <w:rPr>
          <w:rFonts w:ascii="Times New Roman" w:hAnsi="Times New Roman"/>
          <w:b w:val="false"/>
          <w:sz w:val="13"/>
        </w:rPr>
        <w:t>197</w:t>
      </w:r>
      <w:r>
        <w:rPr>
          <w:rFonts w:ascii="Times New Roman" w:hAnsi="Times New Roman"/>
          <w:b w:val="false"/>
          <w:sz w:val="20"/>
        </w:rPr>
        <w:t>, relative to 2.2 micrograms of each polysaccharide (except serotype 6B at 4.4 micrograms), and in the marketed Prevnar 20 formulation, there are 51 micrograms of CRM</w:t>
      </w:r>
      <w:r>
        <w:rPr>
          <w:rFonts w:ascii="Times New Roman" w:hAnsi="Times New Roman"/>
          <w:b w:val="false"/>
          <w:sz w:val="13"/>
        </w:rPr>
        <w:t>197</w:t>
      </w:r>
      <w:r>
        <w:rPr>
          <w:rFonts w:ascii="Times New Roman" w:hAnsi="Times New Roman"/>
          <w:sz w:val="20"/>
        </w:rPr>
        <w:t xml:space="preserve"> </w:t>
      </w:r>
      <w:r>
        <w:rPr>
          <w:rFonts w:ascii="Times New Roman" w:hAnsi="Times New Roman"/>
          <w:b w:val="false"/>
          <w:sz w:val="20"/>
        </w:rPr>
        <w:t>relative to 2.2 micrograms of each polysaccharide (except serotype 6B at 4.4 micrograms). With substantially more protein carrier in the vaccine than polysaccharide antigen, the carrier suppression effect discussed above is exacerbated.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Our Solution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are leveraging our cell-free protein synthesis platform to develop potentially superior conjugate vaccines for adult and pediatric indications. Our solution to the drawbacks with conventional conjugate vaccine techniques represents the first of three main applications of our platform.</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Platform Application One: Creating Superior Conjugate Vaccines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Using our cell-free protein synthesis platform, we are developing superior, novel PCVs designed to have broader-spectrum coverage in an effort to address current and future residual disease in ways that conventional technologies cannot. We are able to design our investigational PCVs using site-specific conjugation in an effort to ensure optimal exposure of targeted immunogenic T-cell epitopes on protein carriers. This enables us to create broader-spectrum conjugate vaccine candidates using carrier-sparing conjugates designed to avoid carrier suppression while maintaining protective immunogenicity.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Synthesizing proteins outside of a living host cell provides us greater freedom to design and produce specific proteins of interest under optimized conditions. We separate the precise cellular machinery required for transcription, translation and energy production—the critical components for protein production—into an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i/>
          <w:sz w:val="20"/>
        </w:rPr>
        <w:t>Escherichia coli</w:t>
      </w:r>
      <w:r>
        <w:rPr>
          <w:rFonts w:ascii="Times New Roman" w:hAnsi="Times New Roman"/>
          <w:sz w:val="20"/>
        </w:rPr>
        <w:t xml:space="preserve"> </w:t>
      </w:r>
      <w:r>
        <w:rPr>
          <w:rFonts w:ascii="Times New Roman" w:hAnsi="Times New Roman"/>
          <w:b w:val="false"/>
          <w:sz w:val="20"/>
        </w:rPr>
        <w:t>(</w:t>
      </w:r>
      <w:r>
        <w:rPr>
          <w:rFonts w:ascii="Times New Roman" w:hAnsi="Times New Roman"/>
          <w:b w:val="false"/>
          <w:i/>
          <w:sz w:val="20"/>
        </w:rPr>
        <w:t>E. coli)</w:t>
      </w:r>
      <w:r>
        <w:rPr>
          <w:rFonts w:ascii="Times New Roman" w:hAnsi="Times New Roman"/>
          <w:b w:val="false"/>
          <w:sz w:val="20"/>
        </w:rPr>
        <w:t>-derived extract. We can then optimally express a single protein carrier by adding the plasmid-DNA encoding that protein into the extract mixture.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Site-Specific Conjugation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Within a protein carrier, we can substitute non-native amino acids, or nnAAs, for native amino acids at specific sites. These inserted nnAAs serve as conjugation anchors that permit the attachment of antigens, including polysaccharides, at a specific site on a protein carrier to ensure optimal exposure of B-cell and/or T-cell epitopes to induce the desired immune response. This precise site-specific linkage is not possible using conventional conjugation chemistry with conventional carrier proteins and affords an advantage to our conjugate vaccine candidates. Figure 7 below depicts our method of inserting nnAAs into a protein carrier, where the DNA sequence has been modified to permit nnAA incorporation into the protein at pre-selected sites using a nnAA-RNA permitting transcription and translation of the protein in the ribosome to yield the protein carrier with nnAAs site-specifically incorporated, facilitating site-specific conjugation.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Figure 7.</w:t>
      </w:r>
      <w:r>
        <w:rPr>
          <w:rFonts w:ascii="Times New Roman" w:hAnsi="Times New Roman"/>
          <w:sz w:val="20"/>
        </w:rPr>
        <w:t xml:space="preserve"> </w:t>
      </w:r>
    </w:p>
    <w:p>
      <w:pPr>
        <w:pStyle w:val="TextBody"/>
        <w:spacing w:lineRule="auto" w:line="273" w:before="240" w:after="0"/>
        <w:jc w:val="left"/>
        <w:rPr/>
      </w:pPr>
      <w:r>
        <w:rPr/>
        <w:drawing>
          <wp:inline distT="0" distB="0" distL="0" distR="0">
            <wp:extent cx="3343275" cy="1981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343275" cy="1981200"/>
                    </a:xfrm>
                    <a:prstGeom prst="rect">
                      <a:avLst/>
                    </a:prstGeom>
                  </pic:spPr>
                </pic:pic>
              </a:graphicData>
            </a:graphic>
          </wp:inline>
        </w:drawing>
      </w: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Most conjugate vaccines available today use a non-disease-specific protein carrier, CRM</w:t>
      </w:r>
      <w:r>
        <w:rPr>
          <w:rFonts w:ascii="Times New Roman" w:hAnsi="Times New Roman"/>
          <w:b w:val="false"/>
          <w:sz w:val="13"/>
        </w:rPr>
        <w:t>197</w:t>
      </w:r>
      <w:r>
        <w:rPr>
          <w:rFonts w:ascii="Times New Roman" w:hAnsi="Times New Roman"/>
          <w:b w:val="false"/>
          <w:sz w:val="20"/>
        </w:rPr>
        <w:t>, in order to leverage T-cell epitopes to induce a T-cell dependent immune response. This traditional method produces a heterogeneous mixture of conjugates with blocked and unblocked T-cell epitopes in a large immunogenic cross-linked matrix structure. In contrast, the precision and flexibility of cell-free protein expression, together with our ability to insert nnAAs, allow us to construct our proprietary enhanced protein carrier, or eCRM, with pre-determined conjugation sites. Our method produces homogenous conjugates that provide for the consistent exposure of T-cell epitopes and likewise form a large, immunogenic cross-linked matrix structure. By precisely conjugating polysaccharides to eCRM in a way that provides for optimal exposure of T-cell epitopes to the immune system, we can heighten immunogenicity attainable with conjugate vaccines.</w:t>
      </w:r>
      <w:r>
        <w:rPr>
          <w:rFonts w:ascii="Times New Roman" w:hAnsi="Times New Roman"/>
          <w:sz w:val="20"/>
        </w:rPr>
        <w:t xml:space="preserve"> </w:t>
      </w:r>
    </w:p>
    <w:p>
      <w:pPr>
        <w:pStyle w:val="TextBody"/>
        <w:spacing w:lineRule="auto" w:line="264" w:before="240" w:after="0"/>
        <w:jc w:val="left"/>
        <w:rPr>
          <w:rFonts w:ascii="Times New Roman" w:hAnsi="Times New Roman"/>
          <w:sz w:val="20"/>
        </w:rPr>
      </w:pPr>
      <w:r>
        <w:rPr>
          <w:rFonts w:ascii="Times New Roman" w:hAnsi="Times New Roman"/>
          <w:b w:val="false"/>
          <w:sz w:val="20"/>
        </w:rPr>
        <w:t>The figures below illustrate the site-specific conjugation process. Figure 8 shows site-specific conjugation of the polysaccharide to the protein carrier, avoiding the T-cell epitopes. Figure 9 shows the inter-strand cross-linked matrix, which is the structure of each monovalent conjugate included in the final vaccine.</w:t>
      </w:r>
      <w:r>
        <w:rPr>
          <w:rFonts w:ascii="Times New Roman" w:hAnsi="Times New Roman"/>
          <w:sz w:val="20"/>
        </w:rPr>
        <w:t xml:space="preserve"> </w:t>
      </w:r>
    </w:p>
    <w:p>
      <w:pPr>
        <w:pStyle w:val="TextBody"/>
        <w:spacing w:lineRule="auto" w:line="264"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13</w:t>
      </w:r>
    </w:p>
    <w:p>
      <w:pPr>
        <w:pStyle w:val="HorizontalLine"/>
        <w:rPr/>
      </w:pPr>
      <w:r>
        <w:rPr/>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5919"/>
        <w:gridCol w:w="4286"/>
      </w:tblGrid>
      <w:tr>
        <w:trPr/>
        <w:tc>
          <w:tcPr>
            <w:tcW w:w="5919" w:type="dxa"/>
            <w:tcBorders/>
            <w:shd w:fill="auto" w:val="clear"/>
            <w:vAlign w:val="center"/>
          </w:tcPr>
          <w:p>
            <w:pPr>
              <w:pStyle w:val="TableContents"/>
              <w:spacing w:before="0" w:after="283"/>
              <w:rPr>
                <w:sz w:val="4"/>
                <w:szCs w:val="4"/>
              </w:rPr>
            </w:pPr>
            <w:r>
              <w:rPr>
                <w:sz w:val="4"/>
                <w:szCs w:val="4"/>
              </w:rPr>
            </w:r>
          </w:p>
        </w:tc>
        <w:tc>
          <w:tcPr>
            <w:tcW w:w="4286" w:type="dxa"/>
            <w:tcBorders/>
            <w:shd w:fill="auto" w:val="clear"/>
            <w:vAlign w:val="center"/>
          </w:tcPr>
          <w:p>
            <w:pPr>
              <w:pStyle w:val="TableContents"/>
              <w:spacing w:before="0" w:after="283"/>
              <w:rPr>
                <w:sz w:val="4"/>
                <w:szCs w:val="4"/>
              </w:rPr>
            </w:pPr>
            <w:r>
              <w:rPr>
                <w:sz w:val="4"/>
                <w:szCs w:val="4"/>
              </w:rPr>
            </w:r>
          </w:p>
        </w:tc>
      </w:tr>
      <w:tr>
        <w:trPr/>
        <w:tc>
          <w:tcPr>
            <w:tcW w:w="5919" w:type="dxa"/>
            <w:tcBorders/>
            <w:shd w:fill="auto" w:val="clear"/>
            <w:vAlign w:val="center"/>
          </w:tcPr>
          <w:p>
            <w:pPr>
              <w:pStyle w:val="TableContents"/>
              <w:spacing w:lineRule="auto" w:line="252" w:before="0" w:after="0"/>
              <w:ind w:left="0" w:right="0" w:hanging="0"/>
              <w:jc w:val="left"/>
              <w:rPr/>
            </w:pPr>
            <w:r>
              <w:rPr/>
              <w:t> </w:t>
            </w:r>
          </w:p>
        </w:tc>
        <w:tc>
          <w:tcPr>
            <w:tcW w:w="4286" w:type="dxa"/>
            <w:tcBorders/>
            <w:shd w:fill="auto" w:val="clear"/>
            <w:vAlign w:val="center"/>
          </w:tcPr>
          <w:p>
            <w:pPr>
              <w:pStyle w:val="TableContents"/>
              <w:spacing w:lineRule="auto" w:line="252" w:before="0" w:after="0"/>
              <w:ind w:left="0" w:right="0" w:hanging="0"/>
              <w:jc w:val="left"/>
              <w:rPr/>
            </w:pPr>
            <w:r>
              <w:rPr/>
              <w:t> </w:t>
            </w:r>
          </w:p>
        </w:tc>
      </w:tr>
      <w:tr>
        <w:trPr/>
        <w:tc>
          <w:tcPr>
            <w:tcW w:w="5919" w:type="dxa"/>
            <w:tcBorders/>
            <w:shd w:fill="auto" w:val="clear"/>
            <w:vAlign w:val="center"/>
          </w:tcPr>
          <w:p>
            <w:pPr>
              <w:pStyle w:val="TableContents"/>
              <w:spacing w:lineRule="auto" w:line="252" w:before="0" w:after="0"/>
              <w:ind w:left="0" w:right="0" w:firstLine="864"/>
              <w:jc w:val="left"/>
              <w:rPr>
                <w:rFonts w:ascii="Times New Roman" w:hAnsi="Times New Roman"/>
                <w:b w:val="false"/>
                <w:i/>
                <w:sz w:val="20"/>
              </w:rPr>
            </w:pPr>
            <w:r>
              <w:rPr>
                <w:rFonts w:ascii="Times New Roman" w:hAnsi="Times New Roman"/>
                <w:b w:val="false"/>
                <w:i/>
                <w:sz w:val="20"/>
              </w:rPr>
              <w:t>Figure 8.</w:t>
            </w:r>
          </w:p>
          <w:p>
            <w:pPr>
              <w:pStyle w:val="TableContents"/>
              <w:spacing w:lineRule="auto" w:line="252" w:before="0" w:after="20"/>
              <w:ind w:left="0" w:right="0" w:hanging="0"/>
              <w:jc w:val="left"/>
              <w:rPr/>
            </w:pPr>
            <w:r>
              <w:rPr/>
              <w:t> </w:t>
            </w:r>
          </w:p>
        </w:tc>
        <w:tc>
          <w:tcPr>
            <w:tcW w:w="4286" w:type="dxa"/>
            <w:tcBorders/>
            <w:shd w:fill="auto" w:val="clear"/>
            <w:vAlign w:val="center"/>
          </w:tcPr>
          <w:p>
            <w:pPr>
              <w:pStyle w:val="TableContents"/>
              <w:spacing w:lineRule="auto" w:line="252" w:before="0" w:after="0"/>
              <w:ind w:left="0" w:right="0" w:firstLine="864"/>
              <w:jc w:val="left"/>
              <w:rPr>
                <w:rFonts w:ascii="Times New Roman" w:hAnsi="Times New Roman"/>
                <w:b w:val="false"/>
                <w:i/>
                <w:sz w:val="20"/>
              </w:rPr>
            </w:pPr>
            <w:r>
              <w:rPr>
                <w:rFonts w:ascii="Times New Roman" w:hAnsi="Times New Roman"/>
                <w:b w:val="false"/>
                <w:i/>
                <w:sz w:val="20"/>
              </w:rPr>
              <w:t>Figure 9.</w:t>
            </w:r>
          </w:p>
          <w:p>
            <w:pPr>
              <w:pStyle w:val="TableContents"/>
              <w:spacing w:lineRule="auto" w:line="252" w:before="0" w:after="20"/>
              <w:ind w:left="0" w:right="0" w:hanging="0"/>
              <w:jc w:val="left"/>
              <w:rPr/>
            </w:pPr>
            <w:r>
              <w:rPr/>
              <w:t> </w:t>
            </w:r>
          </w:p>
        </w:tc>
      </w:tr>
      <w:tr>
        <w:trPr/>
        <w:tc>
          <w:tcPr>
            <w:tcW w:w="5919"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Precise, Site-Specific Conjugation Sites on Proprietary eCRM Protein Carrier</w:t>
            </w:r>
          </w:p>
        </w:tc>
        <w:tc>
          <w:tcPr>
            <w:tcW w:w="4286"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Final VAX-24 Conjugates in</w:t>
            </w:r>
          </w:p>
          <w:p>
            <w:pPr>
              <w:pStyle w:val="TableContents"/>
              <w:spacing w:lineRule="auto" w:line="252" w:before="0" w:after="20"/>
              <w:ind w:left="0" w:right="0" w:hanging="0"/>
              <w:jc w:val="center"/>
              <w:rPr>
                <w:rFonts w:ascii="Times New Roman" w:hAnsi="Times New Roman"/>
                <w:b/>
                <w:sz w:val="20"/>
              </w:rPr>
            </w:pPr>
            <w:r>
              <w:rPr>
                <w:rFonts w:ascii="Times New Roman" w:hAnsi="Times New Roman"/>
                <w:b/>
                <w:sz w:val="20"/>
              </w:rPr>
              <w:t>Customary Matrix Form</w:t>
            </w:r>
          </w:p>
        </w:tc>
      </w:tr>
      <w:tr>
        <w:trPr/>
        <w:tc>
          <w:tcPr>
            <w:tcW w:w="5919" w:type="dxa"/>
            <w:tcBorders/>
            <w:shd w:fill="auto" w:val="clear"/>
            <w:vAlign w:val="center"/>
          </w:tcPr>
          <w:p>
            <w:pPr>
              <w:pStyle w:val="TableContents"/>
              <w:spacing w:lineRule="auto" w:line="252" w:before="0" w:after="0"/>
              <w:ind w:left="0" w:right="0" w:hanging="0"/>
              <w:jc w:val="left"/>
              <w:rPr/>
            </w:pPr>
            <w:r>
              <w:rPr/>
              <w:drawing>
                <wp:inline distT="0" distB="0" distL="0" distR="0">
                  <wp:extent cx="2657475" cy="11144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657475" cy="1114425"/>
                          </a:xfrm>
                          <a:prstGeom prst="rect">
                            <a:avLst/>
                          </a:prstGeom>
                        </pic:spPr>
                      </pic:pic>
                    </a:graphicData>
                  </a:graphic>
                </wp:inline>
              </w:drawing>
            </w:r>
            <w:r>
              <w:rPr/>
              <w:t> </w:t>
            </w:r>
          </w:p>
        </w:tc>
        <w:tc>
          <w:tcPr>
            <w:tcW w:w="4286" w:type="dxa"/>
            <w:tcBorders/>
            <w:shd w:fill="auto" w:val="clear"/>
            <w:vAlign w:val="center"/>
          </w:tcPr>
          <w:p>
            <w:pPr>
              <w:pStyle w:val="TableContents"/>
              <w:spacing w:lineRule="auto" w:line="252" w:before="0" w:after="0"/>
              <w:ind w:left="0" w:right="0" w:hanging="0"/>
              <w:jc w:val="left"/>
              <w:rPr/>
            </w:pPr>
            <w:r>
              <w:rPr/>
              <w:drawing>
                <wp:inline distT="0" distB="0" distL="0" distR="0">
                  <wp:extent cx="2600325" cy="1514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600325" cy="1514475"/>
                          </a:xfrm>
                          <a:prstGeom prst="rect">
                            <a:avLst/>
                          </a:prstGeom>
                        </pic:spPr>
                      </pic:pic>
                    </a:graphicData>
                  </a:graphic>
                </wp:inline>
              </w:drawing>
            </w:r>
            <w:r>
              <w:rPr/>
              <w:t> </w:t>
            </w:r>
          </w:p>
        </w:tc>
      </w:tr>
    </w:tbl>
    <w:p>
      <w:pPr>
        <w:pStyle w:val="TextBody"/>
        <w:spacing w:lineRule="auto" w:line="264" w:before="0" w:after="0"/>
        <w:jc w:val="left"/>
        <w:rPr/>
      </w:pPr>
      <w:r>
        <w:rPr/>
        <w:t> </w:t>
      </w:r>
    </w:p>
    <w:p>
      <w:pPr>
        <w:pStyle w:val="TextBody"/>
        <w:spacing w:lineRule="auto" w:line="261" w:before="0" w:after="0"/>
        <w:jc w:val="left"/>
        <w:rPr>
          <w:rFonts w:ascii="Times New Roman" w:hAnsi="Times New Roman"/>
          <w:sz w:val="20"/>
        </w:rPr>
      </w:pPr>
      <w:r>
        <w:rPr>
          <w:rFonts w:ascii="Times New Roman" w:hAnsi="Times New Roman"/>
          <w:b w:val="false"/>
          <w:sz w:val="20"/>
        </w:rPr>
        <w:t>We believe consistent exposure of T-cell epitopes should translate to higher potency of the protein carrier on a weight-to-weight basis. To harness this potential potency advantage, we have elected to construct conjugates with a lower ratio of protein carrier to polysaccharide than conventional PCVs. We have observed in animal models that despite having approximately half as much protein on average in each monovalent conjugate, VAX-24 had comparable immunogenicity relative to Prevnar 13 on a strain-by-strain basis. As a result, we believe we can incorporate more monovalent conjugates to create an even more broad-spectrum vaccine with less protein carrier per conjugate in order to minimize carrier suppression.</w:t>
      </w:r>
      <w:r>
        <w:rPr>
          <w:rFonts w:ascii="Times New Roman" w:hAnsi="Times New Roman"/>
          <w:sz w:val="20"/>
        </w:rPr>
        <w:t xml:space="preserve"> </w:t>
      </w:r>
    </w:p>
    <w:p>
      <w:pPr>
        <w:pStyle w:val="TextBody"/>
        <w:spacing w:lineRule="auto" w:line="261" w:before="240" w:after="0"/>
        <w:jc w:val="left"/>
        <w:rPr>
          <w:rFonts w:ascii="Times New Roman" w:hAnsi="Times New Roman"/>
          <w:sz w:val="20"/>
        </w:rPr>
      </w:pPr>
      <w:r>
        <w:rPr>
          <w:rFonts w:ascii="Times New Roman" w:hAnsi="Times New Roman"/>
          <w:b/>
          <w:i/>
          <w:sz w:val="20"/>
        </w:rPr>
        <w:t>Better Chemistry</w:t>
      </w:r>
      <w:r>
        <w:rPr>
          <w:rFonts w:ascii="Times New Roman" w:hAnsi="Times New Roman"/>
          <w:sz w:val="20"/>
        </w:rPr>
        <w:t xml:space="preserve"> </w:t>
      </w:r>
    </w:p>
    <w:p>
      <w:pPr>
        <w:pStyle w:val="TextBody"/>
        <w:spacing w:lineRule="auto" w:line="261" w:before="240" w:after="0"/>
        <w:jc w:val="left"/>
        <w:rPr>
          <w:rFonts w:ascii="Times New Roman" w:hAnsi="Times New Roman"/>
          <w:sz w:val="20"/>
        </w:rPr>
      </w:pPr>
      <w:r>
        <w:rPr>
          <w:rFonts w:ascii="Times New Roman" w:hAnsi="Times New Roman"/>
          <w:b w:val="false"/>
          <w:sz w:val="20"/>
        </w:rPr>
        <w:t>We also employ a rapid and less harsh chemistry method called copper-free click chemistry to site-specifically conjugate the polysaccharides to eCRM. We believe this distinctive technique is a better controlled, more efficient and faster method of conjugation relative to conventional chemistry used to make traditional PCVs. The click chemistry conjugation reaction is designed to cause less damage to the critical immunogenic epitopes on the protein carrier or the target antigen.</w:t>
      </w:r>
      <w:r>
        <w:rPr>
          <w:rFonts w:ascii="Times New Roman" w:hAnsi="Times New Roman"/>
          <w:sz w:val="20"/>
        </w:rPr>
        <w:t xml:space="preserve"> </w:t>
      </w:r>
    </w:p>
    <w:p>
      <w:pPr>
        <w:pStyle w:val="TextBody"/>
        <w:spacing w:lineRule="auto" w:line="261" w:before="240" w:after="0"/>
        <w:jc w:val="left"/>
        <w:rPr>
          <w:rFonts w:ascii="Times New Roman" w:hAnsi="Times New Roman"/>
          <w:sz w:val="20"/>
        </w:rPr>
      </w:pPr>
      <w:r>
        <w:rPr>
          <w:rFonts w:ascii="Times New Roman" w:hAnsi="Times New Roman"/>
          <w:b/>
          <w:i/>
          <w:sz w:val="20"/>
        </w:rPr>
        <w:t>Our PCV Franchise</w:t>
      </w:r>
      <w:r>
        <w:rPr>
          <w:rFonts w:ascii="Times New Roman" w:hAnsi="Times New Roman"/>
          <w:sz w:val="20"/>
        </w:rPr>
        <w:t xml:space="preserve"> </w:t>
      </w:r>
    </w:p>
    <w:p>
      <w:pPr>
        <w:pStyle w:val="TextBody"/>
        <w:spacing w:lineRule="auto" w:line="261" w:before="240" w:after="0"/>
        <w:jc w:val="left"/>
        <w:rPr>
          <w:rFonts w:ascii="Times New Roman" w:hAnsi="Times New Roman"/>
          <w:sz w:val="20"/>
        </w:rPr>
      </w:pPr>
      <w:r>
        <w:rPr>
          <w:rFonts w:ascii="Times New Roman" w:hAnsi="Times New Roman"/>
          <w:b w:val="false"/>
          <w:sz w:val="20"/>
        </w:rPr>
        <w:t>We are developing broad-spectrum investigational PCVs designed to minimize carrier suppression.</w:t>
      </w:r>
      <w:r>
        <w:rPr>
          <w:rFonts w:ascii="Times New Roman" w:hAnsi="Times New Roman"/>
          <w:sz w:val="20"/>
        </w:rPr>
        <w:t xml:space="preserve"> </w:t>
      </w:r>
    </w:p>
    <w:p>
      <w:pPr>
        <w:pStyle w:val="TextBody"/>
        <w:spacing w:lineRule="auto" w:line="261" w:before="240" w:after="0"/>
        <w:jc w:val="left"/>
        <w:rPr>
          <w:rFonts w:ascii="Times New Roman" w:hAnsi="Times New Roman"/>
          <w:sz w:val="20"/>
        </w:rPr>
      </w:pPr>
      <w:r>
        <w:rPr>
          <w:rFonts w:ascii="Times New Roman" w:hAnsi="Times New Roman"/>
          <w:b w:val="false"/>
          <w:i/>
          <w:sz w:val="20"/>
        </w:rPr>
        <w:t>VAX-24</w:t>
      </w:r>
      <w:r>
        <w:rPr>
          <w:rFonts w:ascii="Times New Roman" w:hAnsi="Times New Roman"/>
          <w:sz w:val="20"/>
        </w:rPr>
        <w:t xml:space="preserve"> </w:t>
      </w:r>
    </w:p>
    <w:p>
      <w:pPr>
        <w:pStyle w:val="TextBody"/>
        <w:spacing w:lineRule="auto" w:line="261" w:before="240" w:after="0"/>
        <w:jc w:val="left"/>
        <w:rPr>
          <w:rFonts w:ascii="Times New Roman" w:hAnsi="Times New Roman"/>
          <w:sz w:val="20"/>
        </w:rPr>
      </w:pPr>
      <w:r>
        <w:rPr>
          <w:rFonts w:ascii="Times New Roman" w:hAnsi="Times New Roman"/>
          <w:b w:val="false"/>
          <w:sz w:val="20"/>
        </w:rPr>
        <w:t>Our lead vaccine candidate, VAX-24, is designed to improve upon the standard of care by covering the additional strains that are responsible for the majority of residual pneumococcal disease currently in circulation. We achieved preclinical proof of concept for VAX-24 in 2017 by demonstrating that VAX-24 has the potential to protect against the pneumococcal strains collectively covered by Prevnar 13 and Pneumovax 23, which at the time we conducted our preclinical studies represented the standard of care, and showed the durable, boostable immune response of a conjugate vaccine. The incremental 11 strains covered by VAX-24 and not covered by Prevnar 13 are responsible for the majority of circulating invasive pneumococcal disease in both the United States and European Union and are associated with high case-fatality rates, antibiotic resistance and/or meningitis.</w:t>
      </w:r>
      <w:r>
        <w:rPr>
          <w:rFonts w:ascii="Times New Roman" w:hAnsi="Times New Roman"/>
          <w:sz w:val="20"/>
        </w:rPr>
        <w:t xml:space="preserve"> </w:t>
      </w:r>
    </w:p>
    <w:p>
      <w:pPr>
        <w:pStyle w:val="TextBody"/>
        <w:spacing w:lineRule="auto" w:line="261" w:before="240" w:after="0"/>
        <w:jc w:val="left"/>
        <w:rPr>
          <w:rFonts w:ascii="Times New Roman" w:hAnsi="Times New Roman"/>
          <w:sz w:val="20"/>
        </w:rPr>
      </w:pPr>
      <w:r>
        <w:rPr>
          <w:rFonts w:ascii="Times New Roman" w:hAnsi="Times New Roman"/>
          <w:b w:val="false"/>
          <w:sz w:val="20"/>
        </w:rPr>
        <w:t xml:space="preserve">VAX-24 includes 24 purified capsular polysaccharides of </w:t>
      </w:r>
      <w:r>
        <w:rPr>
          <w:rFonts w:ascii="Times New Roman" w:hAnsi="Times New Roman"/>
          <w:b w:val="false"/>
          <w:i/>
          <w:sz w:val="20"/>
        </w:rPr>
        <w:t>S.</w:t>
      </w:r>
      <w:r>
        <w:rPr>
          <w:rFonts w:ascii="Times New Roman" w:hAnsi="Times New Roman"/>
          <w:sz w:val="20"/>
        </w:rPr>
        <w:t xml:space="preserve"> </w:t>
      </w:r>
      <w:r>
        <w:rPr>
          <w:rFonts w:ascii="Times New Roman" w:hAnsi="Times New Roman"/>
          <w:b w:val="false"/>
          <w:i/>
          <w:sz w:val="20"/>
        </w:rPr>
        <w:t>pneumoniae</w:t>
      </w:r>
      <w:r>
        <w:rPr>
          <w:rFonts w:ascii="Times New Roman" w:hAnsi="Times New Roman"/>
          <w:sz w:val="20"/>
        </w:rPr>
        <w:t xml:space="preserve"> </w:t>
      </w:r>
      <w:r>
        <w:rPr>
          <w:rFonts w:ascii="Times New Roman" w:hAnsi="Times New Roman"/>
          <w:b w:val="false"/>
          <w:sz w:val="20"/>
        </w:rPr>
        <w:t>(1, 2, 3, 4, 5, 6A, 6B, 7F, 8, 9N, 9V, 10A, 11A, 12F, 14, 15B, 17F, 18C, 19A, 19F, 20, 22F, 23F and 33F), each of which is conjugated to eCRM to produce 24 monovalent conjugates. These conjugates are mixed into a final vaccine formulation and then adsorbed to alum.</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As shown in Figure 10 below, there are critical differences between VAX-24 and other currently available PCVs relating to the protein carrier, particularly the use of site-specific conjugation and the milder reaction conditions. We achieve site-specific conjugation through the insertion of multiple nnAAs, which is not possible with the conventional chemistry used for making other PCVs. The click chemistry we use for site-specific conjugation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14</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may also minimize damage to the critical immunogenic epitopes on the protein carrier and the polysaccharides through milder and shorter reactions, while other PCVs use conventional chemistries that involve harsher and longer reaction conditions.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Figure 10.</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drawing>
          <wp:inline distT="0" distB="0" distL="0" distR="0">
            <wp:extent cx="5943600" cy="2047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2047875"/>
                    </a:xfrm>
                    <a:prstGeom prst="rect">
                      <a:avLst/>
                    </a:prstGeom>
                  </pic:spPr>
                </pic:pic>
              </a:graphicData>
            </a:graphic>
          </wp:inline>
        </w:drawing>
      </w: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Furthermore, VAX-24, as tested in preclinical studies, nearly doubles the serotype spectrum of coverage of Prevnar 13, yet contains a similar amount of protein carrier. We believe the resulting decreased carrier burden per conjugate of VAX-24 is critical for avoiding carrier suppression and producing broader-spectrum pneumococcal vaccines without sacrificing immunogenicity.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Where appropriate, we capitalize on the efficiencies of well-established clinical, manufacturing and regulatory precedents by leveraging conventional methods for the development of VAX-24. For example, our polysaccharide antigens are primarily made using conventional fermentation and purification techniques and activated through conventional methods. They are also labeled through conventional amination methods prior to being conjugated to eCRM. In addition, we use the same critical quality attribute assays for molecular weight and free polysaccharide that have served as the physicochemical measures of conjugates and also serve as predictors of their immunogenicity in vivo. We also use conventional IgG and OPA serological assays to gauge the immunogenicity of our conjugates, which have served as surrogate immunological endpoints in clinical studies that enabled the approval of Prevnar 13, Prevnar 20 and Vaxneuvance.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also leveraged the same animal models that were utilized in the development of approved PCVs. In particular, our preclinical studies utilized a recognized rabbit model that Pfizer used in its development of Prevnar, Prevnar 13 and Prevnar 20, that Merck used in its development of Vaxneuvance and that GlaxoSmithKline used in its development of Synflorix. To date, the rabbit model has shown consistent immunological responsiveness across all strains for which we have tested our conjugates and has differentiated conjugated versus unconjugated polysaccharide responses (i.e., T-cell dependent versus T-cell independent responses). We believe the demonstration of conjugate-like immune responses in rabbits that resulted in killing of bacteria via OPA and induction of IgG antibody responses are key development milestones and are critical readouts for the development of PCVs. The rabbit model has also provided evidence regarding VAX-24’s potential to generate a booster response.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expect to pursue a well-characterized clinical development path for VAX-24, consistent with other PCV developers. We anticipate that we will be able to conduct smaller and shorter clinical trials that target immune endpoints (e.g., OPA and IgG responses) previously recognized by regulatory authorities. Pfizer applied this approach to the development of Prevnar 13 and Prevnar 20 and Merck applied it to the development of Vaxneuvance.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conducted a pre-IND meeting with the FDA in December 2019 to obtain feedback on our VAX-24 chemistry, manufacturing and controls plan, or CMC plan, as well as our non-clinical and clinical design plans to support our IND application. On January 6, 2022, we announced that the FDA had cleared our IND application for</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VAX-24. On February 23, 2022, we announced the initiation of our Phase 1/2 clinical proof-of-concept study in adults ages 18 to 64. We expect to announce Phase 1/2 topline safety, tolerability and immunogenicity results from this study by the end of 2022.</w:t>
      </w:r>
    </w:p>
    <w:p>
      <w:pPr>
        <w:pStyle w:val="TextBody"/>
        <w:spacing w:lineRule="auto" w:line="273" w:before="240" w:after="0"/>
        <w:jc w:val="left"/>
        <w:rPr>
          <w:rFonts w:ascii="Times New Roman" w:hAnsi="Times New Roman"/>
          <w:sz w:val="20"/>
        </w:rPr>
      </w:pPr>
      <w:r>
        <w:rPr>
          <w:rFonts w:ascii="Times New Roman" w:hAnsi="Times New Roman"/>
          <w:b w:val="false"/>
          <w:i/>
          <w:sz w:val="20"/>
        </w:rPr>
        <w:t>Preclinical Data</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As a prerequisite for regulatory approval, we believe that any investigational PCV will have to be compared to the current standard of care, which is currently Prevnar 13 in infants, and either Prevnar 20 alone or Vaxneuvance followed by Pneumovax 23 in adults. In the case of VAX-24, we believe a successful comparison would be based on demonstrating the clinical non-inferiority of the immune response to the 20 common serotypes in Prevnar 13, and the incremental 4 common strains in Pneumovax 23. To obtain pre-clinical proof of concept on our way to the clinic, we evaluated VAX-24 compared to the then standard of care, Prevnar 13, and assessed the comparative immune responses of VAX-24 using the same rabbit model utilized by other PCV developers. We dosed rabbits in our pre-clinical studies with 0.11µg, as measured by the amount of polysaccharide in each conjugate, for each of the 24 conjugates in VAX-24, as well as 0.11µg for the thirteen conjugates in Prevnar 13 (except serotype 6B at 0.22µg) and compared both PCVs immunogenically to each other and to Pneumovax 23, where each of the 23 polysaccharides were dosed at 1.1µg. The doses are representative of body weight differences in humans versus rabbits and roughly correspond to the dose differential between PCVs and polysaccharide-only vaccines. In humans, Prevnar 13 is dosed at 2.2µg per conjugate (except serotype 6B at 4.4µg) or approximately one-tenth the dose of Pneumovax 23, where each polysaccharide is dosed at 25µg. The species of rabbits used were approximately five percent of the average weight of humans in North America, thus 0.11µg approximates to the 2.2µg dose for PCVs and the 1.1µg dose approximates to the 25µg dose for Pneumovax 23.</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completed multiple pre-clinical proof-of-concept studies of VAX-24 compared to Prevnar 13 and Pneumovax 23 in rabbits. The endpoints of the studies were to measure, on a serotype-specific basis, IgG antibody responses, the surrogate endpoint for pediatrics, and OPA responses, the surrogate endpoint for adults. Initial proof of concept was obtained with research-grade raw materials and conjugates made at Vaxcyte prior to initiating technology transfer to Lonza and production scale-up. In mid-2019, conjugates were made at Vaxcyte at small-scale using optimized processes and procedures using Lonza-produced raw materials, including our proprietary eCRM carrier and all 24 polysaccharides that had already been tech transferred and scaled up. All 24 of the conjugates in VAX-24 met the critical quality attributes and the combination vaccine was administered in the rabbit model per Figures 11, 12, and 13. The chart in Figure 12 reflects the strains covered by each of VAX-24, Prevnar 13 and Pneumovax 23 in these experiments.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Figure 11.</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drawing>
          <wp:inline distT="0" distB="0" distL="0" distR="0">
            <wp:extent cx="5943600" cy="11906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1190625"/>
                    </a:xfrm>
                    <a:prstGeom prst="rect">
                      <a:avLst/>
                    </a:prstGeom>
                  </pic:spPr>
                </pic:pic>
              </a:graphicData>
            </a:graphic>
          </wp:inline>
        </w:drawing>
      </w:r>
      <w:r>
        <w:rPr/>
        <w:t>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reflected in Figure 12 below, VAX-24 showed comparable or superior OPA responses at 1/10th the dose of Pneumovax 23 and comparable OPA responses to an equivalent dose of Prevnar 13 on a serotype-by-serotype basis: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Figure 12.</w:t>
      </w:r>
    </w:p>
    <w:p>
      <w:pPr>
        <w:pStyle w:val="TextBody"/>
        <w:spacing w:lineRule="auto" w:line="273" w:before="0" w:after="0"/>
        <w:jc w:val="left"/>
        <w:rPr/>
      </w:pPr>
      <w:r>
        <w:rPr/>
        <w:t> </w:t>
      </w:r>
    </w:p>
    <w:p>
      <w:pPr>
        <w:pStyle w:val="TextBody"/>
        <w:spacing w:lineRule="auto" w:line="273" w:before="0" w:after="0"/>
        <w:jc w:val="left"/>
        <w:rPr/>
      </w:pPr>
      <w:r>
        <w:rPr/>
        <w:drawing>
          <wp:inline distT="0" distB="0" distL="0" distR="0">
            <wp:extent cx="5943600" cy="25908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2590800"/>
                    </a:xfrm>
                    <a:prstGeom prst="rect">
                      <a:avLst/>
                    </a:prstGeom>
                  </pic:spPr>
                </pic:pic>
              </a:graphicData>
            </a:graphic>
          </wp:inline>
        </w:drawing>
      </w: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+/-95% confidence interval</w:t>
      </w:r>
      <w:r>
        <w:rPr>
          <w:rFonts w:ascii="Times New Roman" w:hAnsi="Times New Roman"/>
          <w:sz w:val="20"/>
        </w:rPr>
        <w:t xml:space="preserve"> </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Similarly, as reflected in Figure 13 below, VAX-24 showed superior IgG antibody responses at 1/10th the dose of Pneumovax 23 and comparable IgG responses to an equivalent dose of Prevnar 13 on a serotype-by-serotype basis: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Figure 13.</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drawing>
          <wp:inline distT="0" distB="0" distL="0" distR="0">
            <wp:extent cx="5943600" cy="2524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43600" cy="2524125"/>
                    </a:xfrm>
                    <a:prstGeom prst="rect">
                      <a:avLst/>
                    </a:prstGeom>
                  </pic:spPr>
                </pic:pic>
              </a:graphicData>
            </a:graphic>
          </wp:inline>
        </w:drawing>
      </w: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+/-95% confidence interval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 critical milestone in product development is the scale-up of manufacturing to provide sufficient material for clinical evaluation and potential commercial launch. After having completed the technology transfer of the optimized processes and procedures for the production of each of the 24 conjugates in VAX-24, the conjugates were produced at Lonza at an over fifteen-fold scale increase to the prior scale at Vaxcyte. Each of the conjugates in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VAX-24 made at Lonza met the critical quality attributes and the combination vaccine was administered in the rabbit model. The chart in Figure 14 reflects the strains covered by each of VAX-24 and Prevnar 13 in this experiment.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Figure 14</w:t>
      </w:r>
      <w:r>
        <w:rPr>
          <w:rFonts w:ascii="Times New Roman" w:hAnsi="Times New Roman"/>
          <w:b w:val="false"/>
          <w:sz w:val="20"/>
        </w:rPr>
        <w:t>.</w:t>
      </w:r>
      <w:r>
        <w:rPr>
          <w:rFonts w:ascii="Times New Roman" w:hAnsi="Times New Roman"/>
          <w:sz w:val="20"/>
        </w:rPr>
        <w:t xml:space="preserve"> </w:t>
      </w:r>
    </w:p>
    <w:p>
      <w:pPr>
        <w:pStyle w:val="TextBody"/>
        <w:spacing w:lineRule="auto" w:line="273" w:before="0" w:after="0"/>
        <w:jc w:val="center"/>
        <w:rPr/>
      </w:pPr>
      <w:r>
        <w:rPr/>
        <w:drawing>
          <wp:inline distT="0" distB="0" distL="0" distR="0">
            <wp:extent cx="5943600" cy="904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904875"/>
                    </a:xfrm>
                    <a:prstGeom prst="rect">
                      <a:avLst/>
                    </a:prstGeom>
                  </pic:spPr>
                </pic:pic>
              </a:graphicData>
            </a:graphic>
          </wp:inline>
        </w:drawing>
      </w: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data shown below in Figure 15 confirms that the eCRM and polysaccharide raw materials and the conjugation processes for each of the conjugates in VAX-24 all were transferred to and scaled at Lonza, and the immunogenicity remained comparable to Prevnar 13 and was consistent with prior lots of VAX-24.</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Figure 15.</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5943600" cy="3705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3705225"/>
                    </a:xfrm>
                    <a:prstGeom prst="rect">
                      <a:avLst/>
                    </a:prstGeom>
                  </pic:spPr>
                </pic:pic>
              </a:graphicData>
            </a:graphic>
          </wp:inline>
        </w:drawing>
      </w: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+/-95% confidence interval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VAX-24 Clinical Development Plan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To accelerate our time to market, we intend to first pursue clinical proof of concept in the United States for adults and then pursue clinical development in the pediatric population. We believe the most expedient path to clinical proof of concept will be in the adult population where the standard of care involves the administration of a single dose and where an initial clinical trial could begin in the target population. We expect to initiate our pediatric development program in toddlers upon receipt of the Phase 2 topline safety, tolerability and immunogenicity data in adults 50 to 64 years of age and following submission and clearance of an IND application for this population. After completing such a toddler study, we would expect to commence clinical development in the infant population.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18</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i/>
          <w:sz w:val="20"/>
        </w:rPr>
        <w:t>Adult Indication</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first-in-human study is a randomized, observer-blind, dose-finding, controlled Phase 1/2 study designed to evaluate the safety, tolerability and immunogenicity of VAX-24 in healthy adults. The Phase 1 portion of the study will enroll approximately 64 healthy adults aged 18 to 49 to assess the safety and tolerability of each of three VAX-24 doses and compared to PCV20. Participants will be randomized equally in four separate arms and will be evaluated for safety 8 and 29 days after dosing. The Phase 2 portion will evaluate the safety, tolerability and immunogenicity of a single injection of VAX-24 at three dose levels compared to that of Prevnar 20 in approximately 800 healthy adults 50 to 64 years of age. Participants will be randomized equally in four separate arms and approximately 28 days after participants are dosed, samples are collected to assess immunogenicity. Topline data will be based on the results as of this one-month assessment, as well as the safety and tolerability observations throughout this period. All participants in the Phase 1/2 study will be followed for a total of 6 months after dosing to assess safety and tolerability.</w:t>
      </w:r>
    </w:p>
    <w:p>
      <w:pPr>
        <w:pStyle w:val="TextBody"/>
        <w:spacing w:lineRule="auto" w:line="273" w:before="240" w:after="0"/>
        <w:jc w:val="left"/>
        <w:rPr>
          <w:rFonts w:ascii="Times New Roman" w:hAnsi="Times New Roman"/>
          <w:sz w:val="20"/>
        </w:rPr>
      </w:pPr>
      <w:r>
        <w:rPr>
          <w:rFonts w:ascii="Times New Roman" w:hAnsi="Times New Roman"/>
          <w:b w:val="false"/>
          <w:sz w:val="20"/>
        </w:rPr>
        <w:t>To date, our preclinical immunogenicity data suggest that VAX-24 will contain a lower overall polysaccharide to protein ratio of conjugated drug substance as compared to Prevnar 20 and depending on the dose-ranging study, the dose may contain lower cumulative protein as well. We initiated the Phase 1/2 study in February 2022 and expect to announce Phase 1/2 topline safety, tolerability and immunogenicity data by the end of 2022.</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expect to use OPA titers as the primary immunogenicity endpoint for the VAX-24 program in adults. OPA is believed to be the primary protective mechanism against pneumococcal disease. In addition, we expect to measure IgG responses as a secondary endpoint, as such responses may serve as supportive evidence of immunogenicity for comparison. We also expect to use OPA titers and IgG concentrations as endpoints in our other planned adult studies of VAX-24. We currently believe that these endpoints, if met, will be sufficient to obtain regulatory approval of VAX-24 and do not anticipate the need for a clinical field efficacy trial. However, we have not yet obtained feedback from the FDA regarding our pivotal Phase 3 clinical development plans or the acceptability of our approach.</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FDA has previously approved pneumococcal vaccines upon the establishment of non-inferiority based on a head-to-head comparison using established surrogate immune endpoints in the target population. For adults, Prevnar 13 was approved based on the establishment of non-inferiority of OPA responses relative to Pneumovax 23, on a strain-by-strain basis, where non-inferiority was defined as greater than or equal to 0.50 of the lower limit of the two-sided 95% confidence interval of the OPA geometric mean titer ratio. Prevnar 20 and Vaxneuvance were approved based on the same non-inferiority criterion but compared with Prevnar 13 and Pneumovax 23. We have designed our Phase 1/2 study to have greater than or equal to 85% power on an individual serotype-basis taking into account the serotype with the highest variability in order to show a two-fold difference between treatment groups.</w:t>
      </w:r>
    </w:p>
    <w:p>
      <w:pPr>
        <w:pStyle w:val="TextBody"/>
        <w:spacing w:lineRule="auto" w:line="273" w:before="240" w:after="0"/>
        <w:jc w:val="left"/>
        <w:rPr>
          <w:rFonts w:ascii="Times New Roman" w:hAnsi="Times New Roman"/>
          <w:sz w:val="20"/>
        </w:rPr>
      </w:pPr>
      <w:r>
        <w:rPr>
          <w:rFonts w:ascii="Times New Roman" w:hAnsi="Times New Roman"/>
          <w:b w:val="false"/>
          <w:sz w:val="20"/>
        </w:rPr>
        <w:t>Figure 16 is a schematic of the overall study design of our planned Phase 1/2 study: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Figure 16.</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drawing>
          <wp:inline distT="0" distB="0" distL="0" distR="0">
            <wp:extent cx="5943600" cy="14382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943600" cy="1438275"/>
                    </a:xfrm>
                    <a:prstGeom prst="rect">
                      <a:avLst/>
                    </a:prstGeom>
                  </pic:spPr>
                </pic:pic>
              </a:graphicData>
            </a:graphic>
          </wp:inline>
        </w:drawing>
      </w: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If our Phase 2 trial is completed successfully, we expect to conduct an End-of-Phase 2 meeting with the FDA and subsequently conduct pivotal Phase 3 trials in the adult population for the purposes of evaluating</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non-inferiority to Prevnar 20 for immunogenicity, generating a sufficient safety database in adults and establishing consistency of manufacturing through a lot-to-lot consistency study. The Phase 3 non-inferiority results would then be used to seek approval of VAX-24 in the adult population. This approach is similar to the approaches utilized by Pfizer to develop Prevnar 20 and Merck to develop Vaxneuvance, where the immunogenicity of the investigational PCVs was compared to the 13-valent Prevnar product (current standard of care at the time).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Based on Pfizer’s experience with Prevnar 13, we believe that VAX-24, if approved, would have the potential to serve as a “catch-up” or booster for those who have previously received Pneumovax 23 or a lower-valent PCV. We believe a study exploring serial vaccination with Prevnar 20 and/or Pneumovax 23 followed by VAX-24 at different intervals could generate valuable data supporting a recommendation for VAX-24 vaccination in previously vaccinated adults.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To add to the body of data in adults, we plan to conduct a separate Phase 2 study, in adults 65 and older, upon the successful completion of the Phase 1 portion of the Phase 1/2 study in adults ages 18 to 64. The topline data from this study are anticipated in the first half of 2023.</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Pediatric Indication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are also developing VAX-24 as a pediatric vaccine. If successful, we expect the data from the adult Phase 1 and Phase 2 trials will inform the VAX-24 dose(s) to be evaluated in pediatric populations. We plan to initially evaluate VAX-24 in an age de-escalation study. The adult Phase 2 trial will provide the safety and immunogenicity data required to initiate a Phase 1 clinical study in toddlers which will examine the safety, tolerability and immunogenicity of VAX-24 in healthy toddlers aged 12 to 15 months. A dose of VAX-24 or Prevnar 13 would be administered to the 12 to 15-month age group. For trials in the United States, toddlers would be expected to have been primed with a 3-dose primary infant series of Prevnar 13. Immune response data would reveal whether the boost achieved with VAX-24 is comparable to Prevnar 13 for the common serotypes, with the remaining 11 serotypes to be assessed for a single-dose primary immune response in the toddler age group.</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our Phase 1 trial in toddlers is completed successfully, we would expect to initiate a Phase 2 study to evaluate the safety and immunogenicity of VAX-24 administered as a three-dose primary series to infants at 2, 4 and 6 months of age. We would also expect to give these infants a booster dose at 12 to 15 months for a complete four-dose series. The decision to incorporate dose-finding as part of this trial would be made based on data from ongoing or completed adult trials and the preliminary immunogenicity data generated in toddlers.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plan to collect both IgG and OPA data to evaluate whether the immune responses observed in infants following vaccination with VAX-24 are similar to those seen with other PCVs. If dose-finding is performed in infants, the data would inform on the dose levels for each of the conjugates in the final VAX-24 infant formulation. Consistent with the approval process for Prevnar 13 in infants, we do not anticipate that a clinical field efficacy trial will be required for VAX-24 in the pediatric population. We expect the clinical development of VAX-24 to follow the same approach utilized for Prevnar 13, where vaccine effectiveness against IPD was inferred from immunologic correlates. In contrast to the adult population, VAX-24 approval in the pediatric population is expected to be based on a non-inferiority comparison of IgG responses to Prevnar 13. However, we have not yet obtained feedback from the FDA regarding our clinical development plans or the acceptability of our approach.</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If our Phase 2 trials are completed successfully, we expect to conduct pivotal Phase 3 trials in the pediatric population that focus on evaluating non-inferiority to Prevnar 13 for immunogenicity and seroconversion or antibody concentration threshold; assessing U.S. routine vaccination responses following concomitant administration with VAX-24; and generating a sufficient safety database in infants. The Phase 3 non-inferiority results would then be used to seek approval of VAX-24 in the pediatric population. This approach is similar to the approach utilized to develop Prevnar 13, where the immunogenicity of Prevnar 13 was compared to the original 7-valent Prevnar product (standard of care at the time).</w:t>
      </w:r>
    </w:p>
    <w:p>
      <w:pPr>
        <w:pStyle w:val="TextBody"/>
        <w:spacing w:lineRule="auto" w:line="273" w:before="240" w:after="0"/>
        <w:jc w:val="left"/>
        <w:rPr>
          <w:rFonts w:ascii="Times New Roman" w:hAnsi="Times New Roman"/>
          <w:sz w:val="20"/>
        </w:rPr>
      </w:pPr>
      <w:r>
        <w:rPr>
          <w:rFonts w:ascii="Times New Roman" w:hAnsi="Times New Roman"/>
          <w:b w:val="false"/>
          <w:sz w:val="20"/>
        </w:rPr>
        <w:t>PCVs, as well as all other polysaccharide-conjugate vaccines, have historically had an excellent safety profile, especially in comparison to other vaccines such as rotavirus and diphtheria-tetanus-pertussis.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i/>
          <w:sz w:val="20"/>
        </w:rPr>
        <w:t>VAX-XP</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VAX-XP is a franchise extension of VAX-24 that, if approved, would expand strain coverage to at least 30 strains and demonstrate the scalable and modular nature of conjugate vaccines we can develop. VAX-XP includes all of the strains contained in VAX-24 plus incremental strains that were selected based on the epidemiological evidence demonstrating their role in circulating IPD and is designed to protect against these emerging strains and to help address antibiotic resistance. The serotypes in VAX-XP cover over 90% of the circulating pneumococcal disease in the United States, although we are not disclosing the specific incremental strains at this time.</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have completed multiple preclinical proof-of-concept studies for VAX-XP in rabbit models compared to Prevnar 13, as well as more than 30 polysaccharides adsorbed onto alum. IgG responses in rabbits were superior to polysaccharide alone plus alum and comparable with Prevnar 13 in the common 13 strains. We recently completed the process of transferring and scaling the conjugation processes at Lonza for each of the incremental conjugates contained in VAX-XP over and above those contained in VAX-24. The data shown below in Figure 17 was generated using those conjugates produced at larger scale at Lonza and confirm that the eCRM and polysaccharide raw materials and the conjugation processes for each of the conjugates in VAX-XP demonstrate immunogenicity comparable to Prevnar 13 and superior to polysaccharide alone, consistent with prior lots of VAX-XP.</w:t>
      </w:r>
    </w:p>
    <w:p>
      <w:pPr>
        <w:pStyle w:val="TextBody"/>
        <w:spacing w:lineRule="auto" w:line="273" w:before="240" w:after="0"/>
        <w:jc w:val="left"/>
        <w:rPr>
          <w:rFonts w:ascii="Times New Roman" w:hAnsi="Times New Roman"/>
          <w:sz w:val="20"/>
        </w:rPr>
      </w:pPr>
      <w:r>
        <w:rPr>
          <w:rFonts w:ascii="Times New Roman" w:hAnsi="Times New Roman"/>
          <w:b w:val="false"/>
          <w:i/>
          <w:sz w:val="20"/>
        </w:rPr>
        <w:t>Figure 17.</w:t>
      </w:r>
      <w:r>
        <w:rPr>
          <w:rFonts w:ascii="Times New Roman" w:hAnsi="Times New Roman"/>
          <w:sz w:val="20"/>
        </w:rPr>
        <w:t xml:space="preserve"> </w:t>
      </w:r>
    </w:p>
    <w:p>
      <w:pPr>
        <w:pStyle w:val="TextBody"/>
        <w:spacing w:lineRule="auto" w:line="273" w:before="240" w:after="0"/>
        <w:jc w:val="left"/>
        <w:rPr/>
      </w:pPr>
      <w:r>
        <w:rPr/>
        <w:drawing>
          <wp:inline distT="0" distB="0" distL="0" distR="0">
            <wp:extent cx="5229225" cy="22098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229225" cy="2209800"/>
                    </a:xfrm>
                    <a:prstGeom prst="rect">
                      <a:avLst/>
                    </a:prstGeom>
                  </pic:spPr>
                </pic:pic>
              </a:graphicData>
            </a:graphic>
          </wp:inline>
        </w:drawing>
      </w:r>
      <w:r>
        <w:rPr/>
        <w:t> </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+/-95% confidence interval</w:t>
      </w:r>
    </w:p>
    <w:p>
      <w:pPr>
        <w:pStyle w:val="TextBody"/>
        <w:spacing w:lineRule="auto" w:line="273" w:before="0" w:after="0"/>
        <w:jc w:val="left"/>
        <w:rPr>
          <w:rFonts w:ascii="Times New Roman" w:hAnsi="Times New Roman"/>
          <w:sz w:val="20"/>
        </w:rPr>
      </w:pPr>
      <w:r>
        <w:rPr>
          <w:rFonts w:ascii="Times New Roman" w:hAnsi="Times New Roman"/>
          <w:b w:val="false"/>
          <w:sz w:val="20"/>
        </w:rPr>
        <w:t>Note: VAX-XP includes all 24 strains in VAX-24 and 7 additional pneumococcal conjugates. Serotypes A-G potential additional serotypes to be targeted by Vaxcyte under the VAX-XP program.</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Platform Application Two: Novel Conjugate Vaccine Opportunities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are also developing novel conjugate vaccine candidates for other diseases for which there are no existing vaccines. By leveraging our platform, we have been able to generate novel protein carriers with site-specific incorporation of nnAAs designed to provide optimal exposure of both B-cell and T-cell epitopes on the carrier. Using these novel protein carriers, we can produce highly stable conjugate vaccine candidates through site-specific conjugation of antigens, including polysaccharides. Functionally, one significant advantage of using carriers may be the additional protective immunity that the protein itself can provide beyond the conjugated antigen itself.</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Group A Strep Disease Background and Market Opportunity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Streptococcus pyogenes</w:t>
      </w:r>
      <w:r>
        <w:rPr>
          <w:rFonts w:ascii="Times New Roman" w:hAnsi="Times New Roman"/>
          <w:sz w:val="20"/>
        </w:rPr>
        <w:t xml:space="preserve"> </w:t>
      </w:r>
      <w:r>
        <w:rPr>
          <w:rFonts w:ascii="Times New Roman" w:hAnsi="Times New Roman"/>
          <w:b w:val="false"/>
          <w:sz w:val="20"/>
        </w:rPr>
        <w:t>(</w:t>
      </w:r>
      <w:r>
        <w:rPr>
          <w:rFonts w:ascii="Times New Roman" w:hAnsi="Times New Roman"/>
          <w:b w:val="false"/>
          <w:i/>
          <w:sz w:val="20"/>
        </w:rPr>
        <w:t>S. pyogenes</w:t>
      </w:r>
      <w:r>
        <w:rPr>
          <w:rFonts w:ascii="Times New Roman" w:hAnsi="Times New Roman"/>
          <w:sz w:val="20"/>
        </w:rPr>
        <w:t xml:space="preserve"> </w:t>
      </w:r>
      <w:r>
        <w:rPr>
          <w:rFonts w:ascii="Times New Roman" w:hAnsi="Times New Roman"/>
          <w:b w:val="false"/>
          <w:sz w:val="20"/>
        </w:rPr>
        <w:t>or Group A Strep) causes a wide spectrum of both acute and chronic clinical conditions that lead to considerable burden globally. Group A Strep, a pervasive disease that results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21</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in 700 million cases of illness each year, is one of the leading infectious disease-related causes of death and disability worldwide. An estimated 500,000 deaths globally result from Group A Strep, which is in line with the impact seen from the Measles, Rotavirus and Pertussis. Among older adults (≥ 65 years) in the United States, rates of invasive disease and deaths caused by Group A Strep have more than doubled over the last decade. Some of the most serious consequences of Group A Strep include flesh eating disease (necrotizing fasciitis) and invasive diseases such as sepsis and rheumatic heart disease (RHD). Approximately 30 million people are currently affected by RHD worldwide. Importantly, the majority of Group A Strep infections lead to pharyngitis, commonly known as strep throat, which is highly prevalent in school-age children. In the United States, an estimated 17% of outpatient antibiotic prescriptions dispensed to children aged 3 to 9 years are for the treatment of suspected Group A Strep infections. Studies have indicated that antibiotic resistance to Group A Strep has significantly increased over the past decade, leading the CDC to categorize Group A Strep as a concerning threat. Additionally, the development of vaccines against Group A Strep has become a priority for the WHO amid recognition of the rising disease incidence globally, as well as the need to combat avoidable antibiotic consumption.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It has been established that the repeated natural infection of children with Group A Strep results in immune responses that are protective against subsequent Group A Strep infection. We believe this observation justifies the development of a rationally designed vaccine for Group A Strep that is focused on conserved antigens expressed by all strains of the bacteria.</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VAX-A1</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developed a conjugate vaccine candidate, VAX-A1, designed to confer broad protection against subtypes of Group A Strep by virtue of polyrhamnose, a conserved polysaccharide, conjugated to Group A Strep specific immunogenic protein carrier using our site-specific conjugation technology. The resulting conjugate is designed to ensure optimal exposure of both the B-cell and T-cell epitopes on the protein carrier to confer robust, boostable and durable protective immune responses. We believe this single conjugate could potentially cover all Group A Strep strains. The vaccine is a combination of this novel protein-polysaccharide conjugate along with two additional conserved surface proteins.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Our initial preclinical proof-of-concept study was published in the journal </w:t>
      </w:r>
      <w:r>
        <w:rPr>
          <w:rFonts w:ascii="Times New Roman" w:hAnsi="Times New Roman"/>
          <w:b w:val="false"/>
          <w:i/>
          <w:sz w:val="20"/>
        </w:rPr>
        <w:t>Infectious Microbes &amp; Diseases</w:t>
      </w:r>
      <w:r>
        <w:rPr>
          <w:rFonts w:ascii="Times New Roman" w:hAnsi="Times New Roman"/>
          <w:sz w:val="20"/>
        </w:rPr>
        <w:t xml:space="preserve"> </w:t>
      </w:r>
      <w:r>
        <w:rPr>
          <w:rFonts w:ascii="Times New Roman" w:hAnsi="Times New Roman"/>
          <w:b w:val="false"/>
          <w:sz w:val="20"/>
        </w:rPr>
        <w:t>in December 2020. In the study, a novel protein and polysaccharide conjugate of the Group A Strep polysaccharide was constructed for inclusion in a universal subunit vaccine against infections by the pathogen. The VAX-A1 vaccine candidate, based on SpyAD-conjugated to a modified polyrhamnose backbone (lacking N-acetyl glucosamine) and including SLO and C5a peptidase, demonstrated protection from subcutaneous and systemic challenge in mice, antibody binding and opsonophagocytic killing for multiple Group A Strep M Protein Gene, or emm, types and no evidence of cross-reactivity to human heart and brain tissue antigens (Figure 18), which is a key leading indicator of vaccine safety. The study was carried out in collaboration with researchers at the Division of Host-Microbe Systems and Therapeutics, Department of Pediatrics, University of California School of Medicine and the Skaggs School of Pharmacy and Pharmaceutical Sciences at the University of California, San Diego.</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Figure 18.</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drawing>
          <wp:inline distT="0" distB="0" distL="0" distR="0">
            <wp:extent cx="3895725" cy="1714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895725" cy="1714500"/>
                    </a:xfrm>
                    <a:prstGeom prst="rect">
                      <a:avLst/>
                    </a:prstGeom>
                  </pic:spPr>
                </pic:pic>
              </a:graphicData>
            </a:graphic>
          </wp:inline>
        </w:drawing>
      </w:r>
      <w:r>
        <w:rPr/>
        <w:t>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22</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VAX-A1 vaccine development program currently is funded in part by a grant obtained from CARB-X, a global non-profit partnership dedicated to accelerating antibacterial innovation to tackle the rising global threat of drug-resistant bacteria. The award committed initial funding of up to $1.6 million. In July 2020, the initial funding amount was amended from $1.6 million to $2.7 million and, if options to extend are exercised by CARB-X, up to $15.1 million in total funding available upon achievement of development milestones through Phase 1 human clinical trials. In April 2021, we received approval for the next phase of CARB-X development and executed the cost-reimbursement sub-award agreement with the Trustees of Boston University in August 2021. Pursuant to the agreement, the award committed additional funding of $3.2 million for IND-enabling activities and total potential funding of up to $29.7 million (including the current $3.2 million award and the prior $2.7 million award) upon the achievement of future VAX-A1 development milestones. In January 2022, CARB-X revised the parameters for the contribution of CARB-X funding and implemented maximum funding levels for all grant recipients. As a result, our total funding available upon achievement of development milestones through Phase 1 human clinical trials was revised from $29.7 million to $13.9 million.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nominated the final vaccine candidate for our VAX-A1 program in the first quarter of 2021 and initiated IND-enabling activities in the second half of 2021. Upon completion of the preclinical development program and IND-enabling activities for VAX-A1, we intend to conduct a multi-center, randomized, placebo-controlled Phase 1/2 study in adults at risk for contracting Group A Strep infections. The primary objectives of the initial clinical trial will be to evaluate safety and tolerability. Secondary exploratory endpoints will be to measure IgG immune response to the vaccine antigens and to evaluate the ability of the antibodies produced in response to vaccination to inhibit and prevent infections caused by Group A Strep.</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Platform Application Three: Protein Vaccine Opportunities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believe we can also develop novel protein vaccine candidates constructed using “tough-to-make” protein antigens uniquely able to be expressed using the platform. In particular, the lack of a cellular membrane in our platform allows for the exogenous addition of components to manipulate transcription, translation and folding by modification of reaction conditions. Furthermore, removal of the typical restriction to maintain cell viability also creates unique avenues for optimizing and promoting protein production for antigens that might be cytotoxic to a cell-based system or require non-physiological conditions for optimal protein folding. Thus, utilizing these advantages, we believe we can express and purify important protein targets to generate unique candidates that are beyond the scope of traditional production systems. Our therapeutic periodontitis vaccine candidate is the first example of a “tough-to-make” protein-based vaccine.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Periodontitis Disease Background and Market Opportunity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Periodontal disease is a highly complex, chronic oral inflammatory disease that leads to the destruction of the soft and hard tissues supporting the teeth. The subgingival niche (below the gum margin of teeth) is populated by a diverse polymicrobial plaque. It is increasingly understood that the shift from periodontal health to disease is associated with changes in the microbial composition of the subgingival plaque, including activities of bacteria such as Porphyromonas gingivalis (P. gingivalis). The development of precise approaches to control this keystone pathogen, such as a vaccine, could then positively impact the periodontal disease burden.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Those with periodontitis also have an increased risk for heart attack, stroke and other serious cardiovascular events. In addition to gum and tooth disease, periodontal inflammation and infection with P. gingivalis have been linked to atherosclerotic heart disease mediated by P. gingivalis residing in atherosclerotic plaque. While we are focused on the treatment of periodontal disease with this vaccine candidate, if P. gingivalis is found to be causative in other chronic disorders, our vaccine candidate could potentially be a highly effective treatment and allow disease intervention at a much earlier stage of the disease. For example, recent research has suggested the potential for a link between P. gingivalis and Alzheimer’s disease.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Neither the natural host immune response nor currently available treatments are curative for periodontal disease. Existing treatment includes highly aggressive and invasive procedures, including scaling and root planing and surgical intervention, coupled with antibiotic use. Despite these types of aggressive treatments, diseased sites frequently progress, leading to tooth loss. Thus, the development of an effective vaccine for periodontitis would be highly desirable.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23</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In the United States alone, an estimated 65 million adults suffer from periodontal disease. Globally, severe periodontal disease afflicts 10% to 15% of the adult population, resulting in productivity losses estimated at nearly $54 billion in 2010.</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VAX-PG</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We are developing a novel protein vaccine candidate, VAX-PG, targeting </w:t>
      </w:r>
      <w:r>
        <w:rPr>
          <w:rFonts w:ascii="Times New Roman" w:hAnsi="Times New Roman"/>
          <w:b w:val="false"/>
          <w:i/>
          <w:sz w:val="20"/>
        </w:rPr>
        <w:t xml:space="preserve">P. gingivalis </w:t>
      </w:r>
      <w:r>
        <w:rPr>
          <w:rFonts w:ascii="Times New Roman" w:hAnsi="Times New Roman"/>
          <w:b w:val="false"/>
          <w:sz w:val="20"/>
        </w:rPr>
        <w:t>that incorporates protein antigens that we believe are uniquely enabled with our technology. Our initial goal is to develop a therapeutic vaccine to slow or stop disease progression; however, the results from clinical trials may inform the potential adoption of prophylactic immunization.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VAX-PG, which includes cell-free produced P. gingivalis virulence factors, including gingipains, were tested in a preclinical model that mimics periodontal disease. The results, which we believe demonstrate preclinical proof of concept, were published in the </w:t>
      </w:r>
      <w:r>
        <w:rPr>
          <w:rFonts w:ascii="Times New Roman" w:hAnsi="Times New Roman"/>
          <w:b w:val="false"/>
          <w:i/>
          <w:sz w:val="20"/>
        </w:rPr>
        <w:t xml:space="preserve">Journal of Clinical Periodontology </w:t>
      </w:r>
      <w:r>
        <w:rPr>
          <w:rFonts w:ascii="Times New Roman" w:hAnsi="Times New Roman"/>
          <w:b w:val="false"/>
          <w:sz w:val="20"/>
        </w:rPr>
        <w:t>in February 2019. The vaccine elicited protein-specific IgG response following immunization and protected mice from P. gingivalis-elicited oral bone loss. Shown in Figure 19 is the objective bone loss of VAX-PG with alum, Monophospholipid A, or no adjuvant. Immunization with all formulations of VAX-PG provided significant protection against oral bone loss compared to the no vaccine oral challenged control group (p&lt;0.01, ANOVA with Dunns multiple comparisons).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Figure 19.</w:t>
      </w:r>
      <w:r>
        <w:rPr>
          <w:rFonts w:ascii="Times New Roman" w:hAnsi="Times New Roman"/>
          <w:sz w:val="20"/>
        </w:rPr>
        <w:t xml:space="preserve"> </w:t>
      </w:r>
    </w:p>
    <w:p>
      <w:pPr>
        <w:pStyle w:val="TextBody"/>
        <w:spacing w:lineRule="auto" w:line="273" w:before="0" w:after="0"/>
        <w:jc w:val="left"/>
        <w:rPr/>
      </w:pPr>
      <w:r>
        <w:rPr/>
        <w:drawing>
          <wp:inline distT="0" distB="0" distL="0" distR="0">
            <wp:extent cx="2714625" cy="23717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714625" cy="2371725"/>
                    </a:xfrm>
                    <a:prstGeom prst="rect">
                      <a:avLst/>
                    </a:prstGeom>
                  </pic:spPr>
                </pic:pic>
              </a:graphicData>
            </a:graphic>
          </wp:inline>
        </w:drawing>
      </w: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ABC = alveolar bone crest</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CEJ = cement-enamel junction</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Shown below in Figure 20 are pictures of representative mouse jaws from the experiment. As can be seen, the vaccinated mice had considerably less bone loss than the unvaccinated and challenged control animals.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Figure 20.</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drawing>
          <wp:inline distT="0" distB="0" distL="0" distR="0">
            <wp:extent cx="3733800" cy="31051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733800" cy="3105150"/>
                    </a:xfrm>
                    <a:prstGeom prst="rect">
                      <a:avLst/>
                    </a:prstGeom>
                  </pic:spPr>
                </pic:pic>
              </a:graphicData>
            </a:graphic>
          </wp:inline>
        </w:drawing>
      </w:r>
      <w:r>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expect to nominate the final vaccine candidate for our VAX-PG program by the end of 2022. Upon completion of the preclinical development program and IND-enabling activities for VAX-PG, we intend to conduct a multi-center, randomized, placebo-controlled Phase 1/2 study in adults with mild to moderate chronic periodontal disease. The primary objectives of the initial clinical trial will be to evaluate safety and tolerability. Secondary exploratory endpoints will be to measure IgG immune response to the vaccine antigens and to evaluate the ability of the antibodies produced in response to vaccination to inhibit the formation of the poly-microbial biofilm, which is characteristic of periodontal disease.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Manufacturing and Supply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designed and developed a proprietary, scalable and portable manufacturing process for VAX-24 that we believe can scale to address clinical and commercial vaccine supply needed to serve both adult and pediatric populations. We have completed process development. technology transfer to Lonza and Phase 1/2 manufacture for the critical components of the VAX-24 conjugates. In addition, we have also completed manufacture, testing and release of the 24 drug substance conjugates and the final drug product for the VAX-24 Phase 1/2 study in adults. As we have completed clinical manufacturing, we are now progressing to commercial supply discussions. We currently do not own or operate any manufacturing facilities, but our strategic partnership with Lonza provides us with access to substantial resources to facilitate an independent supply path to the market. Lonza is a leading global contract manufacturer with deep domain expertise and experience in large and small-scale production of clinical, as well as commercial-stage products. We have entered into agreements with Lonza to secure capacity, technical expertise and resources to support the production of VAX-24 clinical material and processes that are intended to scale to commercial scale at Lonza or other commercial manufacturing sites and are progressing to commercial supply discussions with Lonza. We have also entered into agreements for eCRM and polysaccharide to support VAX-XP to IND. In addition, we have entered into an agreement with Sutro Biopharma to supply us with extract and custom reagents for use in manufacturing preclinical and certain clinical supply of vaccine compositions, and in December 2019, we exercised our right to require Sutro Biopharma to establish a second supplier for extract and custom reagents to support our anticipated clinical and commercial needs. We have completed the manufacturing process and the delivery of the clinical material to support the Phase 1/2 clinical studies of VAX-24</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in adults. The conjugates in VAX-24 are designed to serve as the foundation for our next-generation VAX-XP program.</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Process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manufacturing process for our VAX-24 vaccine candidate consists of four key components: a) our proprietary eCRM protein carrier; b) the 24 pneumococcal polysaccharides; c) the 24 conjugate drug substances and d) the mixture of these 24 drug substances into the final drug product.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eCRM</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proprietary eCRM protein carrier is produced using our cell-free protein synthesis platform. eCRM, exclusively licensed from Sutro Biopharma, contains multiple copies of non-native para azido-methyl-phenylalanine, or pAMF, amino acid. The pAMF amino acids have a specific structure that enables eCRM to participate in the site-specific click chemistry conjugation reaction with activated pneumococcal polysaccharides.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The cell-free reaction is performed in a manner analogous to traditional fermentation but without the cells. The first step in the production of eCRM is the manufacture of critical raw materials, namely </w:t>
      </w:r>
      <w:r>
        <w:rPr>
          <w:rFonts w:ascii="Times New Roman" w:hAnsi="Times New Roman"/>
          <w:b w:val="false"/>
          <w:i/>
          <w:sz w:val="20"/>
        </w:rPr>
        <w:t>E. coli</w:t>
      </w:r>
      <w:r>
        <w:rPr>
          <w:rFonts w:ascii="Times New Roman" w:hAnsi="Times New Roman"/>
          <w:sz w:val="20"/>
        </w:rPr>
        <w:t xml:space="preserve"> </w:t>
      </w:r>
      <w:r>
        <w:rPr>
          <w:rFonts w:ascii="Times New Roman" w:hAnsi="Times New Roman"/>
          <w:b w:val="false"/>
          <w:sz w:val="20"/>
        </w:rPr>
        <w:t xml:space="preserve">extracts and lysates that contain the cellular machinery required for in vitro DNA transcription and translation. The eCRM protein is then manufactured by combining these </w:t>
      </w:r>
      <w:r>
        <w:rPr>
          <w:rFonts w:ascii="Times New Roman" w:hAnsi="Times New Roman"/>
          <w:b w:val="false"/>
          <w:i/>
          <w:sz w:val="20"/>
        </w:rPr>
        <w:t>E. coli</w:t>
      </w:r>
      <w:r>
        <w:rPr>
          <w:rFonts w:ascii="Times New Roman" w:hAnsi="Times New Roman"/>
          <w:sz w:val="20"/>
        </w:rPr>
        <w:t xml:space="preserve"> </w:t>
      </w:r>
      <w:r>
        <w:rPr>
          <w:rFonts w:ascii="Times New Roman" w:hAnsi="Times New Roman"/>
          <w:b w:val="false"/>
          <w:sz w:val="20"/>
        </w:rPr>
        <w:t>extracts and lysates with classic media components such as amino acids, minerals and salts, with the in vitro reaction driven by the addition of plasmid DNA coding for the eCRM protein’s amino acid sequence. This cell-free reaction takes place in a standard fermenter, followed by standard protein purification chromatographic and filtration processes. The manufacturing process has consistently yielded a product of the desired quality.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Pneumococcal Polysaccharides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Each of the 24 pneumococcal polysaccharides are individually isolated from</w:t>
      </w:r>
      <w:r>
        <w:rPr>
          <w:rFonts w:ascii="Times New Roman" w:hAnsi="Times New Roman"/>
          <w:sz w:val="20"/>
        </w:rPr>
        <w:t xml:space="preserve"> </w:t>
      </w:r>
      <w:r>
        <w:rPr>
          <w:rFonts w:ascii="Times New Roman" w:hAnsi="Times New Roman"/>
          <w:b w:val="false"/>
          <w:i/>
          <w:sz w:val="20"/>
        </w:rPr>
        <w:t>S. pneumoniae</w:t>
      </w:r>
      <w:r>
        <w:rPr>
          <w:rFonts w:ascii="Times New Roman" w:hAnsi="Times New Roman"/>
          <w:sz w:val="20"/>
        </w:rPr>
        <w:t xml:space="preserve"> </w:t>
      </w:r>
      <w:r>
        <w:rPr>
          <w:rFonts w:ascii="Times New Roman" w:hAnsi="Times New Roman"/>
          <w:b w:val="false"/>
          <w:sz w:val="20"/>
        </w:rPr>
        <w:t xml:space="preserve">bacterial strains. Each individual </w:t>
      </w:r>
      <w:r>
        <w:rPr>
          <w:rFonts w:ascii="Times New Roman" w:hAnsi="Times New Roman"/>
          <w:b w:val="false"/>
          <w:i/>
          <w:sz w:val="20"/>
        </w:rPr>
        <w:t>S. pneumoniae</w:t>
      </w:r>
      <w:r>
        <w:rPr>
          <w:rFonts w:ascii="Times New Roman" w:hAnsi="Times New Roman"/>
          <w:sz w:val="20"/>
        </w:rPr>
        <w:t xml:space="preserve"> </w:t>
      </w:r>
      <w:r>
        <w:rPr>
          <w:rFonts w:ascii="Times New Roman" w:hAnsi="Times New Roman"/>
          <w:b w:val="false"/>
          <w:sz w:val="20"/>
        </w:rPr>
        <w:t>strain is cultured in a bioreactor using a single standardized fed-batch bioreactor process and a single standardized downstream purification process. Overall, this standardized upstream and downstream process is simple and streamlined, thereby reducing manufacturing cost of goods and providing an efficient path of progression for the program from process characterization and validation through to commercialization, if our vaccine candidates are approved.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Conjugate Drug Substances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Each of the 24 conjugate drug substances is manufactured individually, as monovalent conjugates, by conjugating each of the 24 activated pneumococcal polysaccharide strains, one at a time, to the eCRM carrier protein.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Click chemistry provides for a conjugation reaction that is quick, consistent and high-yielding, and which we optimized to be largely standardized across the various polysaccharides. Through statistical design of experiment, or DoE, studies, we have gained a significant understanding of which variables to adjust to maximize product quality and, accordingly, immunogenicity in rabbit models.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VAX-24 PCV Drug Product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All 24 conjugate drug substances are mixed, formulated with appropriate excipients and adsorbed onto alum. Clinical doses are filled in vials and stored refrigerated.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Achievements to Date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support of our IND application submission, we completed all IND-enabling CMC deliverables. For the eCRM protein carrier, we transferred process technology to Lonza and completed the development and scale-up to clinical production scale. We completed both the engineering campaign and the GMP production campaign for</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26</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eCRM to provide material believed to be adequate to support our Phase 1/2 clinical study of VAX-24 in adults. For the polysaccharide antigens, we established research and GMP master cell banks for all 24 pneumococcal serotypes in VAX-24. We completed the development and GMP batches of all 24 polysaccharide antigens to enable production of GMP conjugates for VAX-24. For the 24 drug substances, we conducted extensive design-of-experiments, or DoE, studies to define and optimize conjugation process parameters based on, among other parameters, immunogenicity and stability, for all 24 serotypes and transferred this process technology to Lonza. Further, Lonza implemented the transferred processes, successfully producing all 24 conjugates at an over fifteen-fold scale-up to what was previously produced. These conjugates met the target critical quality attributes, were tested in preclinical studies and confirmed to show conjugate-like immunological responses comparable to Prevnar 13 and to the previous VAX-24 conjugates produced at smaller batches. We completed the manufacture, testing and release of the 24 GMP drug substance conjugates in VAX-24 at Lonza. For the VAX-24 drug product, we defined an optimized formulation, transferred and scaled the process, and completed manufacture, testing and release of the VAX-24 GMP drug product at three dose strengths to support the IND application submission and the Phase 1/2 clinical study in adults.</w:t>
      </w:r>
    </w:p>
    <w:p>
      <w:pPr>
        <w:pStyle w:val="TextBody"/>
        <w:spacing w:lineRule="auto" w:line="273" w:before="240" w:after="0"/>
        <w:jc w:val="left"/>
        <w:rPr>
          <w:rFonts w:ascii="Times New Roman" w:hAnsi="Times New Roman"/>
          <w:sz w:val="20"/>
        </w:rPr>
      </w:pPr>
      <w:r>
        <w:rPr>
          <w:rFonts w:ascii="Times New Roman" w:hAnsi="Times New Roman"/>
          <w:b/>
          <w:i/>
          <w:sz w:val="20"/>
        </w:rPr>
        <w:t>Lonza Agreements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October 2016, we entered into a development and manufacturing services agreement, as amended, with Lonza, or the Lonza DMSA, pursuant to which Lonza is obligated to perform manufacturing process development and the manufacture of components for VAX-24, including the polysaccharide antigens, our proprietary eCRM protein carrier and conjugated drug substances.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September 2017, we and Lonza agreed to defer the completion payments for any stage that commenced after December 31, 2019 or had not been completed by December 31, 2019 until the earlier of the completion of all IND-enabling activities or December 31, 2020. In March 2020, Lonza agreed to defer the completion payments until the earlier of the completion of all IND-enabling activities or April 30, 2021. In April 2021, Lonza further agreed to defer 50% of the completion payments until the earlier of the completion of all IND-enabling activities or December 31, 2021.</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June 2018, we entered into a letter agreement, or the Lonza Letter Agreement, with Lonza, pursuant to which we agreed to certain terms for potential future payments in shares of our common stock as partial satisfaction of future obligations to Lonza. This agreement states that the initial pre-IND cash payments would be subject to a specified dollar cap, or the “Initial Cash Cap.” After the Initial Cash Cap has been reached, we would have the option to make any further pre-IND payments owed to Lonza in cash, in shares of our common stock at then market prevailing prices, or a combination of both, at our election. The Initial Cash Cap had not been reached as of December 31, 2020. As such, no amount had been recorded with respect to the potential future payments above the Initial Cash Cap at December 31, 2020. In April 2021, we reached the Initial Cash Cap and notified Lonza that we would be exercising our option to issue approximately $10.0 million in shares of our common stock as payment for a portion of pre-IND payments due April 30, 2021. In June 2021, we issued 399,680 shares of our common stock to Lonza at a price of $25.02 per share to pay for $10.0 million of the pre-IND payments due April 30, 2021.</w:t>
      </w:r>
    </w:p>
    <w:p>
      <w:pPr>
        <w:pStyle w:val="TextBody"/>
        <w:spacing w:lineRule="auto" w:line="273" w:before="240" w:after="0"/>
        <w:jc w:val="left"/>
        <w:rPr>
          <w:rFonts w:ascii="Times New Roman" w:hAnsi="Times New Roman"/>
          <w:sz w:val="20"/>
        </w:rPr>
      </w:pPr>
      <w:r>
        <w:rPr>
          <w:rFonts w:ascii="Times New Roman" w:hAnsi="Times New Roman"/>
          <w:b w:val="false"/>
          <w:sz w:val="20"/>
        </w:rPr>
        <w:t>In October 2018, we entered into a second development and manufacturing services agreement with Lonza, or the Lonza 2018 DMSA, and together with the Lonza DMSA, the Lonza Agreements, pursuant to which Lonza is obligated to perform services including manufacturing process development and the manufacture and supply of VAX-24 finished drug product.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Under the Lonza Agreements, we will pay Lonza agreed-upon fees for its performance of manufacturing services and reimburse Lonza for its out-of-pocket costs associated with purchasing raw materials, plus a customary handling fee. Under each Lonza Agreement, we will own all right, title and interest in and to any and all Intellectual Property (as defined in each Lonza Agreement) that Lonza and/or its affiliates, the External Laboratories (as defined in each Lonza Agreement) or other contractors or agents of Lonza develops, conceives, invents, first reduces to practice or makes, solely or jointly with us or others, in the performance of the Services (as defined in each Lonza Agreement), to the extent such Intellectual Property (the New Customer Intellectual Property) is a direct derivative of or improvement to collectively the Product, Customer Materials, Customer Information and/or Customer Background Intellectual Property (all as defined in each Lonza Agreement). Lonza shall own all right, title and interest in Intellectual Property that Lonza and/or its Affiliates, the External Laboratories or other contractors or</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27</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agents of Lonza, solely or jointly with Customer, develops, conceives, invents or first reduces to practice or makes in the course of performance of the Services to the extent such Intellectual Property (New General Application Intellectual Property) (i) is reasonably capable of being used/applied to other projects and/or products in Lonza's or any third party process or (ii) is an improvement of, or direct derivative of, any Lonza Background Intellectual Property. Additionally, under each Lonza Agreement, Lonza grants us a non-exclusive, world-wide, fully paid-up, irrevocable, transferable license under all New General Application Intellectual Property, with the right to grant sublicenses, to research, develop, make, have made, use, sell and import VAX-24. We also grant Lonza a non-exclusive right to use New Customer Intellectual Property during the term of the agreement solely for the purposes of fulling its obligations to us.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the right, at our cost, to receive a technology transfer under each Lonza Agreement or have an approved third-party manufacturer receive a technology transfer of any manufacturing process developed by Lonza. For any technology transfer that includes transfer of Lonza’s Background Intellectual Property or Lonza Confidential Information (each as defined in the applicable Lonza agreement), we will be obligated to pay Lonza reasonable royalties and/or licensing fees.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Unless earlier terminated, each Lonza Agreement will remain in place for a period of five years. Either party has the right to terminate each Lonza Agreement upon a six-month notice period, provided that Lonza may not exercise such right until a specified future date. Either party has the right to terminate each Lonza Agreement if the other party commits a material breach under the applicable agreement and does not cure such breach within a given time period, for specified bankruptcy events or if a party receives a notice from the other party or otherwise becomes aware that a debarment, suspension, exclusion, sanction or declaration of ineligibility action has been brought against the other party, and we may terminate each Lonza Agreement for an extended force majeure event.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Competition</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Historically, the global vaccine market has been highly concentrated among a small number of multinational pharmaceutical companies. Pfizer Inc., Merck, GlaxoSmithKline plc and Sanofi S.A. together controlled approximately 75% of the global vaccine market. As a result of the COVID-19 pandemic, there have been a number of new entrants to the vaccines market, including multinational companies such as Johnson &amp; Johnson, and emerging biopharmaceutical companies. Other pharmaceutical and biotechnology companies, academic institutions, governmental agencies and public and private research institutions are also working towards new solutions given the continuing global unmet medical need.</w:t>
      </w:r>
    </w:p>
    <w:p>
      <w:pPr>
        <w:pStyle w:val="TextBody"/>
        <w:spacing w:lineRule="auto" w:line="273" w:before="240" w:after="0"/>
        <w:jc w:val="left"/>
        <w:rPr>
          <w:rFonts w:ascii="Times New Roman" w:hAnsi="Times New Roman"/>
          <w:sz w:val="20"/>
        </w:rPr>
      </w:pPr>
      <w:r>
        <w:rPr>
          <w:rFonts w:ascii="Times New Roman" w:hAnsi="Times New Roman"/>
          <w:b w:val="false"/>
          <w:sz w:val="20"/>
        </w:rPr>
        <w:t>Within the current pneumococcal vaccine market, Pfizer, Merck and GlaxoSmithKline have historically dominated, with Pfizer’s Prevnar 13, Merck’s Pneumovax 23 and GlaxoSmithKline’s Synflorix totaling a combined $6.7 billion in global pneumococcal vaccine sales in 2021 (approximately 79%, 14% and 7%, of such sales for these three products, respectively). While Prevnar 13 covers fewer pneumococcal strains than Pneumovax 23, it delivers a stronger and more durable immune response than Pneumovax 23. The current standard of care is Prevnar 13 in infants and, subsequent to the FDA approvals of Prevnar 20 and Vaxneuvance in adults in 2021, either Prevnar 20 alone or Vaxneuvance followed by Pneumovax 23 in adults. If approved, we believe VAX-24 may obtain an ACIP preferred recommendation and potentially replace both incumbents for pneumococcal disease prevention in both adult and pediatric populations because of its broader coverage.</w:t>
      </w:r>
      <w:r>
        <w:rPr>
          <w:rFonts w:ascii="Times New Roman" w:hAnsi="Times New Roman"/>
          <w:sz w:val="20"/>
        </w:rPr>
        <w:t xml:space="preserve"> </w:t>
      </w:r>
    </w:p>
    <w:p>
      <w:pPr>
        <w:pStyle w:val="TextBody"/>
        <w:spacing w:lineRule="auto" w:line="266" w:before="240" w:after="0"/>
        <w:jc w:val="left"/>
        <w:rPr>
          <w:rFonts w:ascii="Times New Roman" w:hAnsi="Times New Roman"/>
          <w:sz w:val="20"/>
        </w:rPr>
      </w:pPr>
      <w:r>
        <w:rPr>
          <w:rFonts w:ascii="Times New Roman" w:hAnsi="Times New Roman"/>
          <w:b w:val="false"/>
          <w:sz w:val="20"/>
        </w:rPr>
        <w:t>Existing vaccine makers, as well as new entrants, are competing to develop the next generation of pneumococcal vaccines. Pfizer's Prevnar 20 was approved by the FDA in June 2021 for use in adults and Merck's Vaxneuvance was approved in July 2021 for use in adults. Sanofi and SK Chemicals have partnered to develop a 21-valent PCV. Separately, Affinivax and Astellas have partnered to develop an affinity-bound pneumococcal vaccine that includes 24 pneumococcal serotypes. We believe success will ultimately be based on the combination of immunogenicity, the broadest coverage of serotypes, safety and tolerability. Convenience and pricing may also be factors. Both Pfizer and Merck are in Phase 3 development in infants, and Affinivax has completed a Phase 2 study in adults. These vaccines may obtain FDA approval and commercially launch before VAX-24. However, if approved, we believe VAX-24 should compare favorably to these PCV candidates as a 24-valent alternative, based on our unique site-specific conjugation and carrier-sparing technology. We also believe VAX-XP has the potential to compete favorably in the PCV market based on its further expanded spectrum.</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28</w:t>
      </w:r>
    </w:p>
    <w:p>
      <w:pPr>
        <w:pStyle w:val="HorizontalLine"/>
        <w:rPr/>
      </w:pPr>
      <w:r>
        <w:rPr/>
      </w:r>
    </w:p>
    <w:p>
      <w:pPr>
        <w:pStyle w:val="TextBody"/>
        <w:spacing w:lineRule="auto" w:line="273" w:before="0" w:after="0"/>
        <w:jc w:val="left"/>
        <w:rPr/>
      </w:pPr>
      <w:r>
        <w:rPr/>
        <w:t> </w:t>
      </w:r>
    </w:p>
    <w:p>
      <w:pPr>
        <w:pStyle w:val="TextBody"/>
        <w:spacing w:lineRule="auto" w:line="266" w:before="240" w:after="0"/>
        <w:jc w:val="left"/>
        <w:rPr>
          <w:rFonts w:ascii="Times New Roman" w:hAnsi="Times New Roman"/>
          <w:sz w:val="20"/>
        </w:rPr>
      </w:pPr>
      <w:r>
        <w:rPr>
          <w:rFonts w:ascii="Times New Roman" w:hAnsi="Times New Roman"/>
          <w:b w:val="false"/>
          <w:sz w:val="20"/>
        </w:rPr>
        <w:t>The competitive landscape for vaccine development for Group A Strep was dormant for more than three decades. However, the FDA lifted a 30-year ban on Group A Strep vaccine clinical trials in 2005, and research has slowly started to resurface in academic institutions. However, we are not aware of other Group A Strep vaccines in clinical development that would cover all strains of the bacteria. Additionally, we are not aware of any other vaccines under clinical development to treat periodontitis. We believe the success of our vaccine candidates in these areas will be based on potential efficacy, safety, tolerability, convenience and pricing. We are aware of some companies developing treatments for other diseases that target the same underlying pathogens that cause Group A Strep and periodontitis. For example, Cortexyme is developing an Alzheimer’s treatment that targets P. gingivalis.</w:t>
      </w:r>
      <w:r>
        <w:rPr>
          <w:rFonts w:ascii="Times New Roman" w:hAnsi="Times New Roman"/>
          <w:sz w:val="20"/>
        </w:rPr>
        <w:t xml:space="preserve"> </w:t>
      </w:r>
    </w:p>
    <w:p>
      <w:pPr>
        <w:pStyle w:val="TextBody"/>
        <w:spacing w:lineRule="auto" w:line="266" w:before="240" w:after="0"/>
        <w:jc w:val="left"/>
        <w:rPr>
          <w:rFonts w:ascii="Times New Roman" w:hAnsi="Times New Roman"/>
          <w:sz w:val="20"/>
        </w:rPr>
      </w:pPr>
      <w:r>
        <w:rPr>
          <w:rFonts w:ascii="Times New Roman" w:hAnsi="Times New Roman"/>
          <w:b w:val="false"/>
          <w:sz w:val="20"/>
        </w:rPr>
        <w:t>Our commercial opportunity could be reduced or eliminated if our competitors develop and commercialize vaccines that are safer, more effective, more convenient, less expensive or with a more favorable label than VAX-24, VAX-XP or any other vaccine we may develop. Many of the companies against which we compete have significantly greater financial resources, and expertise in research and development, manufacturing, preclinical testing, conducting clinical trials, obtaining regulatory approvals and marketing approved drugs than we do.</w:t>
      </w:r>
      <w:r>
        <w:rPr>
          <w:rFonts w:ascii="Times New Roman" w:hAnsi="Times New Roman"/>
          <w:sz w:val="20"/>
        </w:rPr>
        <w:t xml:space="preserve"> </w:t>
      </w:r>
    </w:p>
    <w:p>
      <w:pPr>
        <w:pStyle w:val="TextBody"/>
        <w:spacing w:lineRule="auto" w:line="266" w:before="240" w:after="0"/>
        <w:jc w:val="left"/>
        <w:rPr>
          <w:rFonts w:ascii="Times New Roman" w:hAnsi="Times New Roman"/>
          <w:sz w:val="20"/>
        </w:rPr>
      </w:pPr>
      <w:r>
        <w:rPr>
          <w:rFonts w:ascii="Times New Roman" w:hAnsi="Times New Roman"/>
          <w:b/>
          <w:sz w:val="20"/>
        </w:rPr>
        <w:t>Intellectual Property</w:t>
      </w:r>
      <w:r>
        <w:rPr>
          <w:rFonts w:ascii="Times New Roman" w:hAnsi="Times New Roman"/>
          <w:sz w:val="20"/>
        </w:rPr>
        <w:t xml:space="preserve"> </w:t>
      </w:r>
    </w:p>
    <w:p>
      <w:pPr>
        <w:pStyle w:val="TextBody"/>
        <w:spacing w:lineRule="auto" w:line="266" w:before="240" w:after="0"/>
        <w:jc w:val="left"/>
        <w:rPr>
          <w:rFonts w:ascii="Times New Roman" w:hAnsi="Times New Roman"/>
          <w:sz w:val="20"/>
        </w:rPr>
      </w:pPr>
      <w:r>
        <w:rPr>
          <w:rFonts w:ascii="Times New Roman" w:hAnsi="Times New Roman"/>
          <w:b w:val="false"/>
          <w:sz w:val="20"/>
        </w:rPr>
        <w:t>We have developed, and are continuing to develop, a comprehensive intellectual property portfolio related to vaccine applications, including manufacturing, formulation and process applications as well as protection for our specific vaccine candidates.</w:t>
      </w:r>
      <w:r>
        <w:rPr>
          <w:rFonts w:ascii="Times New Roman" w:hAnsi="Times New Roman"/>
          <w:sz w:val="20"/>
        </w:rPr>
        <w:t xml:space="preserve"> </w:t>
      </w:r>
    </w:p>
    <w:p>
      <w:pPr>
        <w:pStyle w:val="TextBody"/>
        <w:spacing w:lineRule="auto" w:line="266" w:before="240" w:after="0"/>
        <w:jc w:val="left"/>
        <w:rPr>
          <w:rFonts w:ascii="Times New Roman" w:hAnsi="Times New Roman"/>
          <w:sz w:val="20"/>
        </w:rPr>
      </w:pPr>
      <w:r>
        <w:rPr>
          <w:rFonts w:ascii="Times New Roman" w:hAnsi="Times New Roman"/>
          <w:b w:val="false"/>
          <w:sz w:val="20"/>
        </w:rPr>
        <w:t>Our success depends in part on our ability to obtain and maintain proprietary protection for our vaccine candidates, technology and know-how, to operate without infringing the proprietary rights of others and to prevent others from infringing our proprietary rights. Our policy is to seek to protect our proprietary position by, among other methods, pursuing and obtaining patent protection in the United States and in jurisdictions outside of the United States related to our proprietary technology, inventions, improvements and vaccine candidates that are important to the development and implementation of our business. Our patent portfolio is intended to cover our vaccine candidates and components thereof, their methods of use and processes for their manufacture, our proprietary reagents and assays and any other inventions that are commercially important to our business. We also rely on trademarks, trade secrets and know-how to develop and maintain our proprietary position.</w:t>
      </w:r>
      <w:r>
        <w:rPr>
          <w:rFonts w:ascii="Times New Roman" w:hAnsi="Times New Roman"/>
          <w:sz w:val="20"/>
        </w:rPr>
        <w:t xml:space="preserve"> </w:t>
      </w:r>
    </w:p>
    <w:p>
      <w:pPr>
        <w:pStyle w:val="TextBody"/>
        <w:spacing w:lineRule="auto" w:line="266" w:before="240" w:after="0"/>
        <w:jc w:val="left"/>
        <w:rPr>
          <w:rFonts w:ascii="Times New Roman" w:hAnsi="Times New Roman"/>
          <w:sz w:val="20"/>
        </w:rPr>
      </w:pPr>
      <w:r>
        <w:rPr>
          <w:rFonts w:ascii="Times New Roman" w:hAnsi="Times New Roman"/>
          <w:b w:val="false"/>
          <w:sz w:val="20"/>
        </w:rPr>
        <w:t>Generally, issued patents are granted a term of 20 years from the earliest claimed non-provisional filing date. In certain instances, patent term can be adjusted to recapture a portion of delay by the U.S. Patent and Trademark Office, or USPTO, in examining the patent application or extended to account for term effectively lost as a result of the FDA regulatory review period, or both. In addition, we cannot provide any assurance that any patents will be issued from our pending or future applications or that any issued patents will adequately protect our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patent portfolio as of December 31, 2021 contains approximately one issued U.S. patent, four pending U.S. patent applications and three pending patent cooperation treaty applications that are solely owned by us, as well as certain foreign counterparts of a subset of these patent applications in foreign countries, including Australia, Brazil, Canada, China, India, Israel, Japan, South Korea, Taiwan, Mexico, New Zealand, the Philippines, Singapore, South Africa and countries within the European Patent Convention and the Eurasian Patent Organization. For our pneumococcal vaccines, these applications are directed to vaccine formulations, protein-antigen conjugates, methods of making protein-antigen conjugates and the promotion of immunogenicity using the protein-antigen conjugates and vaccines. For our Group A Strep vaccine, these patent applications are directed to vaccine formulations, protein-antigen conjugates, vaccines and components thereof, as well as processes for their manufacture. For our periodontitis vaccine, the patent and applications relate to vaccine formulations, protein antigens, and methods of using the vaccine. If issued, the 20-year term expiration dates of our patents will expire between 2037 and 2041, not including any extension of the patent term that may be available in certain jurisdictions. We continue to seek to maximize the scope of our patent protection for all our programs.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to patents, we also rely upon trademarks, trade secrets, know-how and continuing technological innovation to develop and maintain our competitive position. We maintain and are seeking both registered and common law trademarks. Common law trademark protection typically continues where and for as long as the mark is used. Registered trademarks continue in each country for as long as the trademark is registered.</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We believe that we have certain know-how and trade secrets relating to our technology and vaccine candidates. We rely on trade secrets to protect certain aspects of our technology related to our current and future vaccine candidates. However, trade secrets can be difficult to protect. We seek to protect our proprietary information, including trade secrets, in part, by using confidentiality agreements with our commercial partners, collaborators, employees and consultants, and invention assignment agreements with our employees. We also have confidentiality agreements or invention assignment agreements with our commercial partners and selected consultants. These agreements may be breached, and we may not have adequate remedies for any breach. In addition, our trade secrets may otherwise become known or be independently discovered by competitors. We also seek to preserve the integrity and confidentiality of our data and trade secrets by maintaining the physical security of our premises and physical and electronic security of our information technology systems. To the extent that our commercial partners, collaborators, employees and consultants use intellectual property owned by others in their work for us, disputes may arise as to the rights in related or resulting know-how and inventions.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Obtaining patents does not guarantee our right to practice the patented technology or commercialize the patented product. Third parties may have or obtain rights to patents that could be used to prevent or attempt to prevent us from commercializing our vaccine candidates. If third parties prepare and file patent applications in the United States or other jurisdictions that also claim technology to which we have rights, we may have to participate in interference or derivation proceedings in the USPTO or similar proceedings in other jurisdictions to determine the priority of invention.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Sutro Biopharma Agreements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Sutro Biopharma is a clinical stage, publicly traded drug discovery, development and manufacturing company using precise protein engineering and rational design (enabled by Sutro Biopharma’s proprietary XpressCF platform technology) to advance next-generation oncology therapeutics. Following our corporate formation, Vaxcyte acquired an exclusive license to Sutro Biopharma’s proprietary cell-free protein synthesis platform, XpressCF, for the discovery, development and sale of vaccines for the treatment or prevention of infectious diseases, excluding cancer vaccines. Under a related supply agreement with Sutro Biopharma, we have an exclusive relationship in our field to buy extract and certain custom reagents for use in manufacturing the vaccine compositions covered by the exclusive license, which we use to produce our protein carriers and certain of our antigens. Sutro Biopharma will receive a 4% royalty on aggregate worldwide net sales of our vaccine products marketed for human health and a 2% royalty on such net sales of vaccines marketed for animal health.</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Amended and Restated License Agreement with Sutro Biopharma</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are party to a license agreement with Sutro Biopharma, or the Sutro Biopharma License Agreement, which was originally entered into in October 2015.</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Under that agreement, we received an exclusive, worldwide, royalty-bearing license under Sutro Biopharma’s patents and know-how relating to XpressCF to research, develop, use, sell, offer for sale, export, import and otherwise exploit vaccine compositions for the treatment and prophylaxis of infectious diseases, excluding cancer vaccines, such rights being sublicenseable, and to manufacture, or have manufactured by an approved contract manufacturing organization, such vaccine compositions from extracts supplied by Sutro Biopharma pursuant to the Sutro Biopharma Supply Agreement (as described below).</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consideration of the rights granted under the Sutro Biopharma License Agreement, we are obligated to pay Sutro Biopharma a 4% royalty on worldwide aggregate annual net sales of our vaccine products for human health and a 2% royalty on such net sales of vaccine products for animal health use. Such royalty rates are subject to specified reductions, including standard reductions for third-party payments and for expiration of relevant patent claims. We are also obligated to pay Sutro Biopharma any royalties due to Stanford University (the upstream licensor of Sutro Biopharma), to the extent the royalties payable by Sutro Biopharma to Stanford University are greater than the royalties payable by us to Sutro Biopharma. Royalties are payable on a vaccine composition-by-vaccine composition and country-by-country basis until the later of expiration of the last valid claim in the licensed patents covering such vaccine composition in such country and ten years after the first commercial sale of such vaccine composition. The latest expiration date of a licensed Sutro Biopharma patent application, if issued, would be 2036, subject to any adjustment or extension of patent term that may be available in a particular country. In addition,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we are obligated to pay Sutro Biopharma a percentage of net sublicensing revenue received in the low teen percentages. In addition, in the event we sublicense our non-manufacturing rights under the Sutro Biopharma License Agreement before a specified date, we are obligated to pay Sutro Biopharma a percentage, in the low double-digits, of the sublicensing revenue we receive under such agreement.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Sutro Biopharma License Agreement will remain in effect until terminated. The agreement may be terminated by either party for the other party’s material breach uncured within 60 days’ notice, by us at will with 60 days’ notice, or by Sutro Biopharma if we challenge Sutro Biopharma’s patents or if we undergo a change of control with a specified competitor of Sutro Biopharma.</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connection with our formation and the entry into the Sutro License, we issued to Sutro Biopharma 1,778,304 shares of common stock, valued at a price per share of $0.002 per share.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Supply Agreement with Sutro Biopharma</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are party to a supply agreement with Sutro Biopharma, or the Sutro Biopharma Supply Agreement, which is dated May 2018 and pursuant to which we purchase from Sutro Biopharma extract and custom reagents for use in manufacturing the non-clinical and Phase 1 and Phase 2 clinical supply of vaccine compositions utilizing the technology licensed under the Sutro License at prices not to exceed a specified percentage above Sutro Biopharma’s fully burdened manufacturing cost.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Sutro Biopharma Supply Agreement will remain in effect until the later of July 31, 2021, or the date the parties enter into and commence activities under a separate agreement for the supply of extract and custom reagents for use in manufacturing vaccine compositions for Phase 3 and commercial purposes. In February 2021, we entered into an amendment to the Sutro Biopharma Supply Agreement to extend the term to July 31, 2022. The Sutro Biopharma Supply Agreement may be terminated by either party for the other party’s material breach uncured within 60 days’ notice, by us at will with 60 days’ notice, or by mutual agreement of the parties. In December 2019, we exercised our right to require Sutro Biopharma to establish a second supplier for extract and custom reagents to support our anticipated clinical and commercial needs.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University of California, San Diego License Agreement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are party to a license agreement with the University of California, San Diego, or the UCSD License, dated February 2019 whereby we are the exclusive licensee of an issued U.S. patent and pending U.S. patent application related to a non-cross-reactive Group A Strep carbohydrate antigen and methods of producing the antigen. We licensed this technology for the development of our Group A Strep vaccine candidate.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Upon execution of the UCSD License, we made an upfront payment of $10,000, and each year during the term we are obligated to pay an annual license maintenance fee in the single digit thousands. We are also obligated to pay UCSD up to approximately $1 million in development and regulatory milestone payments for each licensed product under the agreement. Additionally, we are obligated to pay UCSD a fixed royalty on net sales of licensed products in the low single digits. Such royalty rate is subject standard reductions for third-party payments. Royalties are payable until expiration of the last licensed patent. Additionally, in the event we sublicense commercial rights under the UCSD License, we are obligated to pay UCSD a percentage of all sublicensing revenue received, excluding any earned royalties or reimbursements of research and development expenses, of 20% up to a maximum of $2.5 million.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are obligated to use commercially reasonable efforts to diligently develop, manufacture and sell licensed products and to achieve specified research and clinical development milestone events. If we are unable to meet our diligence obligations and do not agree with UCSD to modify such obligations or do not cure such obligations, then UCSD may terminate the license or convert the license to non-exclusive.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UCSD License will remain in effect until the expiration of the last licensed patent. The UCSD patent and patent application, if issued, would expire in 2032, subject to any adjustment or extension of patent term</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31</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that may be available in the United States. The UCSD License may be terminated by us at will with 90 days’ notice or by UCSD for our breach uncured within 90 days’ notice or if we challenge the licensed patents.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Other Partners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to those listed above, we seek to partner with various academic, governmental and public or private research institutions as needed to advance the discovery or development of our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Coverage and Reimbursement</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Sales of our products in the United States will depend, in part, on the extent to which the costs of the products are covered by third-party payors, such as government health programs, commercial insurance and managed health care organizations. The process for determining whether a third-party payor will provide coverage for a pharmaceutical or biological product is typically separate from the process for setting the price of such a product or for establishing the reimbursement rate that the payor will pay for the product once coverage is approved. As a result, a third-party payor’s decision to provide coverage for a pharmaceutical or biological product does not imply that the reimbursement rate will be adequate. Certain ACA marketplace and other private payor plans are required to include coverage for certain preventative services, including vaccinations recommended by the ACIP without cost share obligations (i.e., co-payments, deductibles or co-insurance) for plan members. Children through 18 years of age without other health insurance coverage may be eligible to receive such vaccinations free-of-charge through the CDC’s Vaccines for Children program. For Medicare beneficiaries, vaccines may be covered under either the Part B program or Part D depending on several criteria, including the type of vaccine and the beneficiary’s coverage eligibility. If our vaccine candidates, once approved, are covered only under the Part D program, physicians may be less willing to use our products because of the claims adjudication costs and time related to the claims adjudication process and collection of co-payments associated with the Part D program.</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such, one third-party payor’s decision to cover a particular medical product or service does not ensure that other payors will also provide coverage for the medical product or service or will provide coverage at an adequate reimbursement rate. Further, coverage policies and third party reimbursement rates may change at any time. Even if favorable coverage and reimbursement status is attained for one or more products that receives regulatory approval, less favorable coverage policies and reimbursement rates may be implemented in the future.</w:t>
      </w:r>
    </w:p>
    <w:p>
      <w:pPr>
        <w:pStyle w:val="TextBody"/>
        <w:spacing w:lineRule="auto" w:line="273" w:before="240" w:after="0"/>
        <w:jc w:val="left"/>
        <w:rPr>
          <w:rFonts w:ascii="Times New Roman" w:hAnsi="Times New Roman"/>
          <w:sz w:val="20"/>
        </w:rPr>
      </w:pPr>
      <w:r>
        <w:rPr>
          <w:rFonts w:ascii="Times New Roman" w:hAnsi="Times New Roman"/>
          <w:b/>
          <w:sz w:val="20"/>
        </w:rPr>
        <w:t>Government Regulation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Government authorities in the United States, at the federal, state and local level, and other countries extensively regulate, among other things, the research, development, testing, safety, effectiveness, manufacture, quality control, approval, post-approval monitoring and reporting, labeling, packaging, storage, record-keeping, promotion, advertising, distribution, marketing and export and import of products such as those we are developing. A new biological product must be licensed by the FDA through the approval of a BLA, before it may be legally marketed in the United States.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the United States, pharmaceutical products are regulated by the FDA under the Federal Food, Drug and Cosmetic Act and other laws, including, in the case of biologics, the Public Health Service Act, or PHS Act. We expect our products to be regulated by the FDA as biologics and to be reviewed by the FDA’s Center for Biologics Evaluation and Research.</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anticipate our vaccine candidates will require the submission of a BLA and approval by the FDA before being marketed in the United States. Failure to comply with FDA requirements, both before and after product approval, may subject us or our partners, contract manufacturers and suppliers to administrative or judicial sanctions, including FDA refusal to approve applications, warning letters, product recalls, product seizures, total or partial suspension of production or distribution, fines and/or criminal prosecution.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32</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The steps required before a biologic may be approved for marketing of an indication in the United States generally include:</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completion of preclinical laboratory tests, animal studies, formulation studies conducted in accordance with good laboratory practices and other applicable regulations;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submission to the FDA of an IND application, which must be active before human clinical trial commencement;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approval by an institutional review board, or IRB, or ethics committee at each clinical site before a clinical trial is commenced;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completion of adequate and well-controlled human clinical trials in accordance with good clinical practice, or GCP, requirements to establish that the biological product is “safe, pure and potent,” which is analogous to the safety and efficacy approval standard for a chemical drug product for its intended use;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preparation and submission to the FDA of a BLA for marketing approval that includes substantive evidence of safety, purity and potency from results of nonclinical testing and clinical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 determination by the FDA within 60 days of its receipt of a BLA to file the application for review;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satisfactory completion of an FDA pre-approval inspection of the manufacturing facility or facilities at which the product is produced to assess compliance with applicable current good manufacturing practices, or cGMPs, to assure that the facilities, methods and controls are adequate to preserve the products identify, strength, quality and purity;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potential FDA audit of the nonclinical and clinical trial sites that generated the data in support of the BLA;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FDA review of the BLA and issuance of a biologics license, which is the approval necessary to market a vaccine. </w:t>
      </w:r>
    </w:p>
    <w:p>
      <w:pPr>
        <w:pStyle w:val="TextBody"/>
        <w:spacing w:lineRule="auto" w:line="273" w:before="240" w:after="0"/>
        <w:jc w:val="left"/>
        <w:rPr>
          <w:rFonts w:ascii="Times New Roman" w:hAnsi="Times New Roman"/>
          <w:sz w:val="20"/>
        </w:rPr>
      </w:pPr>
      <w:r>
        <w:rPr>
          <w:rFonts w:ascii="Times New Roman" w:hAnsi="Times New Roman"/>
          <w:b w:val="false"/>
          <w:sz w:val="20"/>
        </w:rPr>
        <w:t>Before conducting studies in humans, laboratory evaluation of product chemistry, toxicity and formulation, as well as animal studies to assess the potential safety and efficacy of the biologic candidate, must be conducted. Preclinical toxicology studies in animals must be conducted in compliance with FDA regulations.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results of the preclinical tests, together with manufacturing information, known as CMC, and analytical data, are submitted to the FDA as part of an IND application. Some preclinical testing may continue even after the IND application is submitted. In addition to including the results of the preclinical testing, the IND application will also include a protocol detailing, among other things, the objectives of the clinical trial, the parameters to be used in monitoring safety and the effectiveness criteria to be evaluated if the first phase or phases of the clinical trial lend themselves to an efficacy determination. The IND application will automatically become effective 30 days after receipt by the FDA unless the FDA within the 30-day time period places the IND application on clinical hold because of safety concerns about the vaccine candidate or the conduct of the trial described in the clinical protocol included in the IND application. The IND application sponsor and the FDA must resolve any outstanding concerns before clinical trials can begin. Submission of an IND application therefore may or may not result in FDA authorization to begin a clinical trial.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All clinical trials for new drugs and biologics must be conducted under the supervision of one or more qualified principal investigators in accordance with GCPs, which include the requirement that all research subjects provide their informed consent for their participation in any clinical trial. They must be conducted under protocols detailing, among other things, the objectives of the applicable phase of the trial, dosing procedures, research subject selection, exclusion criteria and the safety and effectiveness criteria to be evaluated. Each protocol must be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33</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submitted to the FDA as part of the IND application, and progress reports detailing the status of the clinical trials must be submitted to the FDA annually. Sponsors must also report to the FDA within specified timeframes, serious and unexpected adverse reactions, any clinically significant increase in the rate of a serious suspected adverse reaction over that listed in the protocol or investigator’s brochure or any findings from other studies or animal or in vitro testing that suggest a significant risk in humans exposed to the vaccine candidate. An IRB at each institution participating in the clinical trial must review and approve the protocol before a clinical trial commences at that institution, approve the information regarding the trial and the consent form that must be provided to each research subject or the subject’s legal representative and monitor the trial until completed.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Clinical trials are typically conducted in three sequential phases, but the phases may overlap, and different trials may be initiated with the same vaccine candidate within the same phase of development in similar or differing patient populations.</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pPr>
      <w:r>
        <w:rPr>
          <w:rFonts w:ascii="Times New Roman" w:hAnsi="Times New Roman"/>
          <w:b w:val="false"/>
          <w:i/>
          <w:sz w:val="20"/>
        </w:rPr>
        <w:t xml:space="preserve">Phase 1: </w:t>
      </w:r>
      <w:r>
        <w:rPr>
          <w:rFonts w:ascii="Times New Roman" w:hAnsi="Times New Roman"/>
          <w:b w:val="false"/>
          <w:sz w:val="20"/>
        </w:rPr>
        <w:t xml:space="preserve">Clinical trials may be conducted in a limited number of patients or healthy volunteers, as appropriate. The vaccine candidate is initially tested for safety and immunogenicity. </w:t>
      </w:r>
    </w:p>
    <w:p>
      <w:pPr>
        <w:pStyle w:val="TextBody"/>
        <w:spacing w:lineRule="auto" w:line="273" w:before="240" w:after="0"/>
        <w:jc w:val="left"/>
        <w:rPr/>
      </w:pPr>
      <w:r>
        <w:rPr/>
        <w:t>•</w:t>
      </w:r>
    </w:p>
    <w:p>
      <w:pPr>
        <w:pStyle w:val="TextBody"/>
        <w:spacing w:lineRule="auto" w:line="273" w:before="240" w:after="0"/>
        <w:jc w:val="left"/>
        <w:rPr/>
      </w:pPr>
      <w:r>
        <w:rPr>
          <w:rFonts w:ascii="Times New Roman" w:hAnsi="Times New Roman"/>
          <w:b w:val="false"/>
          <w:i/>
          <w:sz w:val="20"/>
        </w:rPr>
        <w:t>Phase 2</w:t>
      </w:r>
      <w:r>
        <w:rPr>
          <w:rFonts w:ascii="Times New Roman" w:hAnsi="Times New Roman"/>
          <w:b w:val="false"/>
          <w:sz w:val="20"/>
        </w:rPr>
        <w:t xml:space="preserve">: The vaccine candidate is evaluated in a limited patient population to identify possible adverse effects and safety risks, to preliminarily evaluate the efficacy of the product for specific targeted diseases and to determine dosage tolerance, optimal dosage and dosing schedule. </w:t>
      </w:r>
    </w:p>
    <w:p>
      <w:pPr>
        <w:pStyle w:val="TextBody"/>
        <w:spacing w:lineRule="auto" w:line="273" w:before="240" w:after="0"/>
        <w:jc w:val="left"/>
        <w:rPr/>
      </w:pPr>
      <w:r>
        <w:rPr/>
        <w:t>•</w:t>
      </w:r>
    </w:p>
    <w:p>
      <w:pPr>
        <w:pStyle w:val="TextBody"/>
        <w:spacing w:lineRule="auto" w:line="273" w:before="240" w:after="283"/>
        <w:jc w:val="left"/>
        <w:rPr/>
      </w:pPr>
      <w:r>
        <w:rPr>
          <w:rFonts w:ascii="Times New Roman" w:hAnsi="Times New Roman"/>
          <w:b w:val="false"/>
          <w:i/>
          <w:sz w:val="20"/>
        </w:rPr>
        <w:t>Phase 3</w:t>
      </w:r>
      <w:r>
        <w:rPr>
          <w:rFonts w:ascii="Times New Roman" w:hAnsi="Times New Roman"/>
          <w:b w:val="false"/>
          <w:sz w:val="20"/>
        </w:rPr>
        <w:t xml:space="preserve">: Clinical trials are undertaken to further evaluate dosage, clinical efficacy, potency and safety in an expanded patient population at geographically dispersed clinical trial sites. These clinical trials are intended to establish the overall risk/benefit ratio of the product and provide an adequate basis for product labeling. </w:t>
      </w:r>
    </w:p>
    <w:p>
      <w:pPr>
        <w:pStyle w:val="TextBody"/>
        <w:spacing w:lineRule="auto" w:line="273" w:before="240" w:after="0"/>
        <w:jc w:val="left"/>
        <w:rPr>
          <w:rFonts w:ascii="Times New Roman" w:hAnsi="Times New Roman"/>
          <w:sz w:val="20"/>
        </w:rPr>
      </w:pPr>
      <w:r>
        <w:rPr>
          <w:rFonts w:ascii="Times New Roman" w:hAnsi="Times New Roman"/>
          <w:b w:val="false"/>
          <w:sz w:val="20"/>
        </w:rPr>
        <w:t>In some cases, the FDA may require, or companies may voluntarily pursue, additional clinical trials after a product is approved to gain more information about the product. These so-called Phase 4 studies may also be made a condition to approval of the BLA. These clinical trials are used to gain additional experience from the treatment of patients in the intended therapeutic indication, particularly for long-term safety follow-up.</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application safety reports must be promptly submitted to the FDA and the investigators for serious and unexpected adverse events, any findings from other studies, tests in laboratory animals or in vitro testing that suggest a significant risk for human subjects or any clinically relevant increase in the rate of a serious suspected adverse reaction over that listed in the protocol or investigator brochure. The sponsor must submit an IND application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Assuming successful completion of all required testing in accordance with applicable regulatory requirements, the results of the preclinical studies and clinical trials, together with other detailed information, including information on the manufacture and composition of the vaccine candidate, are submitted to the FDA as part of a BLA requesting approval to market the vaccine candidate for a proposed indication or indications. The BLA must include all relevant data available from preclinical and clinical trials, including negative or ambiguous results as well as positive findings, together with detailed information relating to the product’s CMC and proposed labeling, among other things. Under the Prescription Drug User Fee Act, the fees payable to the FDA for reviewing a BLA, as well as annual program user fees for approved products, can be substantial but are subject to certain limited deferrals, waivers and reductions that may be available. Additionally, no user fees are assessed on BLAs for</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34</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products designated as orphan drugs, unless the product also includes a non-orphan indication. Each BLA submitted to the FDA for approval is reviewed for administrative completeness and reviewability within 60 days following receipt by the FDA of the application. If the BLA is found complete, the FDA will file the BLA, triggering a full review of the application. The FDA may refuse to file any BLA that it deems incomplete or not properly reviewable at the time of submission. The FDA’s established goal is to review 90% of priority BLAs within six months after the application is accepted for filing and 90% of standard BLAs within 10 months of the acceptance date, whereupon a review decision is to be made. Priority review will direct overall attention and resources to the evaluation of applications for products that, if approved, would be significant improvements in the safety or effectiveness of the treatment, diagnosis or prevention of serious conditions.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also convene an advisory committee to provide clinical insight on application review questions. The FDA is not bound by recommendations of an advisory committee, but it considers such recommendations when making decisions regarding approval.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Before approving a BLA,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the safety or efficacy of a product.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a product is approved, the approval may impose limitations on the uses for which the product may be marketed, may require that warning statements be included in the product labeling, may require that additional studies be conducted following approval as a condition of the approval and may impose restrictions and conditions on product distribution, prescribing or dispensing in the form of a Risk Evaluation and Mitigation Strategy, or REMS, or otherwise limit the scope of any approval.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In most cases, the FDA must approve a BLA supplement or a new BLA before a product may be marketed for other uses or before specific manufacturing or other changes may be made to the approved product. As a condition of approval, the FDA may also require one or more Phase 4 post-market studies and surveillance to further assess and monitor the product’s safety and effectiveness after commercialization, and may limit further marketing of the product based on the results of these post-marketing studies. Also, product approvals may be withdrawn if compliance with regulatory standards is not maintained or if safety or manufacturing problems occur following initial marketing. In addition, new government requirements may be established that could delay or prevent regulatory approval of our vaccine candidates under development.</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Both before and after the FDA approves a product, the manufacturer and the holder or holders of the BLA for the product are subject to comprehensive regulatory oversight. For example, quality control and manufacturing procedures must conform, on an ongoing basis, to cGMP requirements, and the FDA periodically inspects manufacturing facilities to assess compliance with cGMPs. Accordingly, manufacturers must continue to spend time, money and effort to maintain cGMP compliance.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Post-Approval Requirements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Any drug products manufactured or distributed by us or our partners pursuant to FDA approvals will be subject to pervasive and continuing regulation by the FDA, including, among other things, record-keeping requirements, reporting of adverse experiences with the drug, providing the FDA with updated safety and efficacy information, distribution requirements, complying with individual electronic records and signature requirements and complying with FDA promotion and advertising requirements. Once approval is granted, the FDA may withdraw the approval if compliance with regulatory standards is not maintained or if problems occur after the product reaches the market. After approval, most changes to the approved product, such as adding new indications, specific manufacturing changes and additional labeling claims, are subject to further FDA review and approval. Biologic manufacturers, their subcontractors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regulations and other laws and regulations.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Discovery of previously unknown problems, including adverse events of unanticipated severity or frequency,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or suspension of an approval or license, clinical holds, warning or untitled letters, product recalls, product seizures, safety alerts, Dear Healthcare Provider letters, total or partial suspension of production or distribution, injunctions, fines, refusals of government contracts, mandated corrective advertising or communications with doctors, debarment, restitution, disgorgement of profits, consent decrees or civil or criminal penalties.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FDA strictly regulates labeling, advertising, promotion and other types of information on products that are placed on the market and imposes requirements and restrictions on drug manufacturers,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the manufacturer’s communications on the subject of off-label use of their products.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Disclosure of Clinical Trial Information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Sponsors of clinical trials of FDA-regulated products, including biological products, are required to register and disclose certain clinical trial information on clinicaltrials.gov. Information related to the product, patient population, phase of the investigation, trial sites and investigators and other aspects of the clinical trial is then made public as part of the registration. Sponsors are also obligated to discuss the results of their clinical trials after</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36</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Additional Controls for Biologics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To help reduce the increased risk of the introduction of adventitious agents, the PHS Act emphasizes the importance of manufacturing controls for products whose attributes cannot be precisely defined. The PHS Act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After a BLA is approved, the product will also be subject to official lot release as a condition of approval. As part of the manufacturing process, the manufacturer is required to perform specific tests on each lot of the product before it is released for distribution. If the product is subject to an official release by the FDA, the manufacturer submits samples of each lot of product to the FDA together with a release protocol showing a summary of the history of the manufacture of the lot and the results of all the manufacturer’s tests performed on the lot. The FDA may also perform specific confirmatory tests on lots of some products, such as vaccines, before releasing the lots for distribution by the manufacturer. 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Expedited Development and Review Programs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 sponsor may seek approval of its vaccine candidate under programs designed to accelerate the FDA’s review and approval of new drugs and biological products that meet certain criteria. Specifically, new drugs and biological products are eligible for fast track designation if they are intended to treat a serious or life-threatening disease or condition and demonstrate the potential to address unmet medical needs for the disease or condition. For a fast track product, the FDA may consider sections of the BLA for review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A fast track designated vaccine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disease or condition. If criteria are not met for priority review, the application is subject to the standard FDA review period of 10 months after FDA accepts the application for filing. Priority review designation does not change the scientific/medical standard for approval or the quality of evidence necessary to support approval.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FDA may withdraw approval of a drug or indication approved under accelerated approval if, for example, the confirmatory trial fails to verify the predicted clinical benefit of the product.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a sponsor may seek FDA designation of its vaccine candidate as a breakthrough therapy if the vaccine candidate is intended to treat a serious or life-threatening disease or condition and preliminary clinical</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37</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evidence indicates that the therapy may demonstrate substantial improvement over existing therapies on one or more clinically significant endpoints, such as substantial treatment effects observed early in clinical development. If the FDA designates a product as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therapy designation comes with all of the benefits of fast track designation.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Even if a drug or biologic qualifies for one or more of these programs, the FDA may later decide that the drug no longer meets the conditions for qualification or that the time period for FDA review or approval will be shortened.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Biosimilars and Exclusivity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Patient Protection and Affordable Care Act, as amended by the Health Care and Education Reconciliation Act of 2010, or collectively, ACA, includes a subtitle called the Biologics Price Competition and Innovation Act of 2009, or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and implementation of the BPCIA are subject to significant uncertainty.</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38</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i/>
          <w:sz w:val="20"/>
        </w:rPr>
        <w:t>United States Healthcare Reform</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the United States, there has been and continues to be, several legislative and regulatory changes and proposed changes regarding the healthcare system that could, among other things, prevent or delay marketing approval of vaccine candidates, restrict or regulate post-approval activities and affect the profitable sale of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Among policymakers and payors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March 2010, the ACA was passed, which substantially changed the way healthcare is financed by both the government and private insurers and significantly impacts the U.S. pharmaceutical industry. The ACA, among other things: (1) increased the minimum Medicaid rebates owed by manufacturers under the Medicaid Drug Rebate Program and extended the rebate program to individuals enrolled in Medicaid managed care organizations; (2) created a new methodology by which rebates owed by manufacturers under the Medicaid Drug Rebate Program are calculated for certain drugs and biologics that are inhaled, infused, instilled, implanted or injected; (3) established an annual, nondeductible fee on any entity that manufactures or imports certain specified branded prescription drugs and biologic agents apportioned among these entities according to their market share in specific government healthcare programs; (4) expanded the eligibility criteria for Medicaid programs; (5) created a new Patient-Centered Outcomes Research Institute to oversee, identify priorities in, and conduct comparative clinical effectiveness research, along with funding for such research; (6)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and (7) established a Center for Medicare &amp; Medicaid Innovation at the Centers for Medicare &amp; Medicaid Services, or CMS, to test innovative payment and service delivery models to lower Medicare and Medicaid spending, potentially including prescription drugs.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There have been judicial and political challenges to certain aspects of the ACA. By way of example, the Tax Cuts and Jobs Act of 2017, or the Tax Act, was signed into law and included a provision repealing, effective January 1, 2019, the tax-based shared responsibility payment imposed by the ACA on specific individuals who fail to maintain qualifying health coverage for all or part of a year that is commonly referred to as the “individual mandate.” The Bipartisan Budget Act of 2018, among other things, amends the ACA, effective January 1, 2019, to close the coverage gap in most Medicare drug plans, commonly referred to as the “donut hole.”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also unclear how the Supreme Court ruling, other such litigation and the healthcare reform measures of the Biden administration will impact the ACA and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Other legislative changes have been proposed and adopted since the ACA was enacted. For example, on August 2, 2011, the Budget Control Act of 2011 was signed into law, which, among other things, resulted in aggregate reductions of Medicare payments to providers of 2% per fiscal year, which went into effect on April 1, 2013 and, due to subsequent legislative amendments to the statute, including the Infrastructure Investment and Jobs Act, will remain in effect through 2031, with the exception of a temporary suspension from May 1, 2020 through March 31, 2022, unless additional Congressional action is taken. Under current legislation, the actual reduction in Medicare payments will vary from 1% in 2022 to up to 3% in the final fiscal year of this sequester.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Moreover, there has recently been heightened governmental scrutiny over the manner in which manufacturers set prices for their marketed products, which has resulted in several Congressional inquiries, presidential executive orders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President Trump announced several executive orders related to prescription drug pricing that seek to implement several of the administration's proposals. As a result, the FDA concurrently released a final rule and guidance in September providing pathways for states to build and submit importation plans for drugs from Canada. Further, on November 20, 2020, the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pending review by the Biden administration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As a result of litigation challenging the Most Favored Nation model, on December 27, 2021, CMS published a final rule that rescinded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In addition, Congress is considering drug pricing as part of other reform initiatives. However, it is unclear whether these or similar policy initiatives will be implemented in the future. At the state level, legislatures have increasingly passed legislation and implemented regulations designed to control pharmaceutical product pricing, including price or patient reimbursement constraints, discounts, restrictions on specific product access and marketing cost disclosure and transparency measures and, in some cases, designed to encourage importation from other countries and bulk purchasing. Further, it is possible that additional government action is taken in response to the COVID-19 pandemic.</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United States Healthcare Fraud and Abuse Laws and Compliance Requirements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Federal and state healthcare laws and regulations restrict certain business practices in the biopharmaceutical industry, including anti-kickback and false claims laws and regulations, data privacy and security laws and regulations and transparency laws and regulations.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federal Anti-Kickback Statute prohibits, among other things, individuals or entities from knowingly and willfully offering, paying, soliciting or receiving remuneration, directly or indirectly, overtly or covertly, in cash or in-kind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federal civil and criminal false claims laws, including the civil False Claims Act, and civil monetary penalties laws, prohibit, among other things, any individual or entity from knowingly presenting, or causing to be presented, a false claim for payment to the federal government or knowingly making, using or causing to be made or used a false record or statement material to a false or fraudulent claim to the federal government. Private individuals, commonly known as “whistleblowers,” can bring civil False Claims Act qui tam actions, on behalf of the government and such individuals and may share in amounts paid by the entity to the government in recovery or settlement. In addition, the government may assert that a claim including items or services resulting from a violation of the federal Anti-Kickback Statute constitutes a false or fraudulent claim for purposes of the civil False Claims Act.</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The federal Health Insurance Portability and Accountability Act of 1996, or HIPAA, created additional federal civil and criminal statutes that prohibit, among other things, knowingly and willfully executing a scheme to defraud any healthcare benefit program. Similar to the federal Anti-Kickback Statute, a person or entity does not need to have actual knowledge of the statute or specific intent to violate it in order to have committed a violation. In addition, HIPAA, as amended by the Health Information Technology for Economic and Clinical Health Act, and their implementing regulations, imposes specific requirements relating to the privacy, security and transmission of protected health information on HIPAA covered entities, which include certain healthcare providers, health plans and healthcare clearinghouses and their business associates and covered subcontractors who conduct certain activities for or on their behalf involving protected health information on their behalf.</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and their immediate family members. Similar state, local and foreign healthcare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Efforts to ensure compliance with applicable healthcare laws and regulations can involve substantial costs. Violations of healthcare laws can result in significant penalties, including the imposition of significant civil, criminal and administrative penalties, damages, monetary fines, disgorgement, individual imprisonment, possible exclusion from participation in Medicare, Medicaid and other U.S. healthcare programs, integrity oversight and reporting obligations, contractual damages, reputational harm, diminished profits and future earnings and curtailment or restructuring of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Foreign Regulation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to regulations in the United States, we expect to be subject to a variety of foreign regulations governing clinical trials and commercial sales and distribution of our vaccine candidates. Whether or not we obtain FDA approval for a vaccine candidate, we must obtain approval from the comparable regulatory authorities of foreign countries or economic areas, such as the European Union, before we may commence clinical trials or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Certain countries outside of the United States have a process that requires the submission of a clinical trial application, much like an IND prior to the commencement of human clinical trials. In Europe, for example, a clinical trial application, or CTA, must be submitted to the competent national health authority and to independent ethics committees in each country in which a company intends to conduct clinical trials. Once the CTA is approved in accordance with a country’s requirements, clinical trial development may proceed in that country. In all cases, the clinical trials must be conducted in accordance with GCPs and other applicable regulatory requirements.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requirements and process governing the conduct of clinical trials, product licensing, pricing and reimbursement vary from country to country. In all cases, the clinical trials are conducted in accordance with GCP</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41</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and the applicable regulatory requirements and the ethical principles that have their origin in the Declaration of Helsinki.</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Under European Union regulatory systems, a company may submit marketing authorization applications either under a centralized or decentralized procedure. The centralized procedure is compulsory for medicinal products produced by biotechnology or those medicinal products containing new active substances for specific indications such as the treatment of AIDS, cancer, neurodegenerative disorders, diabetes, viral diseases and designated orphan medicines, and optional for other medicines which are highly innovative. Under the centralized procedure, a marketing application is submitted to the European Medicines Agency, or EMA, where it will be evaluated by the Committee for Medicinal Products for Human Use, and a favorable opinion typically results in the grant by the European Commission of a single marketing authorization that is valid for all European Union member states within 67 days of receipt of the opinion. The initial marketing authorization is valid for five years, but once renewed is usually valid for an unlimited period.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To market a medicinal product in the European Economic Area, or EEA, (which is comprised of the 28 Member States of the EU plus Norway, Iceland and Liechtenstein), we must obtain a Marketing Authorization, or MA. There are two types of marketing authorizations:</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Community MA, which is issued by the European Commission through the Centralized Procedure, based on the opinion of the Committee for Medicinal Products for Human Use of the EMA, and which is valid throughout the entire territory of the European Economic Area, or EEA. The Centralized Procedure is mandatory for certain types of products, such as biotechnology medicinal products, orphan medicinal products, advanced therapy products and medicinal products containing a new active substance indicated for the treatment certain diseases, such as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the various Member States through the Decentralized Procedure. </w:t>
      </w:r>
    </w:p>
    <w:p>
      <w:pPr>
        <w:pStyle w:val="TextBody"/>
        <w:spacing w:lineRule="auto" w:line="273" w:before="240" w:after="0"/>
        <w:jc w:val="left"/>
        <w:rPr>
          <w:rFonts w:ascii="Times New Roman" w:hAnsi="Times New Roman"/>
          <w:sz w:val="20"/>
        </w:rPr>
      </w:pPr>
      <w:r>
        <w:rPr>
          <w:rFonts w:ascii="Times New Roman" w:hAnsi="Times New Roman"/>
          <w:b w:val="false"/>
          <w:sz w:val="20"/>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we fail to comply with applicable foreign regulatory requirements, we may be subject to, among other things, fines, suspension or withdrawal of regulatory approvals, product recalls, seizure of products, operating restrictions and criminal prosecution.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Additional Regulation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are also subject to regulation under the Occupational Safety and Health Act, the Environmental Protection Act, the Toxic Substances Control Act, the Resource Conservation and Recovery Act and other present and potential federal, state or local regulations. These and other laws govern our use, handling and disposal of various biological and chemical substances used in, and waste generated by our operations. Our research and development involve the controlled use of hazardous materials, chemicals, bacteria and viruses. Although we believe that our safety procedures for handling and disposing of such materials comply with the standards prescribed by state and federal regulations, the risk of accidental contamination or injury from these materials cannot be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42</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completely eliminated. In the event of such an accident, we could be held liable for any damages that result and any such liability could exceed our resources.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There have been a number of federal and state proposals during the last few years regarding the pricing of pharmaceutical and biological products, government control and other changes to the healthcare system of the United States. It is uncertain what legislative proposals will be adopted or what actions federal, state or private payors for medical goods and services may take in response to any healthcare reform proposals or legislation. We cannot predict the effect medical or healthcare reforms may have on our business, and no assurance can be given that any such reforms will not have a material adverse effect.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Privacy and Data Protection Laws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are also or may become subject to numerous data privacy and security obligations, including federal, state, local, and foreign laws, regulations, guidance, and industry standards related to data privacy, security, and the protection of health-related and other personal information. Such obligations may include, without limitation, the Federal Trade Commission Act, the California Consumer Privacy Act of 2018 (“CCPA”), the European Union’s General Data Protection Regulation 2016/679 (“EU GDPR”), and the EU GDPR as it forms part of United Kingdom (“UK”) law by virtue of section 3 of the European Union (Withdrawal) Act 2018 (“UK GDPR”), the ePrivacy Directive. In addition, several states within the United States have enacted or proposed data privacy laws. For example, Virginia passed the Consumer Data Protection Act, and Colorado passed the Colorado Privacy Act.</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European data privacy and security laws (including the EU GDPR and UK GDPR) impose significant and complex compliance obligations on entities that are subject to those laws. For example, the EU GDPR applies to any company established in the European Economic Area (“EEA”)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 The EU GDPR allows EU member states to make new laws and regulations further limiting the processing of genetic, biometric, or health data. Failure to comply with the requirements of GDPR and the applicable national data protection laws of the EU member states may result in fines of up to €20,000,000 or up to 4% of the total worldwide annual turnover of the preceding financial year, whichever is higher, and other administrative penalties.</w:t>
      </w:r>
    </w:p>
    <w:p>
      <w:pPr>
        <w:pStyle w:val="TextBody"/>
        <w:spacing w:lineRule="auto" w:line="273" w:before="240" w:after="0"/>
        <w:jc w:val="left"/>
        <w:rPr>
          <w:rFonts w:ascii="Times New Roman" w:hAnsi="Times New Roman"/>
          <w:sz w:val="20"/>
        </w:rPr>
      </w:pPr>
      <w:r>
        <w:rPr>
          <w:rFonts w:ascii="Times New Roman" w:hAnsi="Times New Roman"/>
          <w:b w:val="false"/>
          <w:sz w:val="20"/>
        </w:rPr>
        <w:t>See the section titled “Risks Related to Government Regulation” for additional information about the laws and regulations to which we are or may become subject to and about the risks to our business associated with such laws and regulations.</w:t>
      </w:r>
      <w:r>
        <w:rPr>
          <w:rFonts w:ascii="Times New Roman" w:hAnsi="Times New Roman"/>
          <w:sz w:val="20"/>
        </w:rPr>
        <w:t xml:space="preserve"> </w:t>
      </w:r>
    </w:p>
    <w:p>
      <w:pPr>
        <w:pStyle w:val="TextBody"/>
        <w:spacing w:lineRule="auto" w:line="273" w:before="240" w:after="0"/>
        <w:jc w:val="left"/>
        <w:rPr>
          <w:rFonts w:ascii="Times New Roman" w:hAnsi="Times New Roman"/>
          <w:b/>
          <w:sz w:val="20"/>
        </w:rPr>
      </w:pPr>
      <w:r>
        <w:rPr>
          <w:rFonts w:ascii="Times New Roman" w:hAnsi="Times New Roman"/>
          <w:b/>
          <w:sz w:val="20"/>
        </w:rPr>
        <w:t>Employees &amp; Human Capital</w:t>
      </w:r>
    </w:p>
    <w:p>
      <w:pPr>
        <w:pStyle w:val="TextBody"/>
        <w:spacing w:lineRule="auto" w:line="273" w:before="240" w:after="0"/>
        <w:jc w:val="left"/>
        <w:rPr>
          <w:rFonts w:ascii="Times New Roman" w:hAnsi="Times New Roman"/>
          <w:sz w:val="20"/>
        </w:rPr>
      </w:pPr>
      <w:r>
        <w:rPr>
          <w:rFonts w:ascii="Times New Roman" w:hAnsi="Times New Roman"/>
          <w:b w:val="false"/>
          <w:sz w:val="20"/>
        </w:rPr>
        <w:t>As of December 31, 2021, we had 89 full-time employees, 19 of whom have Ph.D. degrees. None of our employees are represented by labor unions or covered by collective bargaining agreements. We consider our relationship with our employees to be good.</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human capital resources objectives include, as applicable, identifying, recruiting, retaining, incentivizing and integrating our existing and additional employees. The principal purposes of our equity incentive plans are to attract, retain and motivate selected employees and directors through the granting of stock-based compensation awards.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43</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sz w:val="20"/>
        </w:rPr>
      </w:pPr>
      <w:r>
        <w:rPr>
          <w:rFonts w:ascii="Times New Roman" w:hAnsi="Times New Roman"/>
          <w:b/>
          <w:sz w:val="20"/>
        </w:rPr>
        <w:t>Corporate and Other Information</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are headquartered in San Carlos, California. We were incorporated in the state of Delaware on November 27, 2013 as Sutrovax, Inc. and we changed our name to Vaxcyte, Inc. in May 2020. Our website is located at https://www.vaxcyte.com. Our Annual Reports on Form 10-K, Quarterly Reports on Form 10-Q, Current Reports on Form 8-K including their exhibits, proxy and information statements, and amendments to those reports filed or furnished pursuant to Section 13(a), 14, and 15(d) of the Securities Exchange Act of 1934, as amended, or the Exchange Act, are available through the “Investors” portion of our website free of charge as soon as reasonably practicable after we electronically file such material with, or furnish it to, the SEC. Information on our website is not part of this Annual Report on Form 10-K or any of our other securities filings unless specifically incorporated herein or therein by reference. In addition, our filings with the SEC may be accessed through the SEC’s website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bookmarkStart w:id="3" w:name="item_1a_risk_factors"/>
      <w:bookmarkEnd w:id="3"/>
      <w:r>
        <w:rPr>
          <w:rFonts w:ascii="Times New Roman" w:hAnsi="Times New Roman"/>
          <w:b/>
          <w:sz w:val="20"/>
        </w:rPr>
        <w:t>Item 1A. Risk Factors.</w:t>
      </w:r>
      <w:r>
        <w:rPr>
          <w:rFonts w:ascii="Times New Roman" w:hAnsi="Times New Roman"/>
          <w:sz w:val="20"/>
        </w:rPr>
        <w:t xml:space="preserve"> </w:t>
      </w:r>
    </w:p>
    <w:p>
      <w:pPr>
        <w:pStyle w:val="TextBody"/>
        <w:spacing w:lineRule="auto" w:line="273" w:before="240" w:after="0"/>
        <w:jc w:val="center"/>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p>
      <w:pPr>
        <w:pStyle w:val="TextBody"/>
        <w:spacing w:lineRule="auto" w:line="273" w:before="240" w:after="0"/>
        <w:jc w:val="left"/>
        <w:rPr>
          <w:rFonts w:ascii="Times New Roman" w:hAnsi="Times New Roman"/>
          <w:b w:val="false"/>
          <w:i/>
          <w:sz w:val="20"/>
        </w:rPr>
      </w:pPr>
      <w:r>
        <w:rPr>
          <w:rFonts w:ascii="Times New Roman" w:hAnsi="Times New Roman"/>
          <w:b w:val="false"/>
          <w:i/>
          <w:sz w:val="20"/>
        </w:rPr>
        <w:t>Our business involves significant risks, some of which are described below. You should carefully consider the risks described below, as well as the other information in this Annual Report on Form 10-K, including “Management’s Discussion and Analysis of Financial Condition and Results of Operations” and the financial statements and the related notes. Many of the following risks and uncertainties are, and will be, exacerbated by the COVID-19 pandemic and any worsening of the global business and economic environment as a result.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on Form 10-K.</w:t>
      </w:r>
    </w:p>
    <w:p>
      <w:pPr>
        <w:pStyle w:val="TextBody"/>
        <w:spacing w:lineRule="auto" w:line="273" w:before="240" w:after="0"/>
        <w:jc w:val="left"/>
        <w:rPr>
          <w:rFonts w:ascii="Times New Roman" w:hAnsi="Times New Roman"/>
          <w:sz w:val="20"/>
        </w:rPr>
      </w:pPr>
      <w:r>
        <w:rPr>
          <w:rFonts w:ascii="Times New Roman" w:hAnsi="Times New Roman"/>
          <w:b/>
          <w:sz w:val="20"/>
        </w:rPr>
        <w:t>Risks Related to Our Financial Position and Capital Needs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are in the early stages of vaccine development and have a very limited operating history and no products approved for commercial sale, which may make it difficult for you to evaluate the success of our business to date and to assess our future viability.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To date, we have devoted substantially all of our resources to performing research and development, undertaking preclinical studies and enabling manufacturing activities in support of our product development efforts, acquiring and developing our technology and vaccine candidates, organizing and staffing our company, performing business planning, establishing our intellectual property portfolio and raising capital to support and expand such activities. As an organization, we have not yet demonstrated an ability to successfully complete clinical development, obtain regulatory approvals, manufacture a commercial-scale product or conduct sales and marketing activities necessary for successful commercialization or arrange for a third party to conduct these activities on our behalf. Consequently, any predictions about our future success or viability may not be as accurate as they could be if we had a longer operating history.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current vaccine candidate pipeline includes four preclinical programs. We may encounter unforeseen expenses, difficulties, complications, delays and other known or unknown factors in achieving our business objectives, including with respect to our vaccine candidates. We will need to transition at some point from a company with a research and development focus to a company capable of supporting commercial activities. We may not be successful in such a transition.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have incurred significant net losses since inception and anticipate that we will continue to incur substantial net losses for the foreseeable future. We currently have no source of product revenue and may never achieve profitability. Our stock is a highly speculative investment.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are a clinical-stage biotechnology vaccine company that was incorporated in November 2013. Investment in clinical-stage companies and vaccine development is highly speculative because it entails substantial upfront capital expenditures and significant risk that any potential vaccine candidate will not gain regulatory approval or become commercially viable. We do not have any products approved for sale and have not generated any revenue from product sales. As a result, we are not profitable and have incurred losses in each year since inception. Our net losses were $100.1 million and $89.2 million for the years ended December 31, 2021 and 2020, respectively. As of December 31, 2021, we had an accumulated deficit of $298.6 million.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expect to continue to spend significant resources to fund research and development of, and seek regulatory approvals for, our vaccine candidates. We expect to incur substantial and increasing operating losses over the next several years as our research, development, manufacturing, preclinical testing and clinical trial activities increase. As a result, our accumulated deficit will also increase significantly. We may encounter unforeseen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expenses, difficulties, complications, delays and other unknown factors that may adversely affect our business. The size of our future net losses will depend, in part, on the rate of future growth of our expenses and our ability to generate revenue. However, we do not expect to generate any revenue from commercial product sales unless and until we successfully complete development and obtain regulatory approval for one or more of our vaccine candidates, which we expect will take a number of years. Our prior losses and expected future losses have had and will continue to have an adverse effect on our stockholders’ equity and working capital. Even if we eventually generate revenue, we may never be profitable and, if we do achieve profitability, we may not be able to sustain or increase profitability on a quarterly or annual basis.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will require substantial additional funding to finance our operations, which may not be available to us on acceptable terms, or at all. If we are unable to raise additional capital when needed, we could be forced to delay, reduce or terminate certain of our development programs or other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As of December 31, 2021, we had cash, cash equivalents and investments of $273.1 million. In the first quarter of 2022, we completed an underwritten public offering in which we issued 3,250,000 shares of common stock, which included the full exercise of the underwriters' option to purchase additional shares, and pre-funded warrants to purchase 2,500,000 shares of our common stock, and received approximately $107.6 million in net proceeds, after deducting underwriting discounts and commissions and other estimated offering expenses payable by us. We believe our existing cash, cash equivalents and investments will fund our current operating plans through at least the next 12 months from the filing date of this Annual Report on Form 10-K. However, our operating plan may change as a result of many factors currently unknown to us, and we may need to seek additional funds sooner than planned. We will need to raise additional capital before we can progress any of our vaccine candidates into a pivotal clinical trial. We expect to finance our cash needs through public or private equity or debt financings, third-party (including government) funding and marketing and distribution arrangements, as well as other collaborations, strategic alliances and licensing arrangements or any combination of these approaches. In July 2021, we entered into the ATM Sales Agreement with Jefferies, which provides that, upon the terms and subject to the conditions and limitations set forth in the ATM Sales Agreement, we may elect to issue and sell, from time to time, shares of our common stock having an aggregate offering price of up to $150.0 million through Jefferies acting as our sales agent or principal. As of December 31, 2021, we have sold 567,045 shares of our common stock under the ATM Sales Agreement at an average price of $25.26 per share for aggregate gross proceeds of $14.3 million ($13.9 million net of commissions and offering expenses). Our ability to raise additional capital may be adversely impacted by potential worsening global economic conditions and the recent disruptions to and volatility in the credit and financial markets in the United States and worldwide, including the trading price of common stock, resulting from the ongoing COVID-19 pandemic. Our future capital requirements will depend on many factors, including:</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timing, scope, progress, results and costs of research and development, testing, screening, manufacturing, preclinical development and clinical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outcome, timing and cost of seeking and obtaining regulatory approvals from the U.S. Food and Drug Administration, or FDA, and comparable foreign regulatory authorities, including the potential for such authorities to require that we perform field efficacy studies for our pneumococcal conjugate vaccine, or PCV, candidates, require more studies than those that we currently expect or change their requirements regarding the data required to support a marketing application;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cost of building a sales force in anticipation of any product commercialization;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costs of future commercialization activities, including product manufacturing, marketing, sales, royalties and distribution, for any of our vaccine candidates for which we receive marketing approval;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any product liability or other lawsuits related to our products;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46</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revenue, if any, received from commercial sales, or sales to foreign governments, of our vaccine candidates for which we may receive marketing approval;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costs to establish, maintain, expand, enforce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expenses needed to attract, hire and retain skilled personnel;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costs of operating as a public company;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the impact of the COVID-19 pandemic, which may exacerbate the magnitude of the factors discussed above. </w:t>
      </w:r>
    </w:p>
    <w:p>
      <w:pPr>
        <w:pStyle w:val="TextBody"/>
        <w:spacing w:lineRule="auto" w:line="273" w:before="240" w:after="0"/>
        <w:jc w:val="left"/>
        <w:rPr>
          <w:rFonts w:ascii="Times New Roman" w:hAnsi="Times New Roman"/>
          <w:sz w:val="20"/>
        </w:rPr>
      </w:pPr>
      <w:r>
        <w:rPr>
          <w:rFonts w:ascii="Times New Roman" w:hAnsi="Times New Roman"/>
          <w:b w:val="false"/>
          <w:sz w:val="20"/>
        </w:rPr>
        <w:t>Our ability to raise additional funds will depend on financial, economic and other factors, many of which are beyond our control. 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vaccine candidates or other research and development initiatives. Our license agreements may also be terminated if we are unable to meet the payment obligations or milestones under the agreements. We could be required to seek collaborators for our vaccine candidates at an earlier stage than otherwise would be desirable or on terms that are less favorable than might otherwise be available, or relinquish or license on unfavorable terms our rights to our vaccine candidates in markets where we otherwise would seek to pursue development or commercialization ourselves.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Due to the significant resources required for the development of our vaccine candidates, and depending on our ability to access capital, we must prioritize development of certain vaccine candidates. Moreover, we may expend our limited resources on vaccine candidates that do not yield a successful vaccine and fail to capitalize on vaccine candidates that may be more profitable or for which there is a greater likelihood of success.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Due to the significant resources required for the development of our vaccine candidates, we must decide which vaccine candidates to pursue and advance and the amount of resources to allocate to each. Our decisions concerning the allocation of research, development, management and financial resources toward particular vaccine candidates may not lead to the development of any viable commercial vaccines and may divert resources away from better opportunities. Similarly, our potential decisions to delay, terminate, license or collaborate with third parties in respect of certain vaccine candidates may subsequently also prove to be less than optimal and could cause us to miss valuable opportunities. If we make incorrect determinations regarding the viability or market potential of any of our vaccine candidates or misread trends in the biopharmaceutical industry, in particular for vaccines, our business could be seriously harmed. As a result, we may fail to capitalize on viable commercial products or profitable market opportunities, be required to forego or delay pursuit of opportunities with other vaccine candidates that may later prove to have greater commercial potential than those we choose to pursue or relinquish valuable rights to such vaccine candidates through collaboration, licensing or other royalty arrangements in cases in which it would have been advantageous for us to invest additional resources to retain sole development and commercialization rights.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Risks Related to Our Business and Industry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Our approach to the discovery and development of our vaccine candidates is based on novel technologies that are unproven, which may expose us to unforeseen risks, require us to modify processes, and make it difficult to predict the time and cost of vaccine candidate development and the timing to apply for and obtain regulatory approvals.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are developing a pipeline of vaccine candidates utilizing our cell-free protein synthesis platform, which is comprised of the XpressCF platform exclusively licensed from Sutro Biopharma, and our proprietary know-how for vaccine applications against infectious disease, and our future success depends on the successful</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47</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application of this approach to vaccine development. We are in the early stages of developing our vaccine candidates and there can be no assurance that any development problems we experience in the future will not cause significant delays or unanticipated costs, or that such development problems can be overcome. We may also experience delays in developing a sustainable, reproducible and scalable manufacturing process or transferring that process to manufacturing partners, which may prevent us from completing our clinical trials or commercializing our products on a timely or profitable basis, if at all. In addition, since we have not yet completed clinical development, we do not know the specific doses that may be effective in the clinic or, if approved, commercially. Finding a suitable dose may delay our anticipated clinical development timelines.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Furthermore, our expectations with regard to our scalability and costs of manufacturing may vary significantly as we develop our vaccine candidates and understand these critical factors. Conjugate vaccine development is highly complex, and development of broad-valency PCVs is further complicated by the number of components, analytical assays and potential for adjustments, including but not limited to changes in raw materials, composition, formulation, manufacturing methods and dosing, which could result in drug substances and/or drug product that may vary between preclinical and clinical studies over time. Over the course of the development and manufacturing of VAX-24, we have encountered process-related matters that have required us to make adjustments to our processes. We encountered such process-related matters during our drug substance manufacturing campaign for VAX-24 at Lonza. The cumulative impact of the time required to make adjustments to our processes led to a delay of our drug substance manufacturing campaign due to scheduling conflicts and capacity constraints at Lonza. There can be no assurance that we or Lonza will be able to successfully manufacture drug substances in a timely manner in the future, or at all. Such process changes and manufacturing delays have caused a change in our IND timelines in the past and future changes or delays could impact future timelines for VAX-24 or for our other product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the preclinical and clinical trial requirements of the FDA, European Medicines Agency, or EMA, and other regulatory agencies and the criteria these regulators use to determine the safety and efficacy of a vaccine candidate are determined according to the type, complexity, novelty and intended use and market of the potential products. Approvals by the FDA and EMA for existing pneumococcal vaccines, such as Prevnar 13, Pneumovax 23, Prevnar 20 and Vaxneuvance may not be indicative of what these regulators may require for approval of our vaccine candidates. For example, we expect to use opsonophagocytic activity, or OPA, titers as the primary immunogenicity surrogate endpoint for the VAX-24 program in adults because Prevnar 13 and Prevnar 20 were approved based on the establishment of non-inferiority of serotype-specific OPA responses relative to Pneumovax 23 and Prevnar 13 respectively; however, there can be no assurance that this streamlined non-inferiority approach will be sufficient for regulatory approval or that regulators will not require field efficacy trials. Furthermore, while there have been approvals granted for both pneumococcal conjugate vaccines and meningococcal conjugate vaccines based on surrogate immune endpoints rather than field efficacy studies, we will not be able to confirm this approach’s applicability for our vaccines until we complete our Phase 2 clinical development program. Additionally, novel aspects of our vaccine candidates and manufacturing processes may create further challenges in obtaining regulatory approval. The regulatory approval process for our novel vaccine candidates can be more complex and consequently more expensive and take longer than for other, better known or extensively studied pharmaceutical or other vaccine candidates. More generally, approvals by any regulatory agency may not be indicative of what any other regulatory agency may require for approval or what such regulatory agencies may require for approval in connection with new vaccine candidates. Moreover, our vaccine candidates may not perform successfully in clinical trials.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Our vaccine candidates are in early stages of development and may fail in development or suffer delays that materially and adversely affect their commercial viability. If we are unable to complete development of or commercialize our vaccine candidates or experience significant delays in doing so, our business would be materially harmed.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Vaccine development generally takes many years. In particular, our most advanced vaccine candidate, VAX-24, showed positive results in a preclinical proof-of-concept study in 2017. On January 6, 2022, we announced that the FDA had cleared our investigational new drug, or IND, application for VAX-24 in adults. On February 23, 2022, we announced the initiation of our Phase 1/2 clinical proof-of-concept study in adults ages 18 to 64. We expect to announce Phase 1/2 topline immunogenicity, safety and tolerability results from this study by the end of 2022. Pending the successful completion of the Phase 1 portion of this study, we expect to begin enrollment</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48</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in a separate Phase 2 study in healthy adults aged 65 and older and to announce topline safety, tolerability and immunogenicity results from this study in the first half of 2023. Subject to a pre-IND meeting with the FDA and the successful topline results of the initial Phase 1/2 proof-of-concept study in adults ages 18 to 64, we anticipate submitting a pediatric IND application to the FDA for VAX-24 in the first half of 2023. Our other vaccine candidates are in earlier stages of discovery and preclinical development and may never advance to clinical-stage development. Our ability to achieve and sustain profitability depends on obtaining regulatory approvals for and successfully commercializing our vaccine candidates, either alone or with third parties, and we cannot guarantee that we will ever obtain regulatory approval for any of our vaccine candidates. We have limited experience in conducting and managing the clinical trials necessary to obtain regulatory approvals, including approval by the FDA. Before obtaining regulatory approval for the commercial distribution of our vaccine candidates, we must conduct extensive preclinical studies and clinical trials to demonstrate the safety and efficacy of our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may not have the financial resources to continue development of, or to enter into new collaborations for, a vaccine candidate if we experience any issues that delay or prevent regulatory approval of, or our ability to commercialize, vaccine candidates, including:</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negative or inconclusive results from our preclinical or clinical trials, leading to a decision or requirement to conduct additional preclinical studies or clinical trials or abandon a program;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product-related adverse effects experienced by volunteers in our clinical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difficulty achieving successful development of our manufacturing processes, including process development and scale-up activities to supply products for preclinical studies, clinical trials and commercial sale, if approved;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timely completion of our preclinical studies and clinical trials, including any field efficacy studies that may be required, which may be significantly slower or cost more than we currently anticipate and will depend substantially upon the performance of third-party contractors;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inability of us or any third-party contract manufacturer to scale up manufacturing of our vaccine candidates to supply the needs of preclinical studies, clinical trials and commercial sales, and to manufacture such products in conformity with regulatory requirements;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delays in submitting IND applications or compatible foreign applications or delays or failures in obtaining necessary approvals from regulators to commence a clinical trial, or suspension or termination of a clinical trial once commenced;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conditions imposed by the FDA or similar foreign authorities regarding the scope or design of our clinical trials, including any requirements to perform field efficacy studies;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delays in enrolling subjects in our clinical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inadequate supply or quality of vaccine candidate components or materials or other supplies necessary for conducting clinical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inability to obtain alternative sources of supply for which we have a single source for vaccine candidate components;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availability of coverage and adequate reimbursement and pricing from third-party payors, including government authorities, pertaining to the vaccine candidate, once approved, and patients’ willingness to pay out-of-pocket if third-party payor reimbursement is limited or not available;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greater than anticipated costs of our clinical trials, including chemistry, manufacturing and controls, or CMC, activities related to our clinical trials;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harmful side effects or inability of our vaccine candidates to meet efficacy endpoints;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unfavorable FDA or other regulatory agency inspection and review of one or more of our clinical trial sites or our contract manufacturers’ facilities;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failure of our third-party contractors or investigators to comply with regulatory requirements or otherwise meet their obligations in a timely manner, or at all;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delays and changes in regulatory requirements, policy and guidelines, including the imposition of additional regulatory oversight around clinical testing generally or with respect to our technology or vaccine candidates in particular; or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varying interpretations of our data by the FDA and comparable foreign regulatory authorities. </w:t>
      </w:r>
    </w:p>
    <w:p>
      <w:pPr>
        <w:pStyle w:val="TextBody"/>
        <w:spacing w:lineRule="auto" w:line="273" w:before="240" w:after="0"/>
        <w:jc w:val="left"/>
        <w:rPr>
          <w:rFonts w:ascii="Times New Roman" w:hAnsi="Times New Roman"/>
          <w:sz w:val="20"/>
        </w:rPr>
      </w:pPr>
      <w:r>
        <w:rPr>
          <w:rFonts w:ascii="Times New Roman" w:hAnsi="Times New Roman"/>
          <w:b w:val="false"/>
          <w:sz w:val="20"/>
        </w:rPr>
        <w:t>In particular, while we believe our PCVs could receive regulatory approval based on well-defined surrogate immune endpoints, consistent with how other PCVs have obtained regulatory approval in the past, rather than requiring clinical field efficacy studies, there can be no assurance that the FDA or comparable foreign regulatory authorities will provide approvals on such basis. In addition, changes to the standard of care or the approval of new vaccines could change the threshold for achievement of non-inferiority using the established surrogate immune endpoints that our PCVs will need to meet in our clinical trials.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inability to complete development of or commercialize our vaccine candidates, or significant delays in doing so due to one or more of these factors, could have a material and adverse effect on our business, financial condition, results of operations and prospects.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Our business is highly dependent on the success of VAX-24, which is in the early stages of development. If we are unable to obtain approval for VAX-24 and effectively commercialize VAX-24, our business would be significantly harmed.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business and future success depends on our ability to obtain regulatory approval of, and then successfully commercialize, our most advanced vaccine candidate, VAX-24. VAX-24 is in the early stages of development, and to date has only completed preclinical proof-of-concept studies as compared to Prevnar 13 and polysaccharide/alum in rabbits. Although VAX-24 has produced successful results in animal studies, it may not demonstrate the same properties in humans and may interact with human biological systems in unforeseen, ineffective or harmful ways. VAX-24 will require additional clinical and non-clinical development, regulatory review and approval in multiple jurisdictions, substantial investment, access to sufficient clinical and commercial manufacturing capacity and significant marketing efforts before we can generate any revenue from product sales. We cannot provide any assurance that we will be able to successfully advance VAX-24 through the development process.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clinical and commercial success of VAX-24 and future vaccine candidates will depend on a number of factors, including the following:</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our ability to raise any additional required capital on acceptable terms, or at all;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our ability to complete IND-enabling studies and successfully submit IND or comparable applications;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ability of third parties with whom we contract to manufacture adequate clinical study and commercial supplies of our lead vaccine candidates or any future vaccine candidates, remain in good standing with regulatory agencies and develop, validate and maintain commercially viable manufacturing processes that are compliant with current good manufacturing practices, or cGMP, and do so in a timely manner;</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timely completion of our preclinical studies and clinical trials, which may be significantly slower or cost more than we currently anticipate and will depend substantially upon the performance of third-party contractors;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whether we are required by the FDA or similar foreign regulatory agencies to conduct additional clinical trials, including field efficacy studies, or other studies beyond those planned to support the approval and commercialization of our vaccine candidates or any future vaccine candidates;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acceptance of our proposed indications and primary surrogate endpoint assessments for our PCV candidates by the FDA and similar foreign regulatory authorities;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any changes to the required threshold for the achievement of non-inferiority using established surrogate immune endpoints that our PCVs will need to meet in our clinical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our ability to demonstrate to the satisfaction of the FDA or comparable foreign regulatory authorities the safety, efficacy and acceptable risk to benefit profile of VAX-24 or any future vaccine candidates;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pace and prevalence of serotype replacement following the introduction of VAX-24 or VAX-XP or other vaccines targeting pneumococcal disease;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any vaccine-vaccine interference studies that may be required, particularly with the standard of care pediatric vaccine regimen;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prevalence, duration and severity of potential side effects or other safety issues experienced with our vaccine candidates or future approved products, if any;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timely receipt of necessary marketing approvals from the FDA or comparable foreign regulatory authorities;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achieving, maintaining and, where applicable, ensuring that our third-party contractors achieve and maintain compliance with our contractual obligations and with all regulatory requirements applicable to our lead vaccine candidates or any future vaccine candidates or approved products, if any;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obtaining and maintaining an Advisory Committee on Immunization Practices, or ACIP, preferred recommendation or comparable foreign regulatory authority’s recommendation of our vaccine candidates and the willingness of physicians, operators of clinics and patients to utilize or adopt any of our future vaccine candidates to prevent or treat age-associated diseases;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our ability to successfully develop a commercial strategy and thereafter commercialize our vaccine candidates or any future vaccine candidates in the United States and internationally, if approved for marketing, reimbursement, sale and distribution in such countries and territories, whether alone or in collaboration with others;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51</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convenience of our treatment or dosing regimen;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acceptance by physicians, payors and patients of the benefits, safety and efficacy of our vaccine candidates or any future vaccine candidates, if approved, including relative to alternative and competing treatments;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patient demand for our vaccine candidates, if approved;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our ability to establish and enforce intellectual property rights in and to our vaccine candidates or any future vaccine candidates;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our ability to avoid third-party patent interference, intellectual property challenges or intellectual property infringement claims;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the impact of the COVID-19 pandemic, which may exacerbate the magnitude of the factors discussed above. </w:t>
      </w:r>
    </w:p>
    <w:p>
      <w:pPr>
        <w:pStyle w:val="TextBody"/>
        <w:spacing w:lineRule="auto" w:line="273" w:before="240" w:after="0"/>
        <w:jc w:val="left"/>
        <w:rPr>
          <w:rFonts w:ascii="Times New Roman" w:hAnsi="Times New Roman"/>
          <w:sz w:val="20"/>
        </w:rPr>
      </w:pPr>
      <w:r>
        <w:rPr>
          <w:rFonts w:ascii="Times New Roman" w:hAnsi="Times New Roman"/>
          <w:b w:val="false"/>
          <w:sz w:val="20"/>
        </w:rPr>
        <w:t>These factors, many of which are beyond our control, could cause us to experience significant delays or an inability to obtain regulatory approvals or commercialize our vaccine candidates. Even if regulatory approvals are obtained, we may never be able to successfully commercialize any of our vaccine candidates. Accordingly, we cannot provide assurances that we will be able to generate sufficient revenue through the sale of our vaccine candidates or any future vaccine candidates to continue our business or achieve profitability.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Our primary competitors have significantly greater resources and experience than we do, which may make it difficult for us to successfully develop our vaccine candidates, or may result in others discovering, developing or commercializing products before or more successfully than us.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vaccine market is intensely competitive and is dominated by a small number of multinational, globally established pharmaceutical corporations with significant resources; Pfizer, Merck, GlaxoSmithKline and Sanofi together control approximately 75% of the global vaccine market. We may also face competition from many different sources, including pharmaceutical and biotechnology companies, academic institutions, governmental agencies and public and private research institutions. For example, Sanofi and SK Chemicals have partnered to develop a PCV, and Affinivax and Astellas have partnered to develop an affinity-bound pneumococcal vaccine.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Vaccine candidates that we successfully develop and commercialize may compete with existing vaccines and new vaccines that may become available in the future. Many of our competitors have substantially greater financial, lobbying, technical, human and other resources than we do and may be better equipped to develop, manufacture and market technologically superior vaccines, including the potential that our competitors may develop chemical processes or utilize novel technologies for developing vaccines that may be superior to those we employ. In addition, many of these competitors have significantly greater experience than we have in undertaking preclinical studies and clinical trials of new products and in obtaining regulatory approvals, including for many vaccine franchises. Accordingly, our competitors may succeed in obtaining FDA approval or a preferred recommendation for their products. For example, Prevnar 13 obtained FDA approval for the prevention of invasive pneumococcal disease, or IPD, in infants based on non-inferior IgG antibody responses relative to Prevnar, using the surrogate immune endpoints established by the prior Prevnar field efficacy study. Pfizer implemented a similar approach to development of its 20-valent PCV vaccine candidate, Prevnar 20, which was approved by the FDA in June 2021 for use in adults.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Many of our competitors have established distribution channels for the commercialization of their vaccine products, whereas we have no such established channels or capabilities. In addition, many competitors have greater name recognition, more extensive collaborative relationships or the ability to leverage a broader vaccine portfolio. Our commercial opportunity could be reduced or eliminated if our competitors develop and commercialize vaccines that are safer, more effective, more convenient, less expensive or with a more favorable label than any vaccine candidates that we may develop.</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52</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As a result of these factors, our competitors may obtain regulatory approval of their products before we are able to, which may limit our ability to develop or commercialize our vaccine candidates, or achieve a competitive position in the market. This would adversely affect our ability to generate revenue. Our competitors may also develop vaccines that are safer, more effective, more widely accepted or less expensive than ours, and may also be more successful than we are in manufacturing and marketing their products. These advantages could render our vaccine candidates obsolete or non-competitive before we can recover the costs of such vaccine candidates’ development and commercialization.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Mergers and acquisitions in the pharmaceutical and biotechnology industries may result in even more resources being concentrated among a smaller number of our competitors. Smaller and early-stage companies may also prove to be significant competitors, particularly through collaborative arrangements with large and established companies. These third parties compete with us in recruiting and retaining qualified scientific, management and commercial personnel, establishing clinical trial sites and subject enrollment for clinical trials, as well as in acquiring technologies complementary to, or necessary for, our programs.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and our contract manufacturers may face difficulty satisfying chemistry, manufacturing and controls requirements imposed by the FDA and comparable foreign regulatory authorities. To date, no product developed using a cell-free manufacturing platform has received approval from the FDA or been commercialized.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While we are designing and developing a manufacturing process that we believe can scale to address clinical and commercial vaccine supply, we do not own or operate any manufacturing facilities. We rely on contract manufacturing organizations, or CMOs, including our strategic partnership with our contract manufacturer, Lonza, to access resources to facilitate the development and, if approved, commercialization of VAX-24 and our other vaccine candidates. Advancing our vaccine candidates may create significant challenges, including:</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manufacturing our vaccine candidates to our specifications, including process development, analytical development and quality control testing, and in a timely manner to support our preclinical and clinical trials and, if approved, commercialization;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sourcing the raw materials used to manufacture our vaccine candidates for preclinical, clinical and, if approved, commercial supplies;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establishing sales and marketing capabilities upon obtaining any regulatory approval to gain market acceptance of our vaccines. </w:t>
      </w:r>
    </w:p>
    <w:p>
      <w:pPr>
        <w:pStyle w:val="TextBody"/>
        <w:spacing w:lineRule="auto" w:line="273" w:before="240" w:after="0"/>
        <w:jc w:val="left"/>
        <w:rPr>
          <w:rFonts w:ascii="Times New Roman" w:hAnsi="Times New Roman"/>
          <w:sz w:val="20"/>
        </w:rPr>
      </w:pPr>
      <w:r>
        <w:rPr>
          <w:rFonts w:ascii="Times New Roman" w:hAnsi="Times New Roman"/>
          <w:b w:val="false"/>
          <w:sz w:val="20"/>
        </w:rPr>
        <w:t>Before we can initiate a clinical trial or commercialize any of our vaccine candidates, we must demonstrate to the FDA that the CMC for our vaccine candidates meet applicable requirements, and prior to authorization in the EU, a manufacturing authorization must be obtained from the appropriate EU regulatory authorities. Because no product manufactured on a cell-free manufacturing platform has been approved in the United States, there is no manufacturing facility that has demonstrated the ability to comply with FDA requirements, and, therefore, the timeframe for demonstrating compliance to the FDA’s satisfaction is uncertain. Delays in establishing that our manufacturing process and the facilities we utilize for manufacturing comply with cGMP or disruptions in our manufacturing processes, implementation of novel technologies or scale-up activities, may delay or disrupt our development efforts.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Even if we obtain regulatory approval of our vaccine candidates, the products may not gain market acceptance among regulators, advisory boards, physicians, patients, third-party payors and others in the medical community necessary for commercial success.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Even if any of our vaccine candidates receive marketing approval, they may fail to receive recommendations for use by regulators or advisory boards that recommend vaccines, or gain market acceptance by physicians, patients, third-party payors and others in the medical community. If such vaccine candidates do not achieve an adequate level of acceptance, we may not generate significant product revenue and may not become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53</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profitable. The degree of market acceptance of any vaccine candidate, if approved for commercial sale, will depend on a number of factors, including but not limited to:</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receiving Centers for Disease Control and Prevention, or CDC, and ACIP recommendations for use, as well as recommendations of comparable foreign regulatory and advisory bodies;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prevalence and severity of the disease targets for which our vaccine candidates are approved;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physicians, hospitals, third-party payors and patients considering our vaccine candidates as safe and effective;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potential and perceived advantages of our vaccine candidates over existing vaccines, including with respect to spectrum coverage or immunogenicity;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prevalence and severity of any side effects;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product labeling or product insert requirements of the FDA or comparable foreign regulatory and advisory bodies;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limitations or warnings contained in the labeling approved by the FDA or comparable foreign regulatory and advisory bodies;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timing of market introduction of our vaccine candidates as well as competitive products;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cost in relation to alternatives;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availability of coverage and adequate reimbursement and pricing by third-party payors, including government authorities;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willingness of patients to pay out-of-pocket in the absence of coverage and adequate reimbursement by third-party payors, including government authorities;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relative convenience and ease of administration, including as compared to competitive vaccines and alternative treatments;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the effectiveness of our sales and marketing efforts. </w:t>
      </w:r>
    </w:p>
    <w:p>
      <w:pPr>
        <w:pStyle w:val="TextBody"/>
        <w:spacing w:lineRule="auto" w:line="273" w:before="240" w:after="0"/>
        <w:jc w:val="left"/>
        <w:rPr>
          <w:rFonts w:ascii="Times New Roman" w:hAnsi="Times New Roman"/>
          <w:sz w:val="20"/>
        </w:rPr>
      </w:pPr>
      <w:r>
        <w:rPr>
          <w:rFonts w:ascii="Times New Roman" w:hAnsi="Times New Roman"/>
          <w:b w:val="false"/>
          <w:sz w:val="20"/>
        </w:rPr>
        <w:t>In the United States, the CDC and ACIP develop vaccine recommendations for both children and adults, as do similar agencies around the world. To develop its recommendations, ACIP forms working groups that gather, analyze and prepare scientific information. The ACIP also considers many of the factors above, as well as myriad additional factors such as the value of vaccination for the target population regarding the outcomes, health economic data and implementation issues. ACIP recommendations are also made within categories, such as in an age group or a specified risk group. For example, the ACIP may determine that a preferred recommendation in a smaller child population may be more economical than recommending vaccinations for a larger adult population, which could adversely impact our market opportunity.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New pediatric vaccines that receive an ACIP preferred recommendation are almost universally adopted, and adult vaccines that receive a preferred recommendation are widely adopted. For example, in 2014, the ACIP voted to recommend Prevnar 13 for routine use to help protect adults aged 65 years and older against pneumococcal disease, which caused Prevnar 13 to become the standard of care along with continued use of Pneumovax 23. ACIP can also modify its preferred recommendation. For instance, in June 2019, the ACIP voted to revise the pneumococcal vaccination guidelines and recommend Prevnar 13 for adults 65 and older based on the shared clinical decision making of the provider and patient, rather than a preferred use recommendation, which means the decision to vaccinate should be made at the individual level between health care providers and their patients. In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54</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October 2021, the ACIP voted to recommend the use of either Pfizer’s Prevnar 20, or PCV20, or Merck’s Vaxneuvance, or PCV15, with Pneumovax 23 for routine use in adults aged 65 years and older as well as for those between the ages of 19 and 64 years with certain underlying medical conditions or other risk factors.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our vaccine candidates are approved but fail to receive CDC and ACIP recommendations, or recommendations of other comparable foreign regulatory and advisory bodies, or achieve market acceptance among physicians, healthcare providers, patients, third-party payors or others in the medical community, we will not be able to generate significant revenue. Even if our products achieve market acceptance, we may not be able to maintain that market acceptance over time if new products or technologies are introduced that are more favorably received than our products, are more cost effective or render our products obsolete.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may not be successful in our efforts to use our cell-free protein synthesis platform to expand our pipeline of vaccine candidates and develop marketable products.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success of our business depends in large part upon our ability to identify, develop and commercialize products based on our cell-free protein synthesis platform. We intend to pursue clinical development of additional vaccine candidates beyond VAX-24, including VAX-XP for PCV, VAX-A1 for Group A Strep and VAX-PG for periodontitis. Our research programs may fail to identify potential vaccine candidates for clinical development for a number of reasons or we may focus our efforts and resources on potential programs or vaccine candidates that ultimately prove to be unsuccessful. In addition, we cannot provide any assurance that we will be able to successfully advance any of our existing or future vaccine candidates through the development process.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potential vaccine candidates may be shown to have harmful side effects or may have other characteristics that may make the products unmarketable or unlikely to receive marketing approval. If any of these events occur, we may be forced to abandon our development efforts for a program or for multiple programs, which would materially harm our business and could potentially cause us to cease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Even if we receive FDA approval to market additional vaccine candidates, we cannot provide assurance that any such vaccine candidates will be successfully commercialized, widely accepted in the marketplace or more effective than other commercially available alternatives. In addition, current PCVs do not address the majority of circulating strains causing pneumococcal disease. There has been a decrease in the incidence of disease attributable to the strains covered by existing vaccines but an increase in incidence attributable to non-covered strains that now cause most residual disease. Such change is driven by the void created when strains are taken out of circulation after widespread vaccination, which is a phenomenon known as serotype replacement. As a result of such change, broader spectrum PCVs are required to maintain protection against historically pathogenic strains while expanding coverage to current circulating and emerging strains. There can be no assurance that we will be able to develop higher-valent vaccines to address serotype replacement.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because VAX-24 is our most advanced vaccine candidate, and because our other vaccine candidates are also based on our cell-free protein synthesis platform, if VAX-24 encounters safety or efficacy problems, manufacturing problems, developmental delays, regulatory issues or other problems, our development plans and business would be significantly harmed.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currently rely on third-party manufacturing and supply partners, including Lonza and Sutro Biopharma, to supply raw materials and components for, and manufacture of, our preclinical and clinical supplies as well as our vaccine candidates. Our inability to procure necessary raw materials or to have sufficient quantities of preclinical and clinical supplies or the inability to have our vaccine candidates manufactured, including delays or interruptions at our third-party manufacturers, or our failure to comply with applicable regulatory requirements or to supply sufficient quantities at acceptable quality levels or prices, or at all, would materially and adversely affect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Efficient and scalable manufacturing and supply is a vital component of our business strategy. We currently do not own or operate any manufacturing facilities. We are designing and developing a manufacturing process that we believe can scale to address clinical and commercial vaccine supply. However, our assumptions as to our ability and our CMOs’ ability to produce vaccines at the scale needed for clinical development and commercial demand, in particular for our PCVs, may prove to be wrong. If we encounter substantial problems in our</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manufacturing processes or in our ability to scale to address commercial vaccine supply, our business would be materially adversely affected. Examples of potential issues related to our manufacturing processes or our ability to scale include difficulties with production costs, yields and quality control, including stability of the drug substance or drug product.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rely on third-party contract manufacturers to manufacture preclinical and clinical trial product materials and supplies for our needs. There can be no assurance that our preclinical and clinical development product supplies will not be limited or interrupted or be of satisfactory quality or continue to be available on acceptable terms. Over the course of the development and manufacturing of VAX-24, we have encountered process-related matters that have required us to make adjustments to our processes. We encountered such process-related matters during our drug substance manufacturing campaign for VAX-24 at Lonza. The cumulative impact of the time required to make adjustments to our processes led to a delay of our drug substance manufacturing campaign due to scheduling conflicts and capacity constraints at Lonza. There can be no assurance that we or Lonza will be able to successfully manufacture drug substances in a timely manner in the future, or at all. Such process changes and manufacturing delays have caused a change in our IND timelines in the past and future changes or delays could impact future timelines for VAX-24 or for our other product candidates. As a third-party manufacturer, we are also subject to Lonza’s scheduling commitments for its other clients. Scheduling conflicts with Lonza’s other clients have contributed to manufacturing delays in the past, and there is no guarantee that future scheduling conflicts or related capacity constraints will not affect our manufacturing campaigns and related timelines. In addition, certain aspects of our manufacturing process for our clinical trial product materials and supplies were adversely affected by the COVID-19 pandemic, and could be adversely affected by the ongoing COVID-19 pandemic, earthquakes and other natural or man-made disasters, equipment failures, labor shortages, power failures and numerous other factors in the future. Please see the risk factor titled “</w:t>
      </w:r>
      <w:r>
        <w:rPr>
          <w:rFonts w:ascii="Times New Roman" w:hAnsi="Times New Roman"/>
          <w:b w:val="false"/>
          <w:i/>
          <w:sz w:val="20"/>
        </w:rPr>
        <w:t>Our business could be adversely affected by the effects of health epidemics, including the evolving effects of the COVID-19 pandemic, in regions where we or third parties on which we rely have significant manufacturing facilities, concentrations of potential clinical trial sites or other business operations. The COVID-19 pandemic could materially affect our operations, including at our headquarters in the San Francisco Bay Area, as well as the business or operations of our contract manufacturers or other third parties with whom we conduct business</w:t>
      </w:r>
      <w:r>
        <w:rPr>
          <w:rFonts w:ascii="Times New Roman" w:hAnsi="Times New Roman"/>
          <w:b w:val="false"/>
          <w:sz w:val="20"/>
        </w:rPr>
        <w:t>.”</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manufacturing process for a vaccine candidate is subject to FDA or comparable foreign regulatory authority review. Our suppliers and manufacturers must meet applicable manufacturing requirements and undergo rigorous facility and process validation tests required by regulatory authorities in order to comply with regulatory standards, such as cGMPs.</w:t>
      </w:r>
    </w:p>
    <w:p>
      <w:pPr>
        <w:pStyle w:val="TextBody"/>
        <w:spacing w:lineRule="auto" w:line="273" w:before="240" w:after="0"/>
        <w:jc w:val="left"/>
        <w:rPr>
          <w:rFonts w:ascii="Times New Roman" w:hAnsi="Times New Roman"/>
          <w:sz w:val="20"/>
        </w:rPr>
      </w:pPr>
      <w:r>
        <w:rPr>
          <w:rFonts w:ascii="Times New Roman" w:hAnsi="Times New Roman"/>
          <w:b w:val="false"/>
          <w:sz w:val="20"/>
        </w:rPr>
        <w:t>If our contract manufacturers cannot successfully manufacture material that conforms to our specifications and the strict regulatory requirements of the FDA or comparable foreign regulatory authorities, we may not be able to rely on their manufacturing facilities for the manufacture of elements of our vaccine candidates. Moreover, we do not control the manufacturing process at our contract manufacturers and are completely dependent on them for compliance with current regulatory requirements. In the event that any of our manufacturers fails to comply with such requirements or to perform its obligations in relation to quality, timing or otherwise, or if our supply of components or other materials becomes limited or interrupted for other reasons, we may be forced to manufacture the materials ourselves or enter into an agreement with another third party, which we may not be able to do on reasonable terms, if at all. In some cases, the technical skills, raw materials or technology required to manufacture our vaccine candidates may be unique or proprietary to the original manufacturer or supplier, and we may have difficulty applying such skills or technology or sourcing such raw materials ourselves, or in transferring such skills, technology or raw materials to another third party</w:t>
      </w:r>
      <w:r>
        <w:rPr>
          <w:rFonts w:ascii="Times New Roman" w:hAnsi="Times New Roman"/>
          <w:b w:val="false"/>
          <w:sz w:val="20"/>
          <w:u w:val="single"/>
        </w:rPr>
        <w:t>,</w:t>
      </w:r>
      <w:r>
        <w:rPr>
          <w:rFonts w:ascii="Times New Roman" w:hAnsi="Times New Roman"/>
          <w:sz w:val="20"/>
        </w:rPr>
        <w:t xml:space="preserve"> </w:t>
      </w:r>
      <w:r>
        <w:rPr>
          <w:rFonts w:ascii="Times New Roman" w:hAnsi="Times New Roman"/>
          <w:b w:val="false"/>
          <w:sz w:val="20"/>
        </w:rPr>
        <w:t>or such transfer may be subject to certain consent obligations and payment terms to Lonza. These factors would increase our reliance on such manufacturer or require us to obtain a license from such manufacturer in order to enable us, or to have another third party, manufacture our vaccine candidates. If we are required to change manufacturers for any reason, we will be required to verify that the new manufacturer maintains facilities and procedures that comply with quality standards and with all applicable regulations and guidelines, and we may be required to repeat some of the development program. The delays associated with the verification of a new manufacturer could negatively affect our ability to develop vaccine candidates in a timely manner or within budget.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expect to continue to rely on third-party manufacturers and suppliers, including Lonza and Sutro Biopharma, if we receive regulatory approval for any PCV or any other vaccine candidates. To the extent that we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56</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vaccine candidates, or to do so on commercially reasonable terms, we may not be able to develop and commercialize our vaccine candidates successfully. Our or a third party’s failure to execute on our manufacturing requirements and comply with cGMPs could adversely affect our business in a number of ways, including:</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an inability to initiate or complete clinical trials of vaccine candidates under development;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delay in submitting regulatory applications, or receiving regulatory approvals, for our vaccine candidates;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subjecting third-party manufacturing facilities to additional inspections by regulatory authorities;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requirements to cease distribution or to recall batches of our vaccine candidates;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in the event of approval to market and commercialize a vaccine candidate, an inability to meet commercial demands for our products.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because VAX-24 is our most advanced vaccine candidate, and because our other vaccine candidates are also based on our cell-free protein synthesis platform, if VAX-24 encounters safety or efficacy problems, manufacturing problems, developmental delays, regulatory issues or other problems, our development plans and business would be significantly harmed.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Additionally, we and our contract manufacturers may experience manufacturing difficulties due to limited vaccine manufacturing experience, resource constraints or as a result of labor disputes or unstable political environments. In December 2019, we exercised our right to require Sutro Biopharma to establish a second supplier for extract and custom reagents to support our anticipated clinical and commercial needs. If we or our contract manufacturers were to encounter any of these difficulties, our ability to manufacture sufficient vaccine supply for our preclinical studies and clinical trials, or to provide product for patients once approved, would be jeopardized.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Our vaccine candidates may cause undesirable side effects or have other properties, including interactions with existing vaccine regimens, that could halt their clinical development, prevent their regulatory approval, limit their commercial potential or result in significant negative consequences.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Adverse effects or other undesirable or unacceptable side effects caused by our vaccine candidates could cause us or regulatory authorities to interrupt, delay or halt clinical trials and could result in a more restrictive label or the delay or denial of regulatory approval by the FDA or other comparable foreign regulatory authorities. We have not yet initiated any clinical trials of our vaccine candidates. Results of our clinical trials could reveal a high and unacceptable severity and prevalence of side effects or unexpected characteristics. In such an event, our clinical trials could be suspended or terminated, and the FDA or comparable foreign regulatory authorities could order us to cease further development of or deny approval of our vaccine candidates. Such side effects could also affect trial recruitment or the ability of enrolled subjects to complete the clinical trial or result in potential product liability claims. A data safety monitoring board may also suspend or terminate a clinical trial at any time on various grounds, including a finding that the research volunteers are being exposed to an unacceptable health risk. Vaccine-related side effects could also affect recruitment or the ability of enrolled subjects to complete the trial or result in potential product liability claims. In addition, any vaccine to be approved in pediatric populations may need to undergo extensive vaccine-vaccine interference studies with the standard of care pediatric vaccine regimen. Further, to the extent field efficacy studies are required, prophylactic vaccines typically require clinical testing in thousands to tens of thousands of healthy volunteers to define an approvable benefit-risk profile. The need to show a high degree of safety and tolerability when dosing healthy individuals could result in rare and even spurious safety findings, negatively impacting a program prior to or after commercial launch. Any of these occurrences may harm our business, financial condition and prospects significantly.</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57</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i/>
          <w:sz w:val="20"/>
        </w:rPr>
        <w:t>Negative developments and negative public opinion of new technologies on which we rely may damage public perception of our vaccine candidates or adversely affect our ability to conduct our business or obtain regulatory approvals for our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Negative developments and negative public opinion of new or existing technologies on which we rely may damage public perception of our vaccine candidates or adversely affect our ability to conduct our business or obtain regulatory approvals for our vaccine candidates. Public perception may be influenced by claims that vaccines are unsafe, and products incorporating new vaccine technology may not gain the acceptance of the public or the medical community. Adverse public attitudes may negatively impact our ability to enroll subjects in clinical trials. Moreover, our success will depend upon physicians prescribing, and their patients being willing to receive, our vaccine candidates in lieu of, or in addition to, existing, more familiar vaccines for which greater clinical data may be available. Any increase in negative perceptions of the technologies that we rely on may result in fewer physicians prescribing our products or may reduce the willingness of patients to utilize our products or participate in clinical trials for our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may not be able to file IND applications to commence clinical trials on the timelines we expect, and even if we are able to, the FDA may not permit us to proceed.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timing of submitting IND applications for our product candidates is dependent on preclinical and manufacturing success, and if we experience additional delays, we may fail to meet our anticipated timelines. In addition, we cannot be sure that submission of an IND application or IND application amendment will result in the FDA allowing testing and clinical trials to begin, or that, once begun, issues will not arise that suspend or terminate such clinical trials. Additionally, even if such regulatory authorities agree with the design and implementation of the clinical trials set forth in an IND or clinical trial application, we cannot guarantee that such regulatory authorities will not change their requirements in the future.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may encounter substantial delays in our clinical trials or may not be able to conduct our trials on the timelines we expect.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Clinical testing is expensive, time consuming and subject to uncertainty. We cannot guarantee that any clinical studies will be conducted as planned or completed on schedule, if at all. Even if these trials begin as planned, issues may arise that could suspend or terminate such clinical trials. A failure of one or more clinical studies can occur at any stage of testing, and our future clinical studies may not be successful. Events that may prevent successful or timely completion of clinical development include:</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inability to generate sufficient preclinical, toxicology or other in vivo or in vitro data to support the initiation of clinical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delays in sufficiently developing, characterizing or controlling a manufacturing process suitable for advanced clinical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delays in reaching a consensus with regulatory agencies on study design;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delays in reaching agreement on acceptable terms with prospective contract research organizations, or CROs, and clinical study sites, the terms of which can be subject to extensive negotiation and may vary significantly among different CROs and clinical study sites;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delays in obtaining required institutional review board, or IRB, approval at each clinical study site;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imposition of a temporary or permanent clinical hold by regulatory agencies for a number of reasons, including after review of an IND application or amendment, or equivalent application or amendment; as a result of a new safety finding that presents unreasonable risk to clinical trial participants; a negative finding from an inspection of our clinical study operations or study sites; developments on trials conducted by competitors for related technology that raise FDA concerns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58</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pPr>
      <w:r>
        <w:rPr>
          <w:rFonts w:ascii="Times New Roman" w:hAnsi="Times New Roman"/>
          <w:b w:val="false"/>
          <w:sz w:val="20"/>
        </w:rPr>
        <w:t>about risk to patients of the technology broadly; or if the FDA finds that the investigational protocol or plan is clearly deficient to meet its stated objectives;</w:t>
      </w:r>
      <w:r>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disruptions caused by the COVID-19 pandemic may increase the likelihood that we encounter such difficulties or delays in initiating, enrolling, conducting or completing our planned clinical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delays in adding a sufficient number of trial sites and recruiting volunteers to participate in our clinical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failure by our CROs, other third parties or us, to adhere to clinical study requirements;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failure to perform in accordance with the FDA’s good clinical practice, or GCP, requirements or applicable regulatory guidelines in other jurisdictions;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transfer of manufacturing processes to any new CMO or our own manufacturing facilities or any other development or commercialization partner for the manufacture of vaccine candidates;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delays in having subjects complete participation in a study or return for post-injection follow-up;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subjects dropping out of a study;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occurrence of side effects associated with our vaccine candidates that are viewed to outweigh their potential benefits;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changes in regulatory requirements and guidance that require amending or submitting new clinical protocols;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changes in the standard of care on which a clinical development plan was based, which may require new or additional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cost of clinical trials of our vaccine candidates being greater than we anticipate;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clinical studies of our vaccine candidates producing negative or inconclusive results, which may result in our deciding, or regulators requiring us, to conduct additional clinical studies or abandon product development programs;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delays or failure to secure supply agreements with suitable raw material suppliers, or any failures by suppliers to meet our quantity or quality requirements for necessary raw materials;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delays in manufacturing, testing, releasing, validating or importing/exporting sufficient stable quantities of our vaccine candidates for use in clinical studies or the inability to do any of the foregoing. </w:t>
      </w:r>
    </w:p>
    <w:p>
      <w:pPr>
        <w:pStyle w:val="TextBody"/>
        <w:spacing w:lineRule="auto" w:line="273" w:before="240" w:after="0"/>
        <w:jc w:val="left"/>
        <w:rPr>
          <w:rFonts w:ascii="Times New Roman" w:hAnsi="Times New Roman"/>
          <w:sz w:val="20"/>
        </w:rPr>
      </w:pPr>
      <w:r>
        <w:rPr>
          <w:rFonts w:ascii="Times New Roman" w:hAnsi="Times New Roman"/>
          <w:b w:val="false"/>
          <w:sz w:val="20"/>
        </w:rPr>
        <w:t>Any inability to successfully complete preclinical and clinical development could result in additional costs to us or impair our ability to generate revenue. In addition, if we make manufacturing or formulation changes to our vaccine candidates, we may be required to or we may elect to conduct additional studies to bridge our modified vaccine candidates to earlier versions. Clinical trial delays could also shorten any periods during which our products have patent protection and may allow our competitors to bring products to market before we do, which could impair our ability to successfully commercialize our vaccine candidates and may harm our business and results of operations.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i/>
          <w:sz w:val="20"/>
        </w:rPr>
        <w:t>If we encounter difficulties enrolling subjects in any clinical trials we may conduct, including any field efficacy trials that may be required, our clinical development activities could be delayed or otherwise adversely affected.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may experience difficulties in enrolling subjects in any clinical trials we may conduct for a variety of reasons. The timely completion of clinical trials in accordance with their protocols depends, among other things, on our ability to enroll a sufficient number of subjects who remain in the study until its conclusion. The enrollment of subjects depends on many factors, including:</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eligibility and exclusion criteria defined in the protocol;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size of the population required for analysis of the trial’s primary endpoints;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proximity of volunteers to study sites;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design of the trial;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our ability to recruit clinical trial investigators with the appropriate competencies and experience;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our ability to obtain and maintain subject consents;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ability to monitor volunteers adequately during and after injection;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risk that volunteers enrolled in clinical trials will drop out of the trials before the injection of our vaccine candidates or trial completion; and</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the risks and disruptions caused by the COVID-19 pandemic related to patient and physician investigator recruitment and retention and study site initiation and clinical trial activities.</w:t>
      </w:r>
    </w:p>
    <w:p>
      <w:pPr>
        <w:pStyle w:val="TextBody"/>
        <w:spacing w:lineRule="auto" w:line="273" w:before="240" w:after="0"/>
        <w:jc w:val="left"/>
        <w:rPr>
          <w:rFonts w:ascii="Times New Roman" w:hAnsi="Times New Roman"/>
          <w:sz w:val="20"/>
        </w:rPr>
      </w:pPr>
      <w:r>
        <w:rPr>
          <w:rFonts w:ascii="Times New Roman" w:hAnsi="Times New Roman"/>
          <w:b w:val="false"/>
          <w:sz w:val="20"/>
        </w:rPr>
        <w:t>To the extent we are required to conduct any field efficacy studies, enrollment of a sufficient number of subjects may require additional time and resources given widespread vaccination rates in the United States, particularly in the pediatric population. As a result, we may be required to conduct any such trials outside the United States, which could cause additional complexity and delay. Delays in enrollment may result in increased costs or may affect the timing or outcome of any clinical trials we may conduct, which could prevent completion of these trials and adversely affect our ability to advance the development of our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From time to time, we may publish interim topline or preliminary data from our preclinical or clinical trials. Interim data from clinical trials that we may complete are subject to the risk that one or more of the clinical outcomes may materially change as patient enrollment continues and more patient data become available. We also make assumptions, estimations, calculations and conclusions as part of our analyses of data, and we may not have received or had the opportunity to fully and carefully evaluate all data when we publish such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may publish. As a result, interim and preliminary data should be viewed with caution until the final data are available. Adverse differences between preliminary or interim data and final data could significantly harm our business prospects.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vaccine candidate and our company in general. In addition, the information we choose to publicly disclose regarding a</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vaccine candidate or our business. If the topline data that we report differ from final results, or if others, including regulatory authorities, disagree with the conclusions reached, our ability to obtain approval for, and commercialize, vaccine candidates may be harmed, which could significantly harm our business prospects.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may seek breakthrough therapy designation or fast track designation by the FDA for one or more of our vaccine candidates, but we may not receive such designation, and even if we do, such designation may not lead to a faster development or regulatory review or approval process and it does not increase the likelihood that our vaccine candidates will receive marketing approval.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may seek breakthrough therapy or fast track designation for some of our vaccine candidates. A sponsor may seek FDA designation of its vaccine candidate as a breakthrough therapy if the vaccine candidate is intended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vaccines that have been designated as breakthrough therapies, the FDA may take actions to expedite the development and review of the application, and interaction and communication between the FDA and the sponsor of the trial can help to identify the most efficient path for clinical development while minimizing the number of patients placed in ineffective control regimens.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 vaccine designated as a breakthrough therapy by the FDA may also be eligible for expedited review and approval. If a vaccine candidate is intended for the treatment of a serious or life-threatening condition and clinical or preclinical data demonstrate the potential to address unmet medical needs for this condition, the sponsor may apply for fast track designation. The FDA has broad discretion whether or not to grant this designation, so even if we believe a particular vaccine candidate is eligible for this designation, we cannot assure you that the FDA would decide to grant it.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Even if we obtain fast track designation for one or more of our vaccine candidates, we may not experience a faster development process, review or approval compared to non-expedited FDA review procedures. In addition, the FDA may withdraw fast track designation if it believes that the designation is no longer supported. Fast track designation alone does not guarantee qualification for the FDA’s priority review procedures.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Whether to grant breakthrough therapy or fast track designation is within the discretion of the FDA. Accordingly, even if we believe one of our vaccine candidates meets the criteria for these designations, the FDA may disagree and instead determine not to make such designation. In any event, the receipt of either of these designations for a vaccine candidate may not result in a faster development process, review or approval compared to vaccine candidates considered for approval under non-expedited FDA review procedures and does not assure ultimate approval by the FDA. In addition, even if one or more of our vaccine candidates qualify for either of these designations, the FDA may later decide that the vaccine candidate no longer meets the conditions for qualification.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currently have no marketing and sales organization, and as an organization have no experience in marketing products. If we are unable to establish marketing and sales capabilities or enter into agreements with third parties to market and sell our vaccine candidates, we may not be able to generate product revenue.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currently have no sales, marketing or distribution capabilities and as an organization have no experience in marketing products. If we develop an in-house marketing organization and sales force, we will require significant capital expenditures, management resources and time, and we will have to compete with other pharmaceutical and biotechnology companies to recruit, hire, train and retain marketing and sales personnel.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we are unable or decide not to establish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61</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which may not be successful. We may have little or no control over the marketing and sales efforts of such third parties and our revenue from product sales may be lower than if we had commercialized our vaccine candidates ourselves. We also face competition in our search for third parties to assist us with the sales and marketing efforts of our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There can be no assurance that we will be able to develop in-house sales and distribution capabilities or establish or maintain relationships with third-party collaborators to commercialize any product that receives regulatory approval in the United States or overseas. If we are unable to develop in-house sales and distribution capabilities or enter into relationships with third-party collaborators on acceptable terms or at all, we may not be able to successfully commercialize our products. If we are not successful in commercializing our products or any future products, either on our own or through arrangements with one or more third parties, we may not be able to generate any future product revenue and we would incur significant additional losses.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A variety of risks associated with potentially conducting research and clinical trials abroad and marketing our vaccine candidates internationally could materially adversely affect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As we pursue approval and commercialization for our vaccine candidates overseas and conduct CMC and other operations overseas, we will be subject to additional risks related to operating in foreign countries, including:</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differing regulatory requirements in foreign countries;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unexpected changes in tariffs, trade barriers, price and exchange controls and other regulatory requirements;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increased difficulties in managing the logistics and transportation of storing and shipping vaccine candidates abroad;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import and export requirements and restrictions;</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differing and changing data protection and privacy regimes and requirements;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economic weakness, including inflation, or political instability in particular foreign economies and markets;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compliance with tax, employment, immigration and labor laws for employees living or traveling abroad;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foreign taxes, including withholding of payroll taxes;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foreign currency fluctuations, which could result in increased operating expenses and reduced revenue, and other obligations incident to doing business in another country;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difficulties staffing and managing foreign operations;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workforce uncertainty in countries where labor unrest is more common than in the United States;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differing payor reimbursement regimes, governmental payors or patient self-pay systems and price controls;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potential liability under the U.S. Foreign Corrupt Practices Act of 1977, as amended, or comparable foreign regulations;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62</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production shortages resulting from any events affecting raw material supply or manufacturing capabilities abroad;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business interruptions resulting from geopolitical actions, including war and terrorism. </w:t>
      </w:r>
    </w:p>
    <w:p>
      <w:pPr>
        <w:pStyle w:val="TextBody"/>
        <w:spacing w:lineRule="auto" w:line="273" w:before="240" w:after="0"/>
        <w:jc w:val="left"/>
        <w:rPr>
          <w:rFonts w:ascii="Times New Roman" w:hAnsi="Times New Roman"/>
          <w:sz w:val="20"/>
        </w:rPr>
      </w:pPr>
      <w:r>
        <w:rPr>
          <w:rFonts w:ascii="Times New Roman" w:hAnsi="Times New Roman"/>
          <w:b w:val="false"/>
          <w:sz w:val="20"/>
        </w:rPr>
        <w:t>These and other risks associated with our international operations and our collaborations with Lonza, based in Switzerland, may materially adversely affect our ability to attain or maintain profitable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are highly dependent on our key personnel, and if we are not able to retain these members of our management team or recruit and retain highly qualified personnel, we may not be able to successfully implement our business strategy.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our President and Chief Financial Officer, our Vice President of Research and our Chief Operating Officer. The loss of the services of any of our executive officers, other key employees and other scientific and medical advisors, and our inability to find suitable replacements, could result in delays in product development and harm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conduct substantially all of our operations at our facilities in the San Francisco Bay Area. This region is headquarters to many other biopharmaceutical companies and many academic and research institutions. Competition for skilled personnel in our market is intense and may limit our ability to hire and retain highly qualified personnel on acceptable terms or at all.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and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have grown rapidly and will need to continue to grow the size of our organization, and we may experience difficulties in managing this growth.</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As our discovery, development and commercialization plans and strategies develop, we have rapidly expanded our employee base and expect to continue to add managerial, operational, sales, research and development, marketing, financial and other personnel. Current and future growth imposes significant added responsibilities on members of management, including:</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identifying, recruiting, integrating, maintaining and motivating additional employees;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managing our internal development efforts effectively, including the clinical and FDA review process for our vaccine candidates, while complying with our contractual obligations to contractors and other third parties;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improving our operational, financial and management controls, reporting systems and procedures.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63</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Our future financial performance and our ability to commercialize our vaccine candidates will depend, in part, on our ability to effectively manage our growth. Our management may also have to divert a disproportionate amount of its attention away from day-to-day activities in order to devote a substantial amount of time to managing these growth activities.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we are not able to effectively expand our organization by hiring new employees and expanding our groups of consultants and contractors, we may not be able to successfully implement the tasks necessary to further develop and commercialize our vaccine candidates and, accordingly, may not achieve our research, development and commercialization goals.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Obtaining and maintaining regulatory approval of our vaccine candidates in one jurisdiction does not mean that we will be successful in obtaining regulatory approval of our vaccine candidates in other jurisdictions.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Obtaining and maintaining regulatory approval of our vaccine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vaccine candidate, comparable regulatory authorities in foreign jurisdictions must also approve the manufacturing, marketing and promotion of the vaccine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vaccine candidate must be approved for reimbursement before it can be approved for sale in that jurisdiction. In some cases, the price that we intend to charge for our products is also subject to approval.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may also submit marketing applications in other countries. Regulatory authorities in jurisdictions outside of the United States have requirements for approval of vaccine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vaccine candidates will be harmed.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may form or seek strategic alliances or enter into additional licensing arrangements in the future, and we may not realize the benefits of such alliances or licensing arrangements.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may form or seek strategic alliances, create joint ventures or collaborations or enter into additional licensing arrangements with third parties that we believe will complement or augment our discovery, development and commercialization efforts with respect to our vaccine candidates and any future vaccine candidates that we may seek to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vaccine candidates because they may be deemed to be at too early of a stage of development for collaborative effort, and third parties may not view our vaccine candidates as having the requisite potential to demonstrate safety and efficacy. Any delays in entering into new strategic partnership agreements related to our vaccine candidates could delay the development and commercialization of our vaccine candidates in certain geographies for certain indications, which would harm our business prospects, financial condition and results of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we license products or businesses, we may not be able to realize the benefit of such transactions if we are unable to successfully integrate them with our existing operations and company culture. We cannot be certain that, following a strategic transaction or license, we will achieve the results, revenue or specific net income that justifies such transaction.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64</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i/>
          <w:sz w:val="20"/>
        </w:rPr>
        <w:t>Revenue from any “catch up” opportunity may decline over time as more of the patient population is vaccinated.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intend to initially seek approval of our VAX-24 vaccine candidate in adults. If approved, we believe it may have the potential to serve as a “catch up” or booster to those adults who have previously received Pneumovax 23 or a lower-valent PCV. Previous vaccines with a “catch up” opportunity have seen a high initial capture rate, but sales may decline over time as the number of individuals who remain unvaccinated with the new vaccine, and eligible for “catch up” opportunities, declines. Such decline could adversely affect our revenue over time.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If our security measures, or those maintained on our behalf by CROs, service providers or other third parties, are compromised now, or in the future, or the security, confidentiality, integrity or availability of our information technology, software, services, networks, communications or data is compromised, limited or fails, this could result in significant fines or other liability, interrupt our development programs, harm our reputation, or otherwise adversely affect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the ordinary course of our business, we may collect, use, retain, safeguard, disclose, share, transfer or otherwise process proprietary, confidential and sensitive information, including personal data (including, key-coded data, health information and other special categories of personal data), intellectual property, trade secrets, and proprietary business information owned or controlled by ourselves or other parties (collectively, “Sensitive Information”).</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may use third-party service providers and subprocessors to help us operate our business and engage in processing on our behalf. We may also share Sensitive Information with our partners or other third parties in connection with our business. Our ability to monitor these third parties’ cybersecurity practices is limited, and these third parties may not have adequate information security measures in place.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Cyberattacks, malicious internet-based activity and online and offline fraud are prevalent and continue to increase. In addition to traditional computer “hackers”; threat actors; software bugs; malicious code (such as viruses and worms); employee error, theft or misuse; denial-of-service attacks (such as credential stuffing); advanced persistent threat intrusions; natural disasters; terrorism; war; telecommunication and electrical failures; and ransomware attacks, sophisticated nation-state and nation-state supported actors are threats to our information technology assets and data.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We may also be the subject of server malfunction, software or hardware failures, supply-chain cyberattacks, loss of data or other computer assets and other similar issues. Additionally, the increased usage of computers operated on home networks due to the shelter-in-place or similar restrictions related to the COVID-19 pandemic may make our systems more susceptible to security breaches. 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data and could disrupt our ability (and that of third parties upon whom we rely) to provide our products or operate our business.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Despite our efforts to identify and remediate vulnerabilities, if any, in our information technology systems, our efforts may not be successful. Further, we may experience delays in developing and deploying remedial measures designed to address any such identified vulnerabilities.</w:t>
      </w:r>
    </w:p>
    <w:p>
      <w:pPr>
        <w:pStyle w:val="TextBody"/>
        <w:spacing w:lineRule="auto" w:line="273" w:before="240" w:after="0"/>
        <w:jc w:val="left"/>
        <w:rPr>
          <w:rFonts w:ascii="Times New Roman" w:hAnsi="Times New Roman"/>
          <w:sz w:val="20"/>
        </w:rPr>
      </w:pPr>
      <w:r>
        <w:rPr>
          <w:rFonts w:ascii="Times New Roman" w:hAnsi="Times New Roman"/>
          <w:b w:val="false"/>
          <w:sz w:val="20"/>
        </w:rPr>
        <w:t>We may be required to expend significant resources, fundamentally change our business activities and practices, or modify our operations, including our clinical trial activities, or information technology in an effort to protect against security breaches and to mitigate, detect and remediate actual or potential vulnerabilities. While we have not experienced any such material system failure or security breach to date, if we (or a third party upon whom</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rely) experience a security incident or are perceived to have experienced a security incident, we may experience adverse consequences, including interruptions in our operations, which could result in a material disruption of our development programs and our business operations.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and commercialization of our vaccine candidates could be delayed. Furthermore, consequences from an actual or perceived security breach may include: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platform/products/services, deter new customers from using our products, and negatively impact our ability to grow and operate our business.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Additionally, applicable data protection requirements, including, without limitation, laws, regulations, guidance as well as our internal and external policies and our contractual obligations, may require us to notify relevant stakeholders of security breaches, including affected individuals, partners, collaborators, regulators, law enforcement agencies, credit reporting agencies and others. Such disclosures are costly, and the disclosure or the failure to comply with such requirements could lead to litigation or other liability, fines, harm to our reputation, significant costs, or other materially adverse effects. There can be no assurance that any limitations or exclusions of liability in our contracts would be enforceable or adequate or protect us from liability or damages.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cannot be sure that our insurance coverage, if any, will be adequate or otherwise protect us from or adequately mitigate liabilities or damages with respect to claims, costs, expenses, litigation, fines, penalties, business loss, data loss, regulatory actions or other materially adverse impacts arising out of our processing activities, privacy and security practices, or security breaches we may experience. The successful assertion of one or more large claims against use that exceeds our available insurance coverage, or results in changes to our insurance policies (including premium increases or the imposition of large excess or deductible or co-insurance requirements), could result in substantial cost increase or prevent us from obtaining insurance on acceptable terms.</w:t>
      </w:r>
    </w:p>
    <w:p>
      <w:pPr>
        <w:pStyle w:val="TextBody"/>
        <w:spacing w:lineRule="auto" w:line="273" w:before="240" w:after="0"/>
        <w:jc w:val="left"/>
        <w:rPr>
          <w:rFonts w:ascii="Times New Roman" w:hAnsi="Times New Roman"/>
          <w:sz w:val="20"/>
        </w:rPr>
      </w:pPr>
      <w:r>
        <w:rPr>
          <w:rFonts w:ascii="Times New Roman" w:hAnsi="Times New Roman"/>
          <w:b/>
          <w:i/>
          <w:sz w:val="20"/>
        </w:rPr>
        <w:t>Business disruptions could seriously harm our future revenue and financial condition and increase our costs and expenses.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operations, and those of our CMOs,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impact of climate change may increase these risks due to changes in weather patterns, such as increases in storm intensity, sea-level rise, melting of permafrost and temperature extremes on facilities or operations. The occurrence of any of these business disruptions could seriously harm our operations and financial condition and increase our costs and expenses.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ability to manufacture our vaccine candidates could be disrupted if our operations or those of our suppliers are affected by a man-made or natural disaster or other business interruption, including the COVID-19 pandemic.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Health epidemics, including the effects of the ongoing COVID-19 pandemic, have impacted and could continue to impact our business, including in regions where we or third parties on which we rely have significant manufacturing facilities, concentrations of potential clinical trial sites or other business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Health epidemics could adversely impact our business, including in regions where we have concentrations of potential clinical trial sites or other business operations, and cause significant disruption in the operations of our contract manufacturer and other third parties upon whom we rely. For example, the COVID-19</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66</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pandemic has presented a substantial public health and economic challenge around the world and is affecting employees, patients, communities and business operations, as well as the U.S. economy and financial markets. Our headquarters is located in the San Francisco Bay Area, and our contract manufacturer, Lonza, is located in Switzerland. Many geographic regions have imposed, or in the future may impose, “shelter-in-place” orders, quarantines or similar orders or restrictions to control the spread of COVID-19. At present, we have implemented work-from-home policies for all of our non-lab employees. We recently began to allow non-lab-based employees who have been fully vaccinated to return to the office on a voluntary and limited basis. The effects of these orders and our work-from-home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 In connection with these measures, we may be subject to claims based upon, arising out of or related to COVID-19 and our actions and responses thereto, including any determinations that we may make to continue to operate or to re-open our facilities where permitted by applicable law. These and similar, and perhaps more severe, disruptions in our operations could negatively impact our business, financial condition, results of operations and growth prospects.</w:t>
      </w:r>
    </w:p>
    <w:p>
      <w:pPr>
        <w:pStyle w:val="TextBody"/>
        <w:spacing w:lineRule="auto" w:line="273" w:before="240" w:after="0"/>
        <w:jc w:val="left"/>
        <w:rPr>
          <w:rFonts w:ascii="Times New Roman" w:hAnsi="Times New Roman"/>
          <w:sz w:val="20"/>
        </w:rPr>
      </w:pPr>
      <w:r>
        <w:rPr>
          <w:rFonts w:ascii="Times New Roman" w:hAnsi="Times New Roman"/>
          <w:b w:val="false"/>
          <w:sz w:val="20"/>
        </w:rPr>
        <w:t>Moreover, we rely on third parties to supply raw materials and manufacture our preclinical and clinical product supplies of our vaccine candidates, and we cannot guarantee that they will continue to perform their contractual duties in a timely and satisfactory manner as a result of the COVID-19 pandemic. In addition, quarantines, shelter-in-place and similar government orders could impact personnel at third-party manufacturing facilities in the United States and other countries, or the availability or cost of materials, which would disrupt our supply chain. For example, the COVID-19 pandemic slowed raw material supply chains and travel restrictions delayed the qualification of key analytical equipment used in manufacturing and curtailed in-person CMO oversight of manufacturing.</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Some of our suppliers of certain materials used in the production of our vaccine candidates are located in Europe. Any manufacturing supply interruption at Lonza’s facilities in Switzerland could adversely affect our ability to produce our vaccine candidates for use in the conduct of our preclinical studies or clinical trials. In any event, if the COVID-19 pandemic continues and persists for an extended period of time or more acutely impacts geographies with particular impact on our business, we could experience significant disruptions to our preclinical and clinical development timelines, which would adversely affect our business, financial condition, results of operations and growth prospects.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our planned clinical trials may be affected by the COVID-19 pandemic. Site initiation and subject enrollment may be delayed due to prioritization of hospital resources toward the COVID-19 pandemic. Some subjects may not be able to comply with clinical trial protocols if quarantines impede their movement or interrupt healthcare services. Similarly, our ability to recruit and retain subjects and principal investigators and site staff who, as healthcare providers, may have heightened exposure to COVID-19, may adversely impact our planned clinical trial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Furthermore, while the potential economic impact brought by, and the duration of, the COVID-19 pandemic may be difficult to assess or predict, the pandemic could result in significant and prolonged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While we expect the COVID-19 pandemic to continue to adversely affect our business operations, the extent of the impact on our development and regulatory efforts and the future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United States and in other countries, and the effectiveness of actions taken globally to contain and treat COVID-19. Although some COVID-19 related restrictions have eased since March 2020, the recent surge of infections and the emergence of new strains of COVID-19 has led to a rise in hospitalization rates and concomitant new restrictions imposed by governments. In addition, to the extent the evolving effects of the COVID-19 pandemic adversely affects our business and results of operations, it may also have the effect of heightening many of the other risks and uncertainties described elsewhere in this “Risk Factors” section.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67</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i/>
          <w:sz w:val="20"/>
        </w:rPr>
        <w:t>If product liability lawsuits are brought against us, we may incur substantial liabilities and may be required to limit commercialization of our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face an inherent risk of product liability as a result of the clinical testing of our vaccine candidates and will face an even greater risk if we commercialize any products. For example, we may be sued if our vaccine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vaccine candidates. Even successful defense would require significant financial and management resources. Regardless of the merits or eventual outcome, liability claims may result in:</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decreased demand for our vaccine candidates;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injury to our reputation;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withdrawal of clinical trial participants;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initiation of investigations by regulators;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costs to defend the related litigation;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 diversion of management’s time and our resources;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substantial monetary awards to trial participants or patients;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product recalls, withdrawals or labeling, marketing or promotional restrictions;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loss of revenue;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exhaustion of any available insurance and our capital resources;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inability to commercialize any vaccine candidate;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a decline in our share price. </w:t>
      </w:r>
    </w:p>
    <w:p>
      <w:pPr>
        <w:pStyle w:val="TextBody"/>
        <w:spacing w:lineRule="auto" w:line="273" w:before="240" w:after="0"/>
        <w:jc w:val="left"/>
        <w:rPr>
          <w:rFonts w:ascii="Times New Roman" w:hAnsi="Times New Roman"/>
          <w:sz w:val="20"/>
        </w:rPr>
      </w:pPr>
      <w:r>
        <w:rPr>
          <w:rFonts w:ascii="Times New Roman" w:hAnsi="Times New Roman"/>
          <w:b w:val="false"/>
          <w:sz w:val="20"/>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Assuming we obtain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Our employees, principal investigators, consultants and commercial partners may engage in misconduct or other improper activities, including noncompliance with regulatory standards and requirements and insider trading.</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are exposed to the risk of fraud or other misconduct by our employees, principal investigators, consultants and commercial partners. Misconduct by these parties could include intentional failures, reckless and/or negligent conduct or unauthorized activities that violate (i) the laws and regulations of the FDA and other regulatory authorities, including those laws requiring the reporting of true, complete and accurate information to such authorities, (ii) manufacturing standards, (iii) federal and state data privacy, security, fraud and abuse and other</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68</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healthcare laws and regulations in the United States and abroad and (iv)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individually identifiable information, including, without limitation,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Changes in tax laws or tax rulings could affect our financial position.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December 2017, the Tax Cuts and Jobs Act, or Tax Act, was signed into law. The Tax Act, among other things, contains significant changes to corporate taxation, including (i) reduction of the corporate tax rate from a top marginal rate of 35% to a flat rate of 21%, (ii) limitation of the tax deduction for interest expense to 30% of adjusted earnings (with certain exceptions, including for certain small businesses), (iii) limitation of the deduction for post-2017 net operating losses, or NOLs, to 80% of current-year taxable income and elimination of net operating loss carrybacks for post-2017 NOLs, (iv) immediate deductions for certain new investments instead of deductions for depreciation expense over time and (v) modifying or repealing many business deductions and credits (including reducing the business tax credit for certain clinical testing expenses incurred in the testing of certain drugs for rare diseases or conditions generally referred to as “orphan drugs”).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March 2020, the Coronavirus Aid, Relief, and Economic Security, or CARES, Act was signed into law. The CARES Act changed certain provisions of the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eliminated the limitation on the deduction of NOLs to 80% of current year taxable income for taxable years beginning before January 1, 2021, and increased the amount of interest expense that may be deducted to 50% of adjusted taxable income for taxable years beginning in 2019 or 2020. We continue to examine the impact the Tax Act may have on our business. Notwithstanding the reduction in the corporate income tax rate, the overall impact of the Tax Act is uncertain and our business, financial condition, results of operations and prospects could be adversely affected. We urge our stockholders to consult with their legal and tax advisors with respect to the Tax Act and the tax consequences of investing in our common stock.</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On June 29, 2020, California Assembly Bill 85 (AB 85) was signed into law, which suspends the use of net operating losses and limits the use of research tax credits for 2020, 2021 and 2022. There may be periods during which the use of NOLs is suspended or otherwise limited, and limitation on the use of certain tax credits to offset California income and tax liabilities could accelerate or permanently increase state taxes owed. The Company continues to examine the impact this may have on our business.</w:t>
      </w:r>
    </w:p>
    <w:p>
      <w:pPr>
        <w:pStyle w:val="TextBody"/>
        <w:spacing w:lineRule="auto" w:line="273" w:before="240" w:after="0"/>
        <w:jc w:val="left"/>
        <w:rPr>
          <w:rFonts w:ascii="Times New Roman" w:hAnsi="Times New Roman"/>
          <w:sz w:val="20"/>
        </w:rPr>
      </w:pPr>
      <w:r>
        <w:rPr>
          <w:rFonts w:ascii="Times New Roman" w:hAnsi="Times New Roman"/>
          <w:b w:val="false"/>
          <w:sz w:val="20"/>
        </w:rPr>
        <w:t>On December 21, 2020, the President of the United States signed into law the “Consolidated Appropriations Act, 2021,” which includes further COVID-19 economic relief and extension of certain expiring tax provisions. The relief package includes a tax provision clarifying that businesses with forgiven Paycheck Protection Program, or PPP, loans can deduct regular business expenses that are paid for with the loan proceeds. Additional pandemic relief tax measures include an expansion of the employee retention credit, enhanced charitable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contribution deductions and a temporary full deduction for business expenses for food and beverages provided by a restaurant.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Our ability to utilize our net operating loss carryforwards and certain other tax attributes may be limited.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incurred substantial losses since inception and do not expect to become profitable in the near future, if ever. As of December 31, 2021, we had federal and state NOL carryforwards of $296.7 million and $262.7 million, respectively. The federal and state loss carryforwards, except the federal loss</w:t>
      </w:r>
      <w:r>
        <w:rPr>
          <w:rFonts w:ascii="Times New Roman" w:hAnsi="Times New Roman"/>
          <w:sz w:val="20"/>
        </w:rPr>
        <w:t xml:space="preserve"> </w:t>
      </w:r>
      <w:r>
        <w:rPr>
          <w:rFonts w:ascii="Times New Roman" w:hAnsi="Times New Roman"/>
          <w:b w:val="false"/>
          <w:sz w:val="20"/>
        </w:rPr>
        <w:t>carryforward arising in tax years beginning after December 31, 2017, begin to expire in 2034 unless previously utilized. Federal NOLs arising in tax years beginning after December 31, 2017 have an indefinite carryforward period and do not expire. As of December 31, 2021, we also had federal and state research credit carryforwards of $2.2 million and $1.6 million, respectively. The federal research and development tax credit carryforwards expire beginning in 2039 unless previously utilized, and the state research and development tax credits can be carried forward indefinitely. In general, under Sections 382 and 383 of the U.S. Internal Revenue Code of 1986, as amended, a corporation that undergoes an “ownership change” (generally defined as a greater than 50 percentage point change (by value) in its equity ownership by certain stockholders over a rolling three-year period) is subject to limitations on its ability to utilize its pre-change NOLs to offset future taxable income. We have experienced ownership changes in the past. As a result of the ownership changes, we have determined that approximately less than $0.1 million of our federal research credits will expire unutilized, and such amounts are excluded from our research carryforwards as of December 31, 2021. We do not expect any ownership changes during the year ended December 31, 2021 to result in a limitation that would materially reduce the total amount of net operating loss carryforwards and credits that can be utilized. Subsequent ownership changes may affect the limitation in future years. As a result, if, and to the extent that we earn net taxable income, our ability to use our pre-change NOLs to offset such taxable income may be subject to limitations.</w:t>
      </w:r>
    </w:p>
    <w:p>
      <w:pPr>
        <w:pStyle w:val="TextBody"/>
        <w:spacing w:lineRule="auto" w:line="273" w:before="240" w:after="0"/>
        <w:jc w:val="left"/>
        <w:rPr>
          <w:rFonts w:ascii="Times New Roman" w:hAnsi="Times New Roman"/>
          <w:sz w:val="20"/>
        </w:rPr>
      </w:pPr>
      <w:r>
        <w:rPr>
          <w:rFonts w:ascii="Times New Roman" w:hAnsi="Times New Roman"/>
          <w:b/>
          <w:i/>
          <w:sz w:val="20"/>
        </w:rPr>
        <w:t>Our insurance policies may be inadequate and potentially expose us to unrecoverable risks.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Although we intend to maintain product liability insurance coverage, such insurance may not be adequate to cover all liabilities that we may incur. We anticipate that we will need to increase our insurance coverage each time we commence a clinical trial and if we successfully commercialize any vaccine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Conditions in the insurance markets relating to nearly all areas of traditional corporate insurance change rapidly and may result in higher premium costs, higher policy deductibles and lower coverage limits. For some risks, we may not have or maintain insurance coverage because of cost or availability.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Risks Related to Our Reliance on Third Parties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rely and will continue to rely on third parties to conduct our preclinical studies and clinical trials. If these third parties do not successfully carry out their contractual duties or meet expected deadlines, we may not be able to obtain regulatory approval of or commercialize our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currently do not have the ability to independently conduct preclinical or clinical studies that comply with the regulatory requirements known as good laboratory practices and GCP. The FDA and regulatory authorities in other jurisdictions require us to comply with GCP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independent investigators and collaborators, such as universities, medical institutions, CROs and strategic partners, to conduct our preclinical and clinical trials under agreements with us.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will need to negotiate budgets and contracts with CROs and study sites, which may result in delays to our development timelines and increased costs. We will rely heavily on these third parties over the course of our clinical trials, and we control only certain aspects of their activities. Nevertheless, we are responsible for ensuring that each of our studies is conducted in accordance with applicable protocol and legal, regulatory and scientific</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standards, and our reliance on third parties does not relieve us of our regulatory responsibilities. We and these third parties are required to comply with GCPs, which are regulations and guidelines enforced by the FDA and comparable foreign regulatory authorities for vaccine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There can be no assurance that, upon inspection, such regulatory authorities will determine that any of our clinical trials comply with the GCP regulations. In addition, our clinical trials must be conducted with biologic product produced under cGMPs and will require a large number of test subjects. Our failure or any failure by these third parties to comply with these regulations or to recruit a sufficient number of subjects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Any third parties conducting our preclinical studies and clinical trials will not be our employees and, except for remedies available to us under our agreements with such third parties, we cannot control whether or not they devote sufficient time and resources to our programs.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vaccine candidates. As a result, our financial results and the commercial prospects for our vaccine candidates would be harmed, our costs could increase and our ability to generate revenue could be delayed.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any of our relationships with trial sites or any CRO that we may use in the future terminate, we may not be able to enter into arrangements with alternative trial sites or CROs or do so on commercially reasonable terms. Switching or adding third parties to conduct our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rely on third parties, including Sutro Biopharma and Lonza, to supply raw materials and manufacture our preclinical and clinical product supplies of our vaccine candidates, and expect to rely on third parties to supply raw materials and produce and process our vaccine candidates, if approved. The loss of these suppliers or their failure to comply with applicable regulatory requirements or provide us with sufficient quantities at acceptable quality levels or prices, or at all, would materially and adversely affect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do not have nor do we plan to build or acquire the infrastructure or capability internally to manufacture supplies for our vaccine candidates or the materials necessary to produce our vaccine candidates for use in the conduct of our preclinical studies or clinical trials, and we lack the internal resources and the capability to manufacture any of our vaccine candidates on a preclinical, clinical or commercial scale. We have entered into an agreement with Sutro Biopharma to supply us with extract and custom reagents for use in manufacturing non-clinical and certain clinical supply of vaccine compositions. We have engaged Lonza to perform manufacturing process development and clinical manufacture and supply of components for VAX-24, including the manufacture of polysaccharide antigens, our proprietary eCRM protein carrier and conjugated drug substances. We also engaged Lonza to perform manufacturing process development and clinical manufacture and supply of VAX-24 finished drug product. Our agreements with Lonza are denominated in Swiss Francs. Fluctuations in the exchange rate for Swiss Francs may increase our costs and affect our operating results.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intend to engage with Lonza and other outside vendors to manufacture supplies for our vaccine candidates. Lonza is currently in the process of manufacturing our vaccine candidates on a clinical scale. We have not yet caused our vaccine candidates to be manufactured on a commercial scale and may not be able to achieve commercial scale manufacturing and may be unable to create an inventory of mass-produced product to satisfy demands for any of our vaccine candidates.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71</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We do not yet have sufficient information to reliably estimate the cost of the commercial manufacturing and processing of our vaccine candidates, and the actual cost to manufacture and process our vaccine candidates could materially and adversely affect the commercial viability of our vaccine candidates. As a result, we may never be able to develop a commercially viable product.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our anticipated reliance on a limited number of third-party suppliers and manufacturers exposes us to the following risks:</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Our third-party suppliers and manufacturers might be unable to timely formulate and manufacture or supply raw materials for our vaccine candidates or produce the quantity and quality required to meet our clinical and commercial needs, if any.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Contract manufacturers may not be able to execute our manufacturing procedures appropriately.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Our future contract manufacturers may not perform as agreed or may not remain in the contract manufacturing business for the time required to supply our clinical trials or to successfully produce, store and distribute our products.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We may not own, or may have to share, the intellectual property rights to any improvements made by our third-party manufacturers in the manufacturing process for our products.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Our third-party suppliers and manufacturers could breach or terminate their agreement with us. </w:t>
      </w:r>
    </w:p>
    <w:p>
      <w:pPr>
        <w:pStyle w:val="TextBody"/>
        <w:spacing w:lineRule="auto" w:line="273" w:before="240" w:after="0"/>
        <w:jc w:val="left"/>
        <w:rPr>
          <w:rFonts w:ascii="Times New Roman" w:hAnsi="Times New Roman"/>
          <w:sz w:val="20"/>
        </w:rPr>
      </w:pPr>
      <w:r>
        <w:rPr>
          <w:rFonts w:ascii="Times New Roman" w:hAnsi="Times New Roman"/>
          <w:b w:val="false"/>
          <w:sz w:val="20"/>
        </w:rPr>
        <w:t>Each of these risks could delay our clinical trials, the approval, if any, of our vaccine candidates by the FDA or the commercialization of our vaccine candidates, or result in higher costs or deprive us of potential product revenue. In addition, we will rely on third parties to perform release tests on our vaccine candidates prior to delivery to patients. If these tests are not appropriately done and test data are not reliable, patients could be put at risk of serious harm.</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If we or our third-party suppliers use hazardous, non-hazardous, biological or other materials in a manner that causes injury or violates applicable law, we may be liable for damages.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research and development activities involve the controlled use of potentially hazardous substances, including chemical and biological materials. We and our suppliers are subject to federal, state and local laws and regulations in the United States governing the use, manufacture, storage, handling and disposal of medical and hazardous materials. Although we believe that we and our suppliers’ procedures for using, handling, storing and disposing of these materials comply with legally prescribed standards, we and our suppliers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72</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sz w:val="20"/>
        </w:rPr>
        <w:t>Risks Related to Government Regulation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The FDA regulatory approval process is lengthy and time-consuming, and we may experience significant delays in the clinical development and regulatory approval of our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research, testing, manufacturing, labeling, approval, selling, import, export, marketing and distribution of drug products, including biologics such as conjugate vaccines, are subject to extensive regulation by the FDA and other regulatory authorities in the United States. We expect that our vaccine candidates will be regulated by the FDA as biologics. We are not permitted to market any biological drug product in the United States until we receive approval of a Biologics License Application, or BLA, from the FDA. We have not previously submitted a BLA to the FDA, or similar approval filings to comparable foreign regulatory authorities. A BLA must include extensive preclinical and clinical data and supporting information to establish the vaccine candidate’s safety and effectiveness for each desired indication. Further, because our vaccine candidates that are subject to regulation as biological drug products, we will need to demonstrate that they are safe, pure and potent for use in their target indications. The BLA must also include significant information regarding the CMC for the product, including with respect to chain of identity and chain of custody of the product.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Clinical testing is expensive and can take many years to complete, and its outcome is inherently uncertain. Failure can occur at any time during the clinical trial process. The results of preclinical studies of our vaccine candidates may not be predictive of the results of early-stage or later-stage clinical trials, and results of early clinical trials of our vaccine candidates may not be predictive of the results of later-stage clinical trials. The results of clinical trials in one set of patients or indications may not be predictive of those obtained in another. In some instances, there can be significant variability in safety or efficacy results between different clinical trials of the same vaccine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Vaccine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vaccine candidates that begin clinical trials are never approved by regulatory authorities for commercialization. In addition, even if such clinical trials are successfully completed, we cannot guarantee that the FDA or foreign regulatory authorities will interpret the results as we do, and more trials could be required before we submit a BLA or other marketing application.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may also experience delays in completing planned clinical trials for a variety of reasons, including delays related to:</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obtaining regulatory authorization to begin a trial, if applicable;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availability of financial resources to commence and complete the planned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reaching agreement on acceptable terms with prospective CROs and clinical trial sites, the terms of which can be subject to extensive negotiation and may vary significantly among different CROs and trial sites;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obtaining approval at each clinical trial site by an independent IRB;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recruiting suitable volunteers to participate in and complete a trial;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clinical trial sites deviating from trial protocol or dropping out of a trial;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addressing any safety concerns that arise during the course of a trial;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adding new clinical trial sites; or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73</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manufacturing sufficient quantities of qualified materials under cGMPs and applying them for use in clinical trials. </w:t>
      </w:r>
    </w:p>
    <w:p>
      <w:pPr>
        <w:pStyle w:val="TextBody"/>
        <w:spacing w:lineRule="auto" w:line="273" w:before="240" w:after="0"/>
        <w:jc w:val="left"/>
        <w:rPr>
          <w:rFonts w:ascii="Times New Roman" w:hAnsi="Times New Roman"/>
          <w:sz w:val="20"/>
        </w:rPr>
      </w:pPr>
      <w:r>
        <w:rPr>
          <w:rFonts w:ascii="Times New Roman" w:hAnsi="Times New Roman"/>
          <w:b w:val="false"/>
          <w:sz w:val="20"/>
        </w:rPr>
        <w:t>We could also encounter delays if physicians encounter unresolved ethical issues associated with enrolling patients in clinical trials of our vaccine candidates in lieu of using existing vaccines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vaccine candidate, changes in governmental regulations or administrative actions, lack of adequate funding to continue the clinical trial or based on a recommendation by the data safety monitoring board. If we experience termination of, or delays in the completion of, any clinical trial of our vaccine candidates, the commercial prospects for our vaccine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Many of the factors that cause, or lead to, a delay in the commencement or completion of clinical trials may ultimately lead to the denial of regulatory approval of our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The FDA may disagree with our regulatory plan, and we may fail to obtain regulatory approval of our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general approach for FDA approval of a new biologic or drug is for the sponsor to provide dispositive data from two Phase 3 clinical trials of the relevant biologic or drug in the relevant patient population. Phase 3 clinical trials typically involve hundreds of patients, have significant costs and are time consuming. While we have not had extensive discussions with the FDA regarding our regulatory plan, as a prerequisite for FDA approval, we believe that any new PCV, such as VAX-24, will have to be compared to the current standard of care, Prevnar 13 in infants and Prevnar 20 in adults. We believe that a successful comparison would be based on demonstrating clinical non-inferiority of the immune response to Prevnar 20 for common serotypes. In addition, we expect to use OPA titers as the primary immunogenicity surrogate endpoint for the VAX-24 program in adults because Prevnar 13 was approved based on the establishment of non-inferiority of OPA responses relative to Pneumovax 23, on a strain-by-strain basis. With the approval of Prevnar 20 in adults, if it becomes the standard of care, we would plan to demonstrate clinical non-inferiority to Prevnar 20 either along with or in lieu of Prevnar 13, but there can be no assurance that this approach would be sufficient for regulatory approval or that regulators would not require field efficacy trials. If the results are sufficiently compelling, we intend to discuss with the FDA submission of a BLA for VAX-24. However, we do not have any agreement or guidance from the FDA that our regulatory development plans will be sufficient for submission of a BLA for VAX-24.</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may seek accelerated approval from the FDA for our vaccine candidates and, if granted, the FDA may require us to perform post-marketing studies as a condition of approval to verify and describe the predicted effect on irreversible morbidity or mortality or other clinical endpoint. If the results from such post-marketing studies are not positive or otherwise fail to show the predicted effect, the drug or biologic may be subject to expedited withdrawal procedures by the FDA. In addition, the standard of care may change with the approval of new products in the same disease areas that we are studying. This may result in the FDA or other regulatory agencies requesting additional studies to show that our vaccine candidate is non-inferior or superior to the new products.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clinical trial results may also not support approval. In addition, our vaccine candidates could fail to receive regulatory approval for many reasons, including the following:</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FDA or comparable foreign regulatory authorities may disagree with the design or implementation of our clinical trials;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we may be unable to demonstrate to the satisfaction of the FDA or comparable foreign regulatory authorities that our vaccine candidates are safe and effective;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74</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results of clinical trials may not meet the level of statistical significance required by the FDA or comparable foreign regulatory authorities for approval;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we may be unable to demonstrate that our vaccine candidates’ clinical and other benefits outweigh their safety risks;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any changes to the required threshold for the achievement of non-inferiority using established surrogate immune endpoints that our PCVs will need to meet in our clinical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any vaccine to be approved in pediatric populations may need to undergo extensive vaccine-vaccine interference studies with the standard of care pediatric vaccine regimen;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need to perform superiority or field efficacy trials, which can be larger, longer and more costly, if an existing vaccine is approved for a disease indication;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FDA or comparable foreign regulatory authorities may disagree with our interpretation of data from preclinical studies or clinical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data collected from clinical trials of our vaccine candidates may not be sufficient to the satisfaction of the FDA or comparable foreign regulatory authorities to support the submission of a BLA or other comparable submission in foreign jurisdictions or to obtain regulatory approval in the United States or elsewhere;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FDA or comparable foreign regulatory authorities will inspect the commercial manufacturing facilities we may utilize and may not approve such facilities;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the approval policies or regulations of the FDA or comparable foreign regulatory authorities may significantly change in a manner rendering our clinical data insufficient for approval. </w:t>
      </w:r>
    </w:p>
    <w:p>
      <w:pPr>
        <w:pStyle w:val="TextBody"/>
        <w:spacing w:lineRule="auto" w:line="273" w:before="240" w:after="0"/>
        <w:jc w:val="left"/>
        <w:rPr>
          <w:rFonts w:ascii="Times New Roman" w:hAnsi="Times New Roman"/>
          <w:sz w:val="20"/>
        </w:rPr>
      </w:pPr>
      <w:r>
        <w:rPr>
          <w:rFonts w:ascii="Times New Roman" w:hAnsi="Times New Roman"/>
          <w:b/>
          <w:i/>
          <w:sz w:val="20"/>
        </w:rPr>
        <w:t>Even if we receive regulatory approval of our vaccine candidates, we will be subject to ongoing regulatory obligations and continued regulatory review, which may result in significant additional expense, and we may be subject to penalties if we fail to comply with regulatory requirements or experience unanticipated problems with our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Any regulatory approvals that we receive for our vaccine candidates may also be subject to limitations on the approved indicated uses for which a product may be marketed or to the conditions of approval, or contain requirements for potentially costly post-marketing testing, including post-marketing clinical trials, and surveillance to monitor the safety and efficacy of the vaccine candidate.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if the FDA or a comparable foreign regulatory authority approves our vaccine candidates, the manufacturing processes, labeling, packaging, distribution, adverse event reporting, conduct of post-marketing studies, storage, sampling, advertising, promotion, import, export and recordkeeping for our vaccine candidates will be subject to extensive and ongoing regulatory requirements. These requirements include submissions of safety and other post-marketing information and reports, registration and continued compliance with cGMPs and GCPs for any clinical trials that we conduct post-approval. As such, we and our contract manufacturers will be subject to continual review and inspections to assess compliance with cGMP and adherence to commitments made in any BLA, other marketing application and previous responses to inspectional observations. Accordingly, we and others with whom we work must continue to expend time, money and effort in all areas of regulatory compliance, including manufacturing, production and quality control. In addition, the FDA could require us to conduct another study to obtain additional safety or biomarker information. Further, we will be required to comply with FDA promotion and advertising rules,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and social media. Later discovery of previously unknown problems with our vaccine candidates, including side effects of unanticipated severity or frequency, or with our third-party</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suppliers or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Other potential consequences include, among other things:</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restrictions on the marketing or manufacturing of our vaccine candidates, withdrawal of the product from the market or voluntary or mandatory product recalls;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fines, warning letters or holds on clinical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refusal by the FDA to approve pending applications or supplements to approved applications filed by us or suspension or revocation of regulatory approvals;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product seizure or detention, or refusal to permit the import or export of our vaccine candidates;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injunctions or the imposition of civil or criminal penalties. </w:t>
      </w:r>
    </w:p>
    <w:p>
      <w:pPr>
        <w:pStyle w:val="TextBody"/>
        <w:spacing w:lineRule="auto" w:line="273" w:before="240" w:after="0"/>
        <w:jc w:val="left"/>
        <w:rPr>
          <w:rFonts w:ascii="Times New Roman" w:hAnsi="Times New Roman"/>
          <w:sz w:val="20"/>
        </w:rPr>
      </w:pPr>
      <w:r>
        <w:rPr>
          <w:rFonts w:ascii="Times New Roman" w:hAnsi="Times New Roman"/>
          <w:b w:val="false"/>
          <w:sz w:val="20"/>
        </w:rPr>
        <w:t>The FDA’s and other regulatory authorities’ policies may change and additional government regulations may be enacted that could prevent, limit or delay regulatory approval of our vaccine candidates. 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expect the vaccine candidates we develop will be regulated as biological products, or biologics, and therefore they may be subject to competition sooner than anticipated.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Biologics Price Competition and Innovation Act of 2009, or BPCIA, was enacted as part of the Patient Protection and Affordable Care Act, as amended by the Health Care and Education Reconciliation Act of 2010, or collectively,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twelve years after the reference product was approved under a BLA.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biological products.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believe that any of the vaccine candidates we develop that is approved in the United States as a biological product under a BLA should qualify for the 12-year period of exclusivity. However, there is a risk that</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76</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this exclusivity could be shortened due to congressional action or otherwise, or that the FDA will not consider the subject vaccine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Our relationships with customers, physicians and third-party payors are subject, directly or indirectly, to federal and state healthcare fraud and abuse laws, health information privacy and security laws and other healthcare laws and regulations. If we or our employees, independent contractors, consultants, commercial partners and vendors violate these laws, we could face substantial penalties.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Healthcare providers, including physicians and third-party payors, in the United States and elsewhere will play a primary role in the recommendation and prescription of any vaccine candidates for which we obtain marketing approval. Our current and future arrangements with healthcare professionals, principal investigators, consultants, customers and third-party payors subject us to various federal and state fraud and abuse laws and other healthcare laws.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These laws may constrain the business or financial arrangements and relationships through which we conduct our operations, including how we research, market, sell and distribute our vaccine candidates, if approved. Such laws include:</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U.S. federal healthcare program, such as Medicare and Medicaid. A person or entity does not need to have actual knowledge of the statute or specific intent to violate it in order to have committed a violation;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U.S. federal civil and criminal false claims laws, including the civil False Claims Act, which can be enforced through civil whistleblower or qui tam actions, and civil monetary penalties laws, which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Pharmaceutical manufacturers can cause false claims to be presented to the U.S. federal government by engaging in impermissible marketing practices, such as the off-label promotion of a product for an indication for which it has not received FDA approval. In addition, the government may assert that a claim including items and services resulting from a violation of the U.S. federal Anti-Kickback Statute constitutes a false or fraudulent claim for purposes of the civil False Claims Act;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Health Insurance Portability and Accountability Act of 1996, or HIPAA, which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HIPAA, as amended by the Health Information Technology for Economic and Clinical Health Act, or HITECH, and its implementing regulations, which also impose certain obligations, including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77</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pPr>
      <w:r>
        <w:rPr>
          <w:rFonts w:ascii="Times New Roman" w:hAnsi="Times New Roman"/>
          <w:b w:val="false"/>
          <w:sz w:val="20"/>
        </w:rPr>
        <w:t>mandatory contractual terms, with respect to safeguarding the privacy and security of individually identifiable health information of covered entities subject to the rule, including health plans, healthcare clearinghouses and certain healthcare providers and their business associates, independent contractors of a covered entity that perform certain services involving the use or disclosure of individually identifiable health information for or on their behalf, as well as their covered subcontractors;</w:t>
      </w:r>
      <w:r>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Federal Food Drug or Cosmetic Act, which prohibits, among other things, the adulteration or misbranding of drugs, biologics and medical devices;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the Centers for Medicare &amp; Medicaid Services, or CMS, information related to certain payments and other transfers of value to physicians (defined to include doctors, dentists, optometrists, podiatrists and chiropractors), other healthcare professionals (such as physician assistants and nurse practitioners), and teaching hospitals, as well as information regarding ownership and investment interests held by the physicians described above and their immediate family members;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similar healthcare laws and regulations in the EU and other jurisdictions, including reporting requirements detailing interactions with and payments to healthcare providers;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laws governing the privacy and security of certain protected information, such as the European Union’s General Data Protection Regulation, or GDPR, and the California Consumer Privacy Act, or CCPA, which impose obligations and restrictions on the collection, use and disclosure of personal data (including health data) relating to individuals located in the European Economic Area, or EEA, and California, respectively. </w:t>
      </w:r>
    </w:p>
    <w:p>
      <w:pPr>
        <w:pStyle w:val="TextBody"/>
        <w:spacing w:lineRule="auto" w:line="273" w:before="240" w:after="0"/>
        <w:jc w:val="left"/>
        <w:rPr>
          <w:rFonts w:ascii="Times New Roman" w:hAnsi="Times New Roman"/>
          <w:sz w:val="20"/>
        </w:rPr>
      </w:pPr>
      <w:r>
        <w:rPr>
          <w:rFonts w:ascii="Times New Roman" w:hAnsi="Times New Roman"/>
          <w:b w:val="false"/>
          <w:sz w:val="20"/>
        </w:rPr>
        <w:t>We may also be subject to other laws, such as the U.S. Foreign Corrupt Practices Act of 1977, as amended, which prohibit,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as well as federal consumer protection and unfair competition laws, which broadly regulate marketplace activities and activities that potentially harm consumers.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Ensuring that our internal operations and business arrangements with third parties comply with applicable healthcare laws and regulations will likely be costly. It is possible that governmental authorities will conclude that our business practices, including our relationships with physicians and other healthcare providers, some of whom are compensated in the form of stock options for consulting services provided, may not comply with</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78</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injunctions,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 In addition, if the physicians or other providers or entities with whom we expect to do business are found not to be in compliance with applicable laws, they may be subject to significant criminal, civil or administrative sanctions, including exclusions from government-funded healthcare programs.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Coverage and reimbursement may be limited or unavailable in certain market segments for our vaccine candidates, which could make it difficult for us to sell our vaccine candidates, if approved, profitably.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Successful sales of our vaccine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vaccine candidates for which we obtain regulatory approval.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Patients who receive vaccines generally rely on third-party payors to reimburse all or part of the associated costs. Obtaining coverage and adequate reimbursement from third-party payors is critical to new product acceptance.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Third-party payors decide which drugs and treatments they will cover and the amount of reimbursement. Reimbursement by a third-party payor may depend upon a number of factors, including, but not limited to, the third-party payor’s determination that use of a product is:</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 covered benefit under its health plan;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safe, effective and medically necessary;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appropriate for the specific patient;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cost-effective;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neither experimental nor investigational. </w:t>
      </w:r>
    </w:p>
    <w:p>
      <w:pPr>
        <w:pStyle w:val="TextBody"/>
        <w:spacing w:lineRule="auto" w:line="273" w:before="240" w:after="0"/>
        <w:jc w:val="left"/>
        <w:rPr>
          <w:rFonts w:ascii="Times New Roman" w:hAnsi="Times New Roman"/>
          <w:sz w:val="20"/>
        </w:rPr>
      </w:pPr>
      <w:r>
        <w:rPr>
          <w:rFonts w:ascii="Times New Roman" w:hAnsi="Times New Roman"/>
          <w:b w:val="false"/>
          <w:sz w:val="20"/>
        </w:rPr>
        <w:t>Obtaining coverage and reimbursement of a product from a government or other third-party payor is a time-consuming and costly process that could require us to provide to the payor supporting scientific, clinical and cost-effectiveness data for the use of our products.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vaccine candidates unless coverage is provided and reimbursement is adequate to cover a significant portion of the cost of our vaccine candidates. Separate reimbursement for the product itself may or may not be available. Instead, the hospital or administering physician may be reimbursed only for administering the product. Further, from time to time, CMS revises the reimbursement systems used to reimburse health care providers, including the Medicare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Physician Fee Schedule and Outpatient Prospective Payment System, which may result in reduced Medicare payments. In some cases, private third-party payors rely on all or portions of Medicare payment systems to determine payment rates. Changes to government healthcare programs that reduce payments under these programs may negatively impact payments from third-party payors and reduce the willingness of physicians to use our vaccine candidates. Certain ACA marketplace and other private payor plans are required to include coverage for certain preventative services, including vaccinations recommended by the ACIP without cost share obligations (i.e., co-payments, deductibles or co-insurance) for plan members. Children through 18 years of age without other health insurance coverage may be eligible to receive such vaccinations free-of-charge through the CDC’s Vaccines for Children program. For Medicare beneficiaries, vaccines may be covered under either the Part B program or Part D depending on several criteria, including the type of vaccine and the beneficiary’s coverage eligibility. If our vaccine candidates, once approved, are covered only under the Part D program, physicians may be less willing to use our products because of the claims adjudication costs and time related to the claims adjudication process and collection of co-payments associated with the Part D program.</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the United States, no uniform policy of coverage and reimbursement for products exists among third-party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spacing w:lineRule="auto" w:line="273" w:before="240" w:after="0"/>
        <w:jc w:val="left"/>
        <w:rPr>
          <w:rFonts w:ascii="Times New Roman" w:hAnsi="Times New Roman"/>
          <w:sz w:val="20"/>
        </w:rPr>
      </w:pPr>
      <w:r>
        <w:rPr>
          <w:rFonts w:ascii="Times New Roman" w:hAnsi="Times New Roman"/>
          <w:b w:val="false"/>
          <w:sz w:val="20"/>
        </w:rPr>
        <w:t>We intend to seek approval to market our vaccine candidates in both the United States and in selected foreign jurisdictions. If we obtain approval in one or more foreign jurisdictions for our vaccine candidates, we will be subject to rules and regulations in those jurisdictions. In some foreign countries, particularly those in Europe, the pricing of biologics is subject to governmental control. In these countries, pricing negotiations with governmental authorities can take considerable time after obtaining marketing approval of a vaccine candidate. Some of these countries may require the completion of clinical trials that compare the cost-effectiveness of a particular vaccine candidate to currently available vaccines. Other member states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marketability of any vaccine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Healthcare legislative reform measures may have a negative impact on our business, financial condition, results of operations and prospects.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the United States and some foreign jurisdictions, there have been, and we expect there will continue to be, several legislative and regulatory changes and proposed changes regarding the healthcare system that could prevent or delay marketing approval of vaccine candidates, restrict or regulate post-approval activities and affect our ability to profitably sell any vaccine candidates for which we obtain marketing approval. In particular, there have been and continue to be a number of initiatives at the U.S. federal and state levels that seek to reduce healthcare costs and improve the quality of healthcare. For example, in March 2010, the ACA was passed, which substantially changed the way healthcare is financed by both governmental and private payors in the United States. Among the provisions of the ACA, those of greatest importance to the pharmaceutical and biotechnology industries include:</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an annual, non-deductible fee on any entity that manufactures or imports certain branded prescription drugs and biologic agents, which is apportioned among these entities according to their market share in certain government healthcare programs;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an increase in the statutory minimum rebates a manufacturer must pay under the Medicaid Drug Rebate Program to 23.1% and 13.0% of the average manufacturer price for branded and generic drugs, respectively;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 methodology by which rebates owed by manufacturers under the Medicaid Drug Rebate Program are calculated for drugs that are inhaled, infused, instilled, implanted or injected;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extension of a manufacturer’s Medicaid rebate liability to covered drugs dispensed to individuals who are enrolled in Medicaid managed care organizations;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expansion of eligibility criteria for Medicaid programs by, among other things, allowing states to offer Medicaid coverage to certain individuals with income at or below 133% of the federal poverty level, thereby potentially increasing a manufacturer’s Medicaid rebate liability;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expansion of the entities eligible for discounts under the Public Health Service pharmaceutical pricing program;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 requirement that certain ACA marketplace and other private payor plans include coverage for preventative services, including vaccinations recommended by the ACIP without cost share obligations (i.e., co-payments, deductibles or co-insurance) for plan members;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 new Patient-Centered Outcomes Research Institute to oversee, identify priorities in and conduct comparative clinical effectiveness research, along with funding for such research;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establishment of a Center for Medicare and Medicaid Innovation at the CMS to test innovative payment and service delivery models to lower Medicare and Medicaid spending, potentially including prescription drug spending. </w:t>
      </w:r>
    </w:p>
    <w:p>
      <w:pPr>
        <w:pStyle w:val="TextBody"/>
        <w:spacing w:lineRule="auto" w:line="273" w:before="240" w:after="0"/>
        <w:jc w:val="left"/>
        <w:rPr>
          <w:rFonts w:ascii="Times New Roman" w:hAnsi="Times New Roman"/>
          <w:sz w:val="20"/>
        </w:rPr>
      </w:pPr>
      <w:r>
        <w:rPr>
          <w:rFonts w:ascii="Times New Roman" w:hAnsi="Times New Roman"/>
          <w:b w:val="false"/>
          <w:sz w:val="20"/>
        </w:rPr>
        <w:t>There have been executive, judicial and Congressional challenges to the ACA. For example, the Tax Act included a provision that repealed, effective January 1, 2019, the tax-based shared responsibility payment imposed by the ACA on certain individuals who fail to maintain qualifying health coverage for all or part of a year, which is commonly referred to as the “individual mandate.” On June 17, 2021, the United States Supreme Court dismissed a challenge on procedural grounds that argued the ACA is unconstitutional in its entirety because the “individual mandate” was repealed by Congress. Thus, the ACA will remain in effect in its current form. Moreover, prior to the United States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other litigation, and the healthcare reform measures of the Biden administration will impact the ACA.</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Other legislative changes have been proposed and adopted in the United States since the ACA was enacted. These changes include aggregate reductions to Medicare payments to providers of 2% per fiscal year pursuant to the Budget Control Act of 2011, which began in 2013 and, due to subsequent legislative amendments to the statute, including the BBA and the Infrastructure Investment and Jobs Act, will remain in effect through 2031 unless additional Congressional action is taken. COVID-19 pandemic relief support legislation suspended the 2% Medicare sequester from May 1, 2020 through March 31, 2022. Under the current legislation, the actual reduction in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81</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Medicare payments will vary from 1% in 2022 to up to 3% in the final fiscal year of this sequester. The American Taxpayer Relief Act of 2012, among other things, further reduced Medicare payments to several types of providers, including hospitals and cancer treatment centers, and increased the statute of limitations period for the government to recover overpayments to providers from three to five years. In addition, Congress is considering additional healthcare reform measures as a part of the budget reconciliation process.</w:t>
      </w:r>
    </w:p>
    <w:p>
      <w:pPr>
        <w:pStyle w:val="TextBody"/>
        <w:spacing w:lineRule="auto" w:line="273" w:before="240" w:after="0"/>
        <w:jc w:val="left"/>
        <w:rPr>
          <w:rFonts w:ascii="Times New Roman" w:hAnsi="Times New Roman"/>
          <w:sz w:val="20"/>
        </w:rPr>
      </w:pPr>
      <w:r>
        <w:rPr>
          <w:rFonts w:ascii="Times New Roman" w:hAnsi="Times New Roman"/>
          <w:b w:val="false"/>
          <w:sz w:val="20"/>
        </w:rPr>
        <w:t>Additional changes that may affect our business include the expansion of new programs such as Medicare payment for performance initiatives for physicians under the Medicare Access and CHIP Reauthorization Act of 2015, or MACRA, which ended the use of the statutory formula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the full impact of the introduction of the Medicare quality payment program on overall physician reimbursement remains unclear. Any reduction in reimbursement from Medicare or other government programs may result in a similar reduction in payments from private payors.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 in the United States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and biological product pricing, reduce the cost of prescription drugs and biological products under government payor programs and review the relationship between pricing and manufacturer patient programs.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concurrently released a final rule and guidance in September 2020 providing pathways for states to build and submit importation plans for drugs from Canada. Further, on November 20, 2020, the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As a result of litigation challenging the Most Favored Nation model, on December 27, 2021, CMS published a final rule that rescinded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It is unclear whether these or similar policy initiatives will be implemented in the future.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biological products and suppliers will be included in their healthcare programs. Furthermore, there has been increased interest by third-party payors and governmental authorities in reference pricing systems and publication of discounts and list prices.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expect that additional U.S. federal healthcare reform measures will be adopted in the future, any of which could limit the amounts that the U.S. federal government will pay for healthcare products and services, which could result in reduced demand for our current or any future vaccine candidates or additional pricing pressures. Further, it is possible that additional governmental action is taken in response to the ongoing COVID-19 pandemic.</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82</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We cannot predict the likelihood, nature or extent of government regulation that may arise from future legislation or administrative action in the United States or any other jurisdiction. If we or any third parties we may engage are slow or unable to adapt to changes in existing or new requirements or policies, or if we or such third parties are not able to maintain regulatory compliance, our current or any future vaccine candidates we may develop may lose any regulatory approval that may have been obtained and we may not achieve or sustain profitability.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expect that these and other healthcare reform measures that may be adopted in the future may result in more rigorous coverage criteria and in additional downward pressure on the price that we receive for any approved product, which could have an adverse effect on demand for our vaccine candidates.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Changes in funding for the FDA and other government agencies could hinder our ability to hire and retain key leadership and other personnel, or otherwise prevent new products and services from being developed or commercialized in a timely manner, which could negatively impact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Separately, in response to the global COVID-19 pandemic, the FDA has adopted a risk-based system for the conduct of inspections of manufacturing facilities. Additionally, the FDA is conducting voluntary remote interactive evaluations of certain drug manufacturing facilities and clinical research sites where an in-person inspection would not be prioritized, deemed mission-critical, or where direct inspection is otherwise limited by travel restrictions, but where the FDA determines that remote evaluation would still be appropriate.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are subject to increasingly stringent and rapidly changing laws and regulations related to privacy and data security. The restrictions and costs imposed by these requirements, or our actual or perceived failure to comply with them, could harm our reputation, subject us to significant fines and liability, and adversely affect our business.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the ordinary course of business, we process personal data and other sensitive information, including proprietary and confidential business data, trade secrets, intellectual property, data we collect about trial participants in connection with clinical trials and other sensitive third-party data. We are subject to or affected by numerous evolving federal, state and foreign laws and regulations, as well as policies, contracts, industry standards and other obligations governing the collection, use, disclosure, retention and security of personal data. The global data protection landscape is rapidly evolving, and implementation standards and enforcement practices are likely to remain uncertain for the foreseeable future.</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83</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For example, HIPAA, as amended by HITECH, imposes requirements relating to the privacy and security of individually identifiable health information on health plans, healthcare clearinghouses and certain healthcare providers, and their respective contractors and their covered subcontractors that perform services for them involving individually identifiable health information. Additionally, certain states have adopted healthcare privacy and security laws and regulations comparable to HIPAA, some of which may be more stringent than HIPAA. In the event we fail to properly maintain the privacy and security of individually identifiable health information governed by HIPAA or comparable state laws, or we are responsible for an unauthorized disclosure or security breach of such information, we could be subject to enforcement action under HIPAA or comparable state laws, and significant civil and criminal penalties, and fines.</w:t>
      </w:r>
    </w:p>
    <w:p>
      <w:pPr>
        <w:pStyle w:val="TextBody"/>
        <w:spacing w:lineRule="auto" w:line="273" w:before="240" w:after="0"/>
        <w:jc w:val="left"/>
        <w:rPr>
          <w:rFonts w:ascii="Times New Roman" w:hAnsi="Times New Roman"/>
          <w:sz w:val="20"/>
        </w:rPr>
      </w:pPr>
      <w:r>
        <w:rPr>
          <w:rFonts w:ascii="Times New Roman" w:hAnsi="Times New Roman"/>
          <w:b w:val="false"/>
          <w:sz w:val="20"/>
        </w:rPr>
        <w:t>We are also subject to a growing body of privacy, data security and data protection laws outside of the United States. For example, the EU GDPR and the UK GDPR impose strict requirements for processing the personal data of individuals located, respectively within the EEA and the United Kingdom. Under the EU GDPR, government regulators may impose temporary or definitive bans on data processing, as well as fines of up to 20 million euros or 4% of annual global revenue, whichever is greater. Further, individuals may initiate litigation related to our processing of their personal data.</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addition, many jurisdictions have enacted data localization laws and cross-border personal data transfer laws. These laws may make it more difficult for us to transfer personal data across jurisdictions, which could impede our business. For example, absent appropriate safeguards or other circumstances, the EU GDPR generally restricts the transfer of personal data to countries outside of the EEA, such as the United States, which the European Commission does not consider to be providing an adequate level of data privacy and security. The European Commission released a set of “Standard Contractual Clauses” that are designed to be a valid mechanism by which entities can transfer personal data out of the EEA to jurisdictions that the European Commission has not found to provide an adequate level of protection. Currently, these Standard Contractual clauses are a valid mechanism to transfer personal data outside of the EEA. The Standard Contractual Clauses, however, require parties that rely upon that legal mechanism to comply with additional obligations,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transfers of personal data out of the EEA. In addition, laws in Switzerland and the UK similarly restrict transfers of personal data outside of those jurisdictions to countries such as the United States that do not provide an adequate level of personal data protection. If we cannot implement a valid compliance mechanism for cross-border privacy and security transfers, we may face increased exposure to regulatory actions, substantial fines, and injunctions against processing or transferring personal data from Europe or elsewhere.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European and other data privacy and security laws; or requiring us to increase our personal data processing capabilities in Europe and/or elsewhere at significant expense. Domestic privacy and data security laws beyond HIPAA and other healthcare privacy laws are also changing rapidly and becoming more complex. For example, the CCPA imposes obligations on businesses to which it applies. These obligations include, but are not limited to, providing specific disclosures in privacy notices and affording California residents certain rights related to their personal data. The CCPA allows for statutory fines for noncompliance (up to $7,500 per violation). In addition, it is anticipated that the California Privacy Rights Act of 2020 (“CPRA”), effective January 1, 2023, will expand the CCPA. For example, the CPRA establishes a new California Privacy Protection Agency to implement and enforce the CCPA (as amended), which could increase the risk of an enforcement action. Other states have enacted data privacy laws. For example, Virginia passed the Consumer Data Protection Act, and Colorado passed the Colorado Privacy Act, both of which differ from the CPRA and become effective in 2023. Furthermore, several states and localities have enacted statutes banning or restricting the collection of biometric information. If we become subject to new data privacy laws, at the state level,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pStyle w:val="TextBody"/>
        <w:spacing w:lineRule="auto" w:line="273" w:before="240" w:after="0"/>
        <w:jc w:val="left"/>
        <w:rPr>
          <w:rFonts w:ascii="Times New Roman" w:hAnsi="Times New Roman"/>
          <w:sz w:val="20"/>
        </w:rPr>
      </w:pPr>
      <w:r>
        <w:rPr>
          <w:rFonts w:ascii="Times New Roman" w:hAnsi="Times New Roman"/>
          <w:b w:val="false"/>
          <w:sz w:val="20"/>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in conflict among jurisdictions.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84</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data on our behalf.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operate our business and proceedings against us by governmental entities or others.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clinical trials); interruptions or stoppages of data collection needed to train our algorithms; inability to process personal data or to operate in certain jurisdictions; limited ability to develop or commercialize our products; expenditure of time and resources to defend any claim or inquiry; adverse publicity; or revision or restructuring of our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Risks Related to Our Intellectual Property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If we are unable to obtain and maintain patent protection for our technology and products, or if the scope of the patent protection obtained is not sufficiently broad, we may not be able to compete effectively in our markets.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rely upon a combination of patents, trademarks, trade secret protection and confidentiality agreements to protect the intellectual property related to our vaccine development programs and vaccine candidates. Our success depends in large part on our ability to obtain and maintain patent protection in the United States and other countries with respect to VAX-24 and any future vaccine candidates, as well as methods of making our vaccine candidates and components thereof. We seek to protect our proprietary position by filing patent applications in the United States and abroad related to our development programs and vaccine candidates. The patent prosecution process is expensive and time-consuming, and we may not be able to file and prosecute all necessary or desirable patent applications at a reasonable cost or in a timely manner.</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patents and patent applications that we own or in-license may fail to result in issued patents with claims that protect VAX-24 or any future vaccine candidate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VAX-24 or any future vaccine candidate,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vaccine candidates or companion diagnostic that we may develop. Further, if we encounter delays in regulatory approvals, the period of time during which we could market a vaccine candidate under patent protection could be reduced.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If the patent applications we hold or have in-licensed with respect to our development programs and vaccine candidates fail to issue, if their breadth or strength of protection is threatened, or if they fail to provide meaningful exclusivity for VAX-24 or any future vaccine candidate, it could dissuade companies from collaborating with us to develop vaccine candidates and threaten our ability to commercialize future vaccines. Any such outcome could have a materially adverse effect on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patent position of biotechnology and pharmaceutical companies generally is highly uncertain, involves complex legal and factual questions and has been and will continue to be the subject of litigation and new legislation. In addition, the laws of foreign countries may not protect our rights to the same extent as the laws of the United States. For example, many countries restrict the patentability of methods of treatment of the human body. Publications of discoveries in scientific literature often lag behind the actual discoveries, and patent applications in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Moreover, we may be subject to a third-party pre-issuance submission of prior art to the U.S. Patent and Trademark Office, or the USPTO, or become involved in opposition, derivation, reexamination, inter partes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our current or future vaccine candidates, we may be open to competition from generic versions of such products. Given the amount of time required for the development, testing and regulatory review of new vaccine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If we fail to comply with our obligations under any license, collaboration or other agreements, we may be required to pay damages and could lose intellectual property rights that are necessary for developing and protecting our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licensed certain intellectual property rights related to the XpressCF platform, components of our PCV candidates, and methods of making components of VAX-24 from Sutro Biopharma and University of Georgia Research Foundation, Inc. We also license certain intellectual property rights related to a non-cross-reactive Group A Strep carbohydrate antigen and related methods of production from the Regents of the University of California. If, for any reason, these agreements are terminated or we otherwise lose those rights, it could adversely affect our business. These agreements impose, and any future collaboration agreements or license agreements we enter into are likely to impose, various development, commercialization, funding, milestone, royalty, diligence, sublicensing, insurance, patent prosecution and enforcement or other obligations on us. If we breach any material obligations, or use the intellectual property licensed to us in an unauthorized manner, we may be required to pay damages and the licensor(s) may have the right to terminate the license, which could result in us being unable to develop, manufacture and sell products that are covered by the licensed technology or enable a competitor to gain access to the licensed technology.</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86</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i/>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VAX-24 or any future vaccine candidate, or the XpressCF platform, our competitors might be able to enter the market, which would have an adverse effect on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Third-party claims or litigation alleging infringement of patents or other proprietary rights, or seeking to invalidate our patents or other proprietary rights, may delay or prevent the development and commercialization of VAX-24 and any future vaccine candidate.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commercial success depends in part on our avoiding infringement and other violations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Numerous U.S. and foreign issued patents and pending patent applications, which are owned by third parties, exist in the fields in which we and our collaborators are developing vaccine candidates. As the biotechnology and pharmaceutical industries expand and more patents are issued, and as we gain greater visibility and market exposure as a public company, the risk increases that our vaccine candidates or other business activities may be subject to claims of infringement of the patent and other proprietary rights of third parties. Third parties may assert that we are infringing their patents or employing their proprietary technology without authorization.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Also, there may be third-party patents or patent applications with claims to materials, formulations, methods of manufacture or methods for treatment related to the use or manufacture of our vaccine candidates. Because patent applications can take many years to issue, there may be currently pending patent applications which may later result in issued patents that our vaccine candidates may infringe.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third parties may obtain patent rights in the future and claim that use of our technologies infringes upon rights. If any third-party patents were held by a court of competent jurisdiction to cover the manufacturing process of any of our vaccine candidates, any molecules formed during the manufacturing process or any final product itself, the holders of any such patents may be able to block our ability to commercialize such vaccine candidate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the applicable vaccine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Parties making claims against us may obtain injunctive or other equitable relief, which could effectively block our ability to further develop and commercialize one or more of our vaccine candidates. Defense of these claims, regardless of their merit, would involve substantial litigation expense and would be a substantial diversion of</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87</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Furthermore, as the vaccine patent landscape is crowded and highly competitive, even in the absence of litigation we may need to obtain licenses from third parties to advance our research or allow commercialization of our vaccine candidates, and we have done so from time to time. We may fail to obtain any of these licenses at a reasonable cost or on reasonable terms, if at all. In that event, we would be unable to further develop and commercialize one or more of our vaccine candidates, which could harm our business significantly. We cannot provide any assurances that third-party patents do not exist which might be enforced against vaccine candidates resulting in either an injunction prohibiting our sales, or, with respect to our sales, an obligation on our part to pay royalties or other forms of compensation to third parties.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may become involved in lawsuits to protect or enforce our patents, the patents of our licensors or our other intellectual property rights, which could be expensive, time consuming and unsuccessful.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Competitors may infringe or otherwise violate our patents, the patents of our licensors or our other intellectual property rights. To counter infringement or unauthorized use, we may be required to file legal claims, which can be expensive and time-consuming.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vaccine candidates. Such a loss of patent protection could harm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88</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i/>
          <w:sz w:val="20"/>
        </w:rPr>
        <w:t>Changes in U.S. patent law or the patent law of other countries or jurisdictions could diminish the value of patents in general, thereby impairing our ability to protect our products.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Any trademarks we may obtain may be infringed or successfully challenged, resulting in harm to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expect to rely on trademarks as one means to distinguish any of our vaccine candidates that are approved for marketing from the products of our competitors. We have not yet selected trademarks for our vaccine candidates and have not yet begun the process of applying to register trademarks for our current or any future vaccine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any proprietary name we propose to use with our current or any other vaccine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may not be able to protect our intellectual property rights throughout the world, which could impair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Filing, prosecuting and defending patents covering our current vaccine candidates and any future vaccine candidate throughout the world would be prohibitively expensive.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Our reliance on third parties requires us to share our trade secrets, which increases the possibility that a competitor will discover them or that our trade secrets will be misappropriated or disclosed.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Because we expect to rely on third parties to manufacture VAX-24 and any future vaccine candidates, and we expect to collaborate with third parties on the development of VAX-24 and any future vaccine candidates, we must, at times, share trade secrets with them. We also conduct joint research and development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 Further, disputes may arise under these agreements regarding inventorship or ownership of proprietary information generated during research and development.</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may be subject to claims that our employees, consultants or independent contractors have wrongfully used or disclosed confidential information of their former employers or other third parties.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employ individuals who were previously employed at other biotechnology or pharmaceutical companies.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Risks Related to Ownership of Our Common Stock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The price of our stock may be volatile, and the value of our common stock may decline.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market price of our common stock may be highly volatile and could be subject to wide fluctuations in response to various factors, some of which are beyond our control, including limited trading volume. In particular, the COVID-19 pandemic has further heightened the volatility of the stock market for biopharmaceutical companies. In addition to the factors discussed in this “Risk Factors” section and elsewhere in this Annual Report on Form 10-K, these factors include:</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commencement, enrollment or results of our planned or future preclinical studies or clinical trials of our vaccine candidates and those of our competitors;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regulatory or legal developments in the United States and abroad;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success of competitive vaccines or technologies;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developments or disputes concerning patent applications, issued patents or other proprietary rights;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level of expenses related to our vaccine candidates or preclinical and clinical development programs;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the results of our efforts to develop additional vaccine candidates;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actual or anticipated changes in estimates as to financial results, development timelines or recommendations or reports by securities analysts;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level of expenses and capital investment related to manufacturing our vaccine candidates;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our inability to obtain or delays in obtaining adequate supply for any approved vaccine candidate;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significant lawsuits, including patent or stockholder litigation;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variations in our financial results or those of companies perceived to be similar to us;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changes in the structure of healthcare payment systems, including coverage and adequate reimbursement for any approved vaccine;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general economic, political and market conditions and overall fluctuations in the financial markets in the United States and abroad;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investors’ general perception of us and our business.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the stock market in general, and the Nasdaq Global Select Market and biopharmaceutical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do not intend to pay dividends on our common stock so any returns will be limited to the value of our stock.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Our principal stockholders and management own a significant percentage of our stock and will be able to exert significant control over matters subject to stockholder approval.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executive officers, directors and principal stockholders own a significant portion of our outstanding common stock. Accordingly, these stockholders have the ability to influence us through this ownership position and significantly affect the outcome of all matters requiring stockholder approval. For example, these stockholders may be able to significantly affect the outcome of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As a public company, we are subject to more stringent federal and state law requirements.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As a public company, we are subject to the reporting requirements of the Exchange Act, the Sarbanes-Oxley Act, the Dodd–Frank Wall Street Reform and Consumer Protection Act, the listing requirements of The Nasdaq Stock Market LLC, or Nasdaq, and other applicable securities rules and regulations. As a public company we will incur significant legal, accounting and other expenses that we did not incur as a private company.</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91</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are also subject to more stringent state law requirements. For example, Senator Bill 826, or SB 826, generally requires public companies with principal executive offices in California to have a minimum number of females on the company’s board of directors. By December 31, 2021, each public company with principal executive offices in California is required to have at least two females on its board of directors if the company has at least five directors, and at least three females on its board of directors if the company has at least six directors. Bill 979, or AB 979, generally requires public companies with principal executive offices in California to include specified numbers of directors from “underrepresented communities.” A director from an “underrepresented community” means a director who self-identifies as Black, African American, Hispanic, Latino, Asian, Pacific Islander, Native American, Native Hawaiian, Alaska Native, gay, lesbian, bisexual, or transgender. By December 31, 2021, each public company with principal executive offices in California is required to have at least one director from an underrepresented community. By December 31, 2022, a public company with more than four but fewer than nine directors will be required to have a minimum of two directors from underrepresented communities, and a public company with nine or more directors will need to have a minimum of three directors from underrepresented communities. Neither SB 826 nor AB 979 provide a transition period for newly listed companies.</w:t>
      </w:r>
    </w:p>
    <w:p>
      <w:pPr>
        <w:pStyle w:val="TextBody"/>
        <w:spacing w:lineRule="auto" w:line="273" w:before="240" w:after="0"/>
        <w:jc w:val="left"/>
        <w:rPr>
          <w:rFonts w:ascii="Times New Roman" w:hAnsi="Times New Roman"/>
          <w:sz w:val="20"/>
        </w:rPr>
      </w:pPr>
      <w:r>
        <w:rPr>
          <w:rFonts w:ascii="Times New Roman" w:hAnsi="Times New Roman"/>
          <w:b w:val="false"/>
          <w:sz w:val="20"/>
        </w:rPr>
        <w:t>We are currently in compliance with SB 826 and AB979. If we fail to comply with either SB 826 or AB 979 in the future, we could be fined by the California Secretary of State, with a $100,000 fine for the first violation and a $300,000 fine for each subsequent violation of either law, and our reputation may be adversely affected.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Future sales of a substantial number of shares of our common stock, or the perception that such sales could occur, could cause our stock price to fall.</w:t>
      </w:r>
      <w:r>
        <w:rPr>
          <w:rFonts w:ascii="Times New Roman" w:hAnsi="Times New Roman"/>
          <w:sz w:val="20"/>
        </w:rPr>
        <w:t xml:space="preserve"> </w:t>
      </w:r>
    </w:p>
    <w:p>
      <w:pPr>
        <w:pStyle w:val="TextBody"/>
        <w:spacing w:lineRule="auto" w:line="264" w:before="240" w:after="0"/>
        <w:jc w:val="left"/>
        <w:rPr>
          <w:rFonts w:ascii="Times New Roman" w:hAnsi="Times New Roman"/>
          <w:b w:val="false"/>
          <w:sz w:val="20"/>
        </w:rPr>
      </w:pPr>
      <w:r>
        <w:rPr>
          <w:rFonts w:ascii="Times New Roman" w:hAnsi="Times New Roman"/>
          <w:b w:val="false"/>
          <w:sz w:val="20"/>
        </w:rPr>
        <w:t>Sales of a substantial number of shares of our common stock in the public market could occur at any time. These sales, or the public’s perception that such sales could occur, could have an adverse effect on the market price of our common stock. Moreover, holders of up to an aggregate of 28,610,337 shares of our common stock have the right to require us to register these shares under the Securities Act of 1933, as amended, or the Securities Act, pursuant to an investors’ rights agreement. In addition, for the three months ended December 31, 2021, the average daily trading volume for our common stock on the Nasdaq Global Select Market was 154,410 shares. As a result of the low trading volume of 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w:t>
      </w:r>
    </w:p>
    <w:p>
      <w:pPr>
        <w:pStyle w:val="TextBody"/>
        <w:spacing w:lineRule="auto" w:line="264" w:before="240" w:after="0"/>
        <w:jc w:val="left"/>
        <w:rPr>
          <w:rFonts w:ascii="Times New Roman" w:hAnsi="Times New Roman"/>
          <w:sz w:val="20"/>
        </w:rPr>
      </w:pPr>
      <w:r>
        <w:rPr>
          <w:rFonts w:ascii="Times New Roman" w:hAnsi="Times New Roman"/>
          <w:b/>
          <w:i/>
          <w:sz w:val="20"/>
        </w:rPr>
        <w:t>Provisions in our corporate charter documents and under Delaware law could make an acquisition of us, which may be beneficial to our stockholders, more difficult and may prevent attempts by our stockholders to replace or remove our current management.</w:t>
      </w:r>
      <w:r>
        <w:rPr>
          <w:rFonts w:ascii="Times New Roman" w:hAnsi="Times New Roman"/>
          <w:sz w:val="20"/>
        </w:rPr>
        <w:t xml:space="preserve"> </w:t>
      </w:r>
    </w:p>
    <w:p>
      <w:pPr>
        <w:pStyle w:val="TextBody"/>
        <w:spacing w:lineRule="auto" w:line="264" w:before="240" w:after="0"/>
        <w:jc w:val="left"/>
        <w:rPr>
          <w:rFonts w:ascii="Times New Roman" w:hAnsi="Times New Roman"/>
          <w:sz w:val="20"/>
        </w:rPr>
      </w:pPr>
      <w:r>
        <w:rPr>
          <w:rFonts w:ascii="Times New Roman" w:hAnsi="Times New Roman"/>
          <w:b w:val="false"/>
          <w:sz w:val="20"/>
        </w:rPr>
        <w:t>Provisions in our amended and restated certificate of incorporation and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r>
        <w:rPr>
          <w:rFonts w:ascii="Times New Roman" w:hAnsi="Times New Roman"/>
          <w:sz w:val="20"/>
        </w:rPr>
        <w:t xml:space="preserve"> </w:t>
      </w:r>
    </w:p>
    <w:p>
      <w:pPr>
        <w:pStyle w:val="TextBody"/>
        <w:spacing w:lineRule="auto" w:line="264" w:before="240" w:after="0"/>
        <w:jc w:val="left"/>
        <w:rPr/>
      </w:pPr>
      <w:r>
        <w:rPr/>
        <w:t>•</w:t>
      </w:r>
    </w:p>
    <w:p>
      <w:pPr>
        <w:pStyle w:val="TextBody"/>
        <w:spacing w:lineRule="auto" w:line="264" w:before="240" w:after="0"/>
        <w:jc w:val="left"/>
        <w:rPr>
          <w:rFonts w:ascii="Times New Roman" w:hAnsi="Times New Roman"/>
          <w:b w:val="false"/>
          <w:sz w:val="20"/>
        </w:rPr>
      </w:pPr>
      <w:r>
        <w:rPr>
          <w:rFonts w:ascii="Times New Roman" w:hAnsi="Times New Roman"/>
          <w:b w:val="false"/>
          <w:sz w:val="20"/>
        </w:rPr>
        <w:t xml:space="preserve">establish a classified board of directors such that not all members of the board are elected at one time; </w:t>
      </w:r>
    </w:p>
    <w:p>
      <w:pPr>
        <w:pStyle w:val="TextBody"/>
        <w:spacing w:lineRule="auto" w:line="264" w:before="240" w:after="0"/>
        <w:jc w:val="left"/>
        <w:rPr/>
      </w:pPr>
      <w:r>
        <w:rPr/>
        <w:t>•</w:t>
      </w:r>
    </w:p>
    <w:p>
      <w:pPr>
        <w:pStyle w:val="TextBody"/>
        <w:spacing w:lineRule="auto" w:line="264" w:before="240" w:after="0"/>
        <w:jc w:val="left"/>
        <w:rPr>
          <w:rFonts w:ascii="Times New Roman" w:hAnsi="Times New Roman"/>
          <w:b w:val="false"/>
          <w:sz w:val="20"/>
        </w:rPr>
      </w:pPr>
      <w:r>
        <w:rPr>
          <w:rFonts w:ascii="Times New Roman" w:hAnsi="Times New Roman"/>
          <w:b w:val="false"/>
          <w:sz w:val="20"/>
        </w:rPr>
        <w:t xml:space="preserve">allow the authorized number of our directors to be changed only by resolution of our board of directors; </w:t>
      </w:r>
    </w:p>
    <w:p>
      <w:pPr>
        <w:pStyle w:val="TextBody"/>
        <w:spacing w:lineRule="auto" w:line="264" w:before="240" w:after="0"/>
        <w:jc w:val="left"/>
        <w:rPr/>
      </w:pPr>
      <w:r>
        <w:rPr/>
        <w:t>•</w:t>
      </w:r>
    </w:p>
    <w:p>
      <w:pPr>
        <w:pStyle w:val="TextBody"/>
        <w:spacing w:lineRule="auto" w:line="264" w:before="240" w:after="283"/>
        <w:jc w:val="left"/>
        <w:rPr>
          <w:rFonts w:ascii="Times New Roman" w:hAnsi="Times New Roman"/>
          <w:b w:val="false"/>
          <w:sz w:val="20"/>
        </w:rPr>
      </w:pPr>
      <w:r>
        <w:rPr>
          <w:rFonts w:ascii="Times New Roman" w:hAnsi="Times New Roman"/>
          <w:b w:val="false"/>
          <w:sz w:val="20"/>
        </w:rPr>
        <w:t xml:space="preserve">limit the manner in which stockholders can remove directors from the board;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92</w:t>
      </w:r>
    </w:p>
    <w:p>
      <w:pPr>
        <w:pStyle w:val="HorizontalLine"/>
        <w:rPr/>
      </w:pPr>
      <w:r>
        <w:rPr/>
      </w:r>
    </w:p>
    <w:p>
      <w:pPr>
        <w:pStyle w:val="TextBody"/>
        <w:spacing w:lineRule="auto" w:line="273" w:before="0" w:after="0"/>
        <w:jc w:val="left"/>
        <w:rPr/>
      </w:pPr>
      <w:r>
        <w:rPr/>
        <w:t> </w:t>
      </w:r>
    </w:p>
    <w:p>
      <w:pPr>
        <w:pStyle w:val="TextBody"/>
        <w:spacing w:lineRule="auto" w:line="264" w:before="240" w:after="0"/>
        <w:jc w:val="left"/>
        <w:rPr/>
      </w:pPr>
      <w:r>
        <w:rPr/>
        <w:t>•</w:t>
      </w:r>
    </w:p>
    <w:p>
      <w:pPr>
        <w:pStyle w:val="TextBody"/>
        <w:spacing w:lineRule="auto" w:line="264" w:before="240" w:after="0"/>
        <w:jc w:val="left"/>
        <w:rPr>
          <w:rFonts w:ascii="Times New Roman" w:hAnsi="Times New Roman"/>
          <w:b w:val="false"/>
          <w:sz w:val="20"/>
        </w:rPr>
      </w:pPr>
      <w:r>
        <w:rPr>
          <w:rFonts w:ascii="Times New Roman" w:hAnsi="Times New Roman"/>
          <w:b w:val="false"/>
          <w:sz w:val="20"/>
        </w:rPr>
        <w:t xml:space="preserve">establish advance notice requirements for stockholder proposals that can be acted on at stockholder meetings and nominations to our board of directors; </w:t>
      </w:r>
    </w:p>
    <w:p>
      <w:pPr>
        <w:pStyle w:val="TextBody"/>
        <w:spacing w:lineRule="auto" w:line="264" w:before="240" w:after="0"/>
        <w:jc w:val="left"/>
        <w:rPr/>
      </w:pPr>
      <w:r>
        <w:rPr/>
        <w:t>•</w:t>
      </w:r>
    </w:p>
    <w:p>
      <w:pPr>
        <w:pStyle w:val="TextBody"/>
        <w:spacing w:lineRule="auto" w:line="264" w:before="240" w:after="0"/>
        <w:jc w:val="left"/>
        <w:rPr>
          <w:rFonts w:ascii="Times New Roman" w:hAnsi="Times New Roman"/>
          <w:b w:val="false"/>
          <w:sz w:val="20"/>
        </w:rPr>
      </w:pPr>
      <w:r>
        <w:rPr>
          <w:rFonts w:ascii="Times New Roman" w:hAnsi="Times New Roman"/>
          <w:b w:val="false"/>
          <w:sz w:val="20"/>
        </w:rPr>
        <w:t xml:space="preserve">require that stockholder actions must be effected at a duly called stockholder meeting and prohibit actions by our stockholders by written consent; </w:t>
      </w:r>
    </w:p>
    <w:p>
      <w:pPr>
        <w:pStyle w:val="TextBody"/>
        <w:spacing w:lineRule="auto" w:line="264" w:before="240" w:after="0"/>
        <w:jc w:val="left"/>
        <w:rPr/>
      </w:pPr>
      <w:r>
        <w:rPr/>
        <w:t>•</w:t>
      </w:r>
    </w:p>
    <w:p>
      <w:pPr>
        <w:pStyle w:val="TextBody"/>
        <w:spacing w:lineRule="auto" w:line="264" w:before="240" w:after="0"/>
        <w:jc w:val="left"/>
        <w:rPr>
          <w:rFonts w:ascii="Times New Roman" w:hAnsi="Times New Roman"/>
          <w:b w:val="false"/>
          <w:sz w:val="20"/>
        </w:rPr>
      </w:pPr>
      <w:r>
        <w:rPr>
          <w:rFonts w:ascii="Times New Roman" w:hAnsi="Times New Roman"/>
          <w:b w:val="false"/>
          <w:sz w:val="20"/>
        </w:rPr>
        <w:t xml:space="preserve">prohibit our stockholders from calling a special meeting of our stockholders; </w:t>
      </w:r>
    </w:p>
    <w:p>
      <w:pPr>
        <w:pStyle w:val="TextBody"/>
        <w:spacing w:lineRule="auto" w:line="264" w:before="240" w:after="0"/>
        <w:jc w:val="left"/>
        <w:rPr/>
      </w:pPr>
      <w:r>
        <w:rPr/>
        <w:t>•</w:t>
      </w:r>
    </w:p>
    <w:p>
      <w:pPr>
        <w:pStyle w:val="TextBody"/>
        <w:spacing w:lineRule="auto" w:line="264" w:before="240" w:after="0"/>
        <w:jc w:val="left"/>
        <w:rPr>
          <w:rFonts w:ascii="Times New Roman" w:hAnsi="Times New Roman"/>
          <w:b w:val="false"/>
          <w:sz w:val="20"/>
        </w:rPr>
      </w:pPr>
      <w:r>
        <w:rPr>
          <w:rFonts w:ascii="Times New Roman" w:hAnsi="Times New Roman"/>
          <w:b w:val="false"/>
          <w:sz w:val="20"/>
        </w:rPr>
        <w:t xml:space="preserve">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 </w:t>
      </w:r>
    </w:p>
    <w:p>
      <w:pPr>
        <w:pStyle w:val="TextBody"/>
        <w:spacing w:lineRule="auto" w:line="264" w:before="240" w:after="0"/>
        <w:jc w:val="left"/>
        <w:rPr/>
      </w:pPr>
      <w:r>
        <w:rPr/>
        <w:t>•</w:t>
      </w:r>
    </w:p>
    <w:p>
      <w:pPr>
        <w:pStyle w:val="TextBody"/>
        <w:spacing w:lineRule="auto" w:line="264" w:before="240" w:after="283"/>
        <w:jc w:val="left"/>
        <w:rPr/>
      </w:pPr>
      <w:r>
        <w:rPr>
          <w:rFonts w:ascii="Times New Roman" w:hAnsi="Times New Roman"/>
          <w:b w:val="false"/>
          <w:sz w:val="20"/>
        </w:rPr>
        <w:t xml:space="preserve">require the approval of the holders of at least 66 </w:t>
      </w:r>
      <w:r>
        <w:rPr>
          <w:rFonts w:ascii="Times New Roman" w:hAnsi="Times New Roman"/>
          <w:b w:val="false"/>
          <w:sz w:val="13"/>
        </w:rPr>
        <w:t>2</w:t>
      </w:r>
      <w:r>
        <w:rPr/>
        <w:t>⁄</w:t>
      </w:r>
      <w:r>
        <w:rPr>
          <w:rFonts w:ascii="Times New Roman" w:hAnsi="Times New Roman"/>
          <w:b w:val="false"/>
          <w:sz w:val="13"/>
        </w:rPr>
        <w:t>3</w:t>
      </w:r>
      <w:r>
        <w:rPr>
          <w:rFonts w:ascii="Times New Roman" w:hAnsi="Times New Roman"/>
          <w:b w:val="false"/>
          <w:sz w:val="20"/>
        </w:rPr>
        <w:t xml:space="preserve">% of the votes that all our stockholders would be entitled to cast to amend or repeal certain provisions of our charter or bylaws. </w:t>
      </w:r>
    </w:p>
    <w:p>
      <w:pPr>
        <w:pStyle w:val="TextBody"/>
        <w:spacing w:lineRule="auto" w:line="264" w:before="240" w:after="0"/>
        <w:jc w:val="left"/>
        <w:rPr>
          <w:rFonts w:ascii="Times New Roman" w:hAnsi="Times New Roman"/>
          <w:sz w:val="20"/>
        </w:rPr>
      </w:pPr>
      <w:r>
        <w:rPr>
          <w:rFonts w:ascii="Times New Roman" w:hAnsi="Times New Roman"/>
          <w:b w:val="false"/>
          <w:sz w:val="20"/>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Claims for indemnification by our directors and officers may reduce our available funds to satisfy successful third-party claims against us and may reduce the amount of money available to us.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amended and restated certificate of incorporation and amended and restated bylaws provide that we will indemnify our directors and officers, in each case, to the fullest extent permitted by Delaware law. Delaware law provides that directors of a corporation will not be personally liable for monetary damages for any breach of fiduciary duties as directors, except liability for:</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any breach of the director’s duty of loyalty to the corporation or its stockholders;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any act or omission not in good faith or that involves intentional misconduct or a knowing violation of law;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unlawful payments of dividends or unlawful stock repurchases or redemptions; or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any transaction from which the director derived an improper personal benefit. </w:t>
      </w:r>
    </w:p>
    <w:p>
      <w:pPr>
        <w:pStyle w:val="TextBody"/>
        <w:spacing w:lineRule="auto" w:line="273" w:before="240" w:after="0"/>
        <w:jc w:val="left"/>
        <w:rPr>
          <w:rFonts w:ascii="Times New Roman" w:hAnsi="Times New Roman"/>
          <w:sz w:val="20"/>
        </w:rPr>
      </w:pPr>
      <w:r>
        <w:rPr>
          <w:rFonts w:ascii="Times New Roman" w:hAnsi="Times New Roman"/>
          <w:b w:val="false"/>
          <w:sz w:val="20"/>
        </w:rPr>
        <w:t>Such limitation of liability does not apply to liabilities arising under federal securities laws and does not affect the availability of equitable remedies such as injunctive relief or rescission.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93</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incorporation and amended and restated bylaws provisions and indemnification agreements are necessary to attract and retain qualified persons as directors and officers.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While we maintain directors’ and officers’ liability insurance, such insurance may not be adequate to cover all liabilities that we may incur, which may reduce our available funds to satisfy third-party claims and may adversely impact our cash position.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Our amended and restated certificate of incorporation provides that the Court of Chancery of the State of Delaware will, to the fullest extent permitted by applicable law, be the exclusive forum for substantially all disputes between us and our stockholders, which could limit our stockholders’ ability to obtain a favorable judicial forum for disputes with us or our directors, officers or employees.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amended and restated certificate of incorporation provides that the Court of Chancery of the State of Delaware (or, in the event that the Court of Chancery does not have jurisdiction, the federal district court for the District of Delaware or other state courts of the State of Delaware), to the fullest extent permitted by applicable law, is the exclusive forum for the following types of actions or proceedings under Delaware statutory or common law:</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any derivative action or proceeding brought on our behalf;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any action or proceeding asserting a claim of breach of a fiduciary duty owed by any of our current or former directors, officers or other employees to us or our stockholders;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any action or proceeding asserting a claim against us or any of our current or former directors, officers or other employees, arising out of or pursuant to any provision of the DGCL, our certificate of incorporation or our bylaws;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any action or proceeding to interpret, apply, enforce or determine the validity of our certificate of incorporation or our bylaws;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any action or proceeding asserting a claim against us by any of our directors, officers or other employees governed by the internal affairs doctrine. </w:t>
      </w:r>
    </w:p>
    <w:p>
      <w:pPr>
        <w:pStyle w:val="TextBody"/>
        <w:spacing w:lineRule="auto" w:line="273" w:before="240" w:after="0"/>
        <w:jc w:val="left"/>
        <w:rPr>
          <w:rFonts w:ascii="Times New Roman" w:hAnsi="Times New Roman"/>
          <w:sz w:val="20"/>
        </w:rPr>
      </w:pPr>
      <w:r>
        <w:rPr>
          <w:rFonts w:ascii="Times New Roman" w:hAnsi="Times New Roman"/>
          <w:b w:val="false"/>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These exclusive-forum provisions may limit a stockholder’s ability to bring a claim in a judicial forum that it finds favorable for disputes with us or our directors, officers or other employees, which may discourage these types of lawsuits.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r>
        <w:rPr>
          <w:rFonts w:ascii="Times New Roman" w:hAnsi="Times New Roman"/>
          <w:sz w:val="20"/>
        </w:rPr>
        <w:t xml:space="preserve"> </w:t>
      </w:r>
    </w:p>
    <w:p>
      <w:pPr>
        <w:pStyle w:val="TextBody"/>
        <w:spacing w:lineRule="auto" w:line="273" w:before="240" w:after="0"/>
        <w:jc w:val="left"/>
        <w:rPr>
          <w:rFonts w:ascii="Times New Roman" w:hAnsi="Times New Roman"/>
          <w:b/>
          <w:sz w:val="20"/>
        </w:rPr>
      </w:pPr>
      <w:r>
        <w:rPr>
          <w:rFonts w:ascii="Times New Roman" w:hAnsi="Times New Roman"/>
          <w:b/>
          <w:sz w:val="20"/>
        </w:rPr>
        <w:t>General Risk Factors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94</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i/>
          <w:sz w:val="20"/>
        </w:rPr>
        <w:t>Raising additional capital may cause dilution to our stockholders, restrict our operations or require us to relinquish rights to our technologies or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may seek additional capital through a combination of public and private equity offerings, debt financings, strategic partnerships and alliances and licensing arrangements, including through the use of our “at-the-market” facility.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vaccine candidates, or grant licenses on terms unfavorable to us.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Unstable market and economic conditions may have serious adverse consequences on our business, financial condition and stock price.</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global credit and financial markets have experienced extreme volatility and disruptions in the past several years, including most recently as a result of the COVID-19 pandemic. Such volatility and disruptions have caused and may continue to cause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pStyle w:val="TextBody"/>
        <w:spacing w:lineRule="auto" w:line="273" w:before="240" w:after="0"/>
        <w:jc w:val="left"/>
        <w:rPr>
          <w:rFonts w:ascii="Times New Roman" w:hAnsi="Times New Roman"/>
          <w:sz w:val="20"/>
        </w:rPr>
      </w:pPr>
      <w:r>
        <w:rPr>
          <w:rFonts w:ascii="Times New Roman" w:hAnsi="Times New Roman"/>
          <w:b/>
          <w:i/>
          <w:sz w:val="20"/>
        </w:rPr>
        <w:t>An active trading market for our common stock may never develop or be sustained.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common stock is currently listed on the Nasdaq Global Select Market under the symbol “PCVX.” However, we cannot assure you that an active trading market for our shares will develop or be sustained. You may not be able to sell your shares quickly or at the market price if trading in shares of our common stock is not active. Further, an inactive market may also impair our ability to raise capital by selling shares of our common stock and may impair our ability to enter into strategic partnerships or acquire companies or products by using our shares of common stock as consideration.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Our financial condition and results of operations may fluctuate from quarter to quarter and year to year, which makes them difficult to predict.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expect our financial condition and results of operations to fluctuate from quarter to quarter and year to year due to a variety of factors, many of which are beyond our control. Accordingly, you should not rely upon the results of any quarterly or annual periods as indications of future operating performance.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We will incur significant increased costs as a result of operating as a public company, and our management will be required to devote substantial time to new compliance initiatives.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As a public company, we will incur significant legal, accounting, investor relations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Stockholder activism, the current political environment and the current high level of U.S. government intervention and regulatory reform</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may also lead to substantial new regulations and disclosure obligations, which may in turn lead to additional compliance costs and impact the manner in which we operate our business in ways we do not currently anticipate. Our management and other personnel will need to devote a substantial amount of time to comply with these requirements. Moreover, these requirements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Pursuant to Section 404 of the Sarbanes-Oxley Act, we are required to furnish a report by management related to the internal control over financial reporting in our Form 10-K for the year ended December 31, 2021 and we will be required to include an attestation report on internal control over financial reporting issued by our independent registered public accounting firm. The rules governing the standards that must be met for management to assess our internal control over financial reporting are complex and require significant documentation, testing and possible remediation. 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 We are currently in the process of hiring additional accounting and finance staff as we grow our business. If we are unable to hire the additional accounting and finance staff necessary to comply with these requirements, we may need to retain additional outside consultants. If we or, if required, our auditors, are unable to conclude that our internal control over financial reporting is effective, investors may lose confidence in our financial reporting and the trading price of our common stock may decline.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There can be no assurance that there will not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that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Our reported financial results may be adversely affected by changes in accounting principles generally accepted in the United States.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Generally accepted accounting principles in the United States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Our disclosure controls and procedures may not prevent or detect all errors or acts of fraud.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These inherent limitations include the realities that judgments in decision-making can be faulty, and that breakdowns can occur because of simple error or mistake. Additionally, controls can be circumvented by the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96</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spacing w:lineRule="auto" w:line="273" w:before="240" w:after="0"/>
        <w:jc w:val="left"/>
        <w:rPr>
          <w:rFonts w:ascii="Times New Roman" w:hAnsi="Times New Roman"/>
          <w:sz w:val="20"/>
        </w:rPr>
      </w:pPr>
      <w:r>
        <w:rPr>
          <w:rFonts w:ascii="Times New Roman" w:hAnsi="Times New Roman"/>
          <w:b/>
          <w:i/>
          <w:sz w:val="20"/>
        </w:rPr>
        <w:t>If securities or industry analysts do not publish research or publish inaccurate or unfavorable research about our business, our stock price and trading volume could decline.</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trading market for our common stock depends in part on the research and reports that securities or industry analysts publish about us or our business. We do not have control over these analysts. If securities or industry analysts do not publish research or reports about our business, the trading price for our stock would likely be negatively impacted.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97</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bookmarkStart w:id="4" w:name="item_1b_unresolved_staff_comments"/>
      <w:bookmarkEnd w:id="4"/>
      <w:r>
        <w:rPr>
          <w:rFonts w:ascii="Times New Roman" w:hAnsi="Times New Roman"/>
          <w:b/>
          <w:sz w:val="20"/>
        </w:rPr>
        <w:t>Item 1B. Unresolved Staff Comments.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None.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bookmarkStart w:id="5" w:name="item_2_properties"/>
      <w:bookmarkEnd w:id="5"/>
      <w:r>
        <w:rPr>
          <w:rFonts w:ascii="Times New Roman" w:hAnsi="Times New Roman"/>
          <w:b/>
          <w:sz w:val="20"/>
        </w:rPr>
        <w:t>Item 2. Properties.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corporate headquarters is located at 825 Industrial Road, Suite 300, San Carlos, California 94070, where we lease and occupy 77,734 square feet of laboratory and office space. Our lease for our San Carlos headquarters expires on December 31, 2025. We use our corporate headquarters primarily for corporate research, development, regulatory, manufacturing and quality functions. We believe that our existing facilities are adequate to meet our current needs.</w:t>
      </w:r>
    </w:p>
    <w:p>
      <w:pPr>
        <w:pStyle w:val="TextBody"/>
        <w:spacing w:lineRule="auto" w:line="273" w:before="240" w:after="0"/>
        <w:jc w:val="left"/>
        <w:rPr>
          <w:rFonts w:ascii="Times New Roman" w:hAnsi="Times New Roman"/>
          <w:sz w:val="20"/>
        </w:rPr>
      </w:pPr>
      <w:bookmarkStart w:id="6" w:name="item_3_legal_proceedings"/>
      <w:bookmarkEnd w:id="6"/>
      <w:r>
        <w:rPr>
          <w:rFonts w:ascii="Times New Roman" w:hAnsi="Times New Roman"/>
          <w:b/>
          <w:sz w:val="20"/>
        </w:rPr>
        <w:t>Item 3. Legal Proceedings.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From time to time we may become involved in legal proceedings or be subject to claims arising in the ordinary course of our business. We are not presently a party to any legal proceedings that in the opinion of our management, if determined unfavorably to us, would have a material adverse effect on our business, financial condition, operating results or cash flows. Regardless of the outcome, litigation can, among other things, be time consuming and expensive to resolve and divert management resources.</w:t>
      </w:r>
      <w:r>
        <w:rPr>
          <w:rFonts w:ascii="Times New Roman" w:hAnsi="Times New Roman"/>
          <w:sz w:val="20"/>
        </w:rPr>
        <w:t xml:space="preserve"> </w:t>
      </w:r>
    </w:p>
    <w:p>
      <w:pPr>
        <w:pStyle w:val="TextBody"/>
        <w:spacing w:lineRule="auto" w:line="273" w:before="240" w:after="0"/>
        <w:jc w:val="left"/>
        <w:rPr>
          <w:rFonts w:ascii="Times New Roman" w:hAnsi="Times New Roman"/>
          <w:b/>
          <w:sz w:val="20"/>
        </w:rPr>
      </w:pPr>
      <w:bookmarkStart w:id="7" w:name="item_4_mine_safety_disclosures"/>
      <w:bookmarkEnd w:id="7"/>
      <w:r>
        <w:rPr>
          <w:rFonts w:ascii="Times New Roman" w:hAnsi="Times New Roman"/>
          <w:b/>
          <w:sz w:val="20"/>
        </w:rPr>
        <w:t>Item 4. Mine Safety Disclosures.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Not applicable.</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98</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PART II</w:t>
      </w:r>
    </w:p>
    <w:p>
      <w:pPr>
        <w:pStyle w:val="TextBody"/>
        <w:spacing w:lineRule="auto" w:line="273" w:before="240" w:after="0"/>
        <w:jc w:val="left"/>
        <w:rPr>
          <w:rFonts w:ascii="Times New Roman" w:hAnsi="Times New Roman"/>
          <w:sz w:val="20"/>
        </w:rPr>
      </w:pPr>
      <w:bookmarkStart w:id="8" w:name="item_5_market_for_registrants_common_equ"/>
      <w:bookmarkEnd w:id="8"/>
      <w:r>
        <w:rPr>
          <w:rFonts w:ascii="Times New Roman" w:hAnsi="Times New Roman"/>
          <w:b/>
          <w:sz w:val="20"/>
        </w:rPr>
        <w:t>Item 5. Market for Registrant’s Common Equity, Related Stockholder Matters and Issuer Purchases of Equity Securities.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Market Information for Our Common Stock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common stock commenced trading on the Nasdaq Global Select Market under the symbol “PCVX” on June 12, 2020.</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Holders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As of February 23, 2022, there were approximately 21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Dividend Policy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not declared or paid any cash dividend on our common stock. We intend to retain any future earnings and do not expect to pay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Securities Authorized for Issuance under Equity Compensation Plans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Information about our equity compensation plans is incorporated herein by reference to Item 12 of Part III of this Annual Report on Form 10-K.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Stock Performance Graph</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 except to the extent that we specifically incorporate this information by reference therein, whether made before or after the date hereof and irrespective of any general incorporation language in any such filing.</w:t>
      </w:r>
    </w:p>
    <w:p>
      <w:pPr>
        <w:pStyle w:val="TextBody"/>
        <w:spacing w:lineRule="auto" w:line="273" w:before="240" w:after="0"/>
        <w:jc w:val="left"/>
        <w:rPr>
          <w:rFonts w:ascii="Times New Roman" w:hAnsi="Times New Roman"/>
          <w:sz w:val="20"/>
        </w:rPr>
      </w:pPr>
      <w:r>
        <w:rPr>
          <w:rFonts w:ascii="Times New Roman" w:hAnsi="Times New Roman"/>
          <w:b w:val="false"/>
          <w:sz w:val="20"/>
        </w:rPr>
        <w:t>The following stock performance graph compares our cumulative total stock return relative to the cumulative total returns of the Nasdaq Composite Index and the Nasdaq Biotechnology Index for the period from June 12, 2020 (the date our common stock commenced trading on the Nasdaq Global Select Market) through December 31, 2021. The figures below assume an investment of $100 in our common stock at the closing price of $26.15 on June 12, 2020, the date of our IPO, and in each index on the same date and the reinvestment of the full amount of all dividends into shares of common stock; however, no dividends have been declared on our common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stock to date. The stockholder returns shown on the graph below are based on historical results and are not indicative of future performance, and we do not make or endorse any predictions as to future stockholder returns.</w:t>
      </w:r>
    </w:p>
    <w:p>
      <w:pPr>
        <w:pStyle w:val="TextBody"/>
        <w:spacing w:lineRule="auto" w:line="273" w:before="0" w:after="0"/>
        <w:jc w:val="left"/>
        <w:rPr/>
      </w:pPr>
      <w:r>
        <w:rPr/>
        <w:t> </w:t>
      </w:r>
    </w:p>
    <w:p>
      <w:pPr>
        <w:pStyle w:val="TextBody"/>
        <w:spacing w:lineRule="auto" w:line="273" w:before="240" w:after="0"/>
        <w:jc w:val="center"/>
        <w:rPr/>
      </w:pPr>
      <w:r>
        <w:rPr/>
        <w:drawing>
          <wp:inline distT="0" distB="0" distL="0" distR="0">
            <wp:extent cx="5057775" cy="2657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057775" cy="2657475"/>
                    </a:xfrm>
                    <a:prstGeom prst="rect">
                      <a:avLst/>
                    </a:prstGeom>
                  </pic:spPr>
                </pic:pic>
              </a:graphicData>
            </a:graphic>
          </wp:inline>
        </w:drawing>
      </w: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Unregistered Sales of Equity Securities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240" w:after="0"/>
        <w:jc w:val="left"/>
        <w:rPr>
          <w:rFonts w:ascii="Times New Roman" w:hAnsi="Times New Roman"/>
          <w:sz w:val="20"/>
        </w:rPr>
      </w:pPr>
      <w:r>
        <w:rPr>
          <w:rFonts w:ascii="Times New Roman" w:hAnsi="Times New Roman"/>
          <w:b/>
          <w:sz w:val="20"/>
        </w:rPr>
        <w:t>Use of Proceeds from our Public Offering of Common Stock</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June 2020, we closed our IPO of 17,968,750 shares of our common stock, including shares issued upon the exercise in full of the underwriters’ option to purchase 2,343,750 additional shares of common stock, at a public offering price of $16.00 per share. We received gross proceeds to us of $287.5 million. All of the shares issued and sold in our IPO were registered under the Securities Act pursuant to a registration statement on Form S-1 (File No. 333-238630), which was declared effective by the SEC on June 11, 2020. BofA Securities, Inc., Jefferies LLC and Evercore Group L.L.C. acted as joint book-running managers for the offering. Cantor Fitzgerald &amp; Co. and Needham &amp; Company, LLC acted as co-managers for the offering. Shares of our common stock began trading on the Nasdaq Global Select Market on June 12, 2020 and, following the sale of all the shares upon the closing of the IPO, the offer terminated.</w:t>
      </w:r>
    </w:p>
    <w:p>
      <w:pPr>
        <w:pStyle w:val="TextBody"/>
        <w:spacing w:lineRule="auto" w:line="273" w:before="240" w:after="0"/>
        <w:jc w:val="left"/>
        <w:rPr>
          <w:rFonts w:ascii="Times New Roman" w:hAnsi="Times New Roman"/>
          <w:sz w:val="20"/>
        </w:rPr>
      </w:pPr>
      <w:r>
        <w:rPr>
          <w:rFonts w:ascii="Times New Roman" w:hAnsi="Times New Roman"/>
          <w:b w:val="false"/>
          <w:sz w:val="20"/>
        </w:rPr>
        <w:t>The net proceeds to us, after deducting underwriting discounts and commissions of $20.1 million and net offering expenses of $3.4 million, were $264.0 million. No offering expenses were paid directly or indirectly to any of our directors or officers (or their associates) or persons owning ten percent or more of any class of our equity securities or to any other affiliates. There has been no material change in the planned use of proceeds from our IPO from those disclosed in the prospectus for our IPO dated as of June 11, 2020 and filed with the SEC pursuant to Rule 424(b)(4) under the Securities Act on June 15, 2020.</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Issuers Purchases of Equity Securities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During the quarter ended December 31, 2021, we did not purchase any of our equity securities that are registered under Section 12 of the Exchange Act.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bookmarkStart w:id="9" w:name="reserved"/>
      <w:bookmarkEnd w:id="9"/>
      <w:r>
        <w:rPr>
          <w:rFonts w:ascii="Times New Roman" w:hAnsi="Times New Roman"/>
          <w:b/>
          <w:sz w:val="20"/>
        </w:rPr>
        <w:t xml:space="preserve">Item 6. </w:t>
      </w:r>
      <w:bookmarkStart w:id="10" w:name="item_6_selected_financial_data"/>
      <w:bookmarkEnd w:id="10"/>
      <w:r>
        <w:rPr>
          <w:rFonts w:ascii="Times New Roman" w:hAnsi="Times New Roman"/>
          <w:b/>
          <w:sz w:val="20"/>
        </w:rPr>
        <w:t>[Reserved]</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100</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bookmarkStart w:id="11" w:name="item_7_managements_discussion_analysis_f"/>
      <w:bookmarkEnd w:id="11"/>
      <w:r>
        <w:rPr>
          <w:rFonts w:ascii="Times New Roman" w:hAnsi="Times New Roman"/>
          <w:b/>
          <w:sz w:val="20"/>
        </w:rPr>
        <w:t>Item 7. Management’s Discussion and Analysis of Financial Condition and Results of Operations.</w:t>
      </w:r>
    </w:p>
    <w:p>
      <w:pPr>
        <w:pStyle w:val="TextBody"/>
        <w:spacing w:lineRule="auto" w:line="273" w:before="240" w:after="0"/>
        <w:jc w:val="left"/>
        <w:rPr>
          <w:rFonts w:ascii="Times New Roman" w:hAnsi="Times New Roman"/>
          <w:sz w:val="20"/>
        </w:rPr>
      </w:pPr>
      <w:r>
        <w:rPr>
          <w:rFonts w:ascii="Times New Roman" w:hAnsi="Times New Roman"/>
          <w:b w:val="false"/>
          <w:i/>
          <w:sz w:val="20"/>
        </w:rPr>
        <w:t>The following discussion and analysis of our financial condition and results of operations should be read in conjunction with our financial statements and related notes and other financial information included elsewhere in this Annual Report on Form 10-K. This discussion and analysis contains forward-looking statements based upon our current beliefs,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the section titled “Risk Factors” and elsewhere in this Annual Report on Form 10-K. You should carefully read the “Risk Factors” section of this Annual Report on Form 10-K to gain an understanding of the important factors that could cause actual results to differ materially from our forward-looking statements. Please also see the section titled “Special Note Regarding Forward-Looking Statements.”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Overview</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are a clinical-stage vaccine innovation company engineering high-fidelity vaccines to protect humankind from the consequences of bacterial diseases. We are developing broad-spectrum conjugate and novel protein vaccines to prevent or treat bacterial infectious diseases. We are re-engineering the way highly complex vaccines are made through modern synthetic techniques, including advanced chemistry and the XpressCF cell-free protein synthesis platform, exclusively licensed from Sutro Biopharma, Inc. Unlike conventional cell-based approaches, our system for producing difficult-to-make proteins and antigens is intended to accelerate our ability to efficiently create and deliver high-fidelity vaccines with enhanced immunological benefits. Our pipeline includes pneumococcal conjugate vaccine, or PCV, candidates that we believe are among the most broad-spectrum PCV candidates currently in development, targeting the approximately $7 billion global pneumococcal vaccine market. Our lead vaccine candidate, VAX-24, is a 24-valent, broad-spectrum investigational PCV being developed for the prevention of invasive pneumococcal disease, or IPD, and pneumonia. On January 6, 2022, we announced that the U.S. Food and Drug Administration, or FDA, cleared our investigational new drug, or IND, application for VAX-24. On February 23, 2022, we announced the initiation of our Phase 1/2 clinical proof-of-concept study in adults aged 18 to 64. We expect to announce topline safety, tolerability and immunogenicity results from this study by the end of 2022. Pending the successful completion of the Phase 1 portion of this study, we expect to begin enrollment in a separate Phase 2 study in healthy adults aged 65 and older and to announce topline safety, tolerability and immunogenicity results from this Phase 2 study in the first half of 2023. We also anticipate submitting our first VAX-24 pediatric IND application to the FDA in the first half of 2023, subject to a pre-IND meeting with the FDA and successful topline results from the VAX-24 Phase 1/2 study in adults aged 18 to 64. Our second PCV candidate, VAX-XP, leverages our scalable and modular platform and builds on the technical proof of concept established by VAX-24 and is designed to expand the breadth of coverage to greater than 30 strains without compromising immunogenicity due to carrier suppression. In addition to our PCV franchise, we are developing a novel conjugate vaccine candidate for Group A Strep and a novel protein vaccine candidate targeting the keystone pathogen responsible for periodontitis.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Since January 1, 2021, key developments affecting our business include the following:</w:t>
      </w:r>
    </w:p>
    <w:p>
      <w:pPr>
        <w:pStyle w:val="TextBody"/>
        <w:spacing w:lineRule="auto" w:line="273" w:before="240" w:after="0"/>
        <w:jc w:val="left"/>
        <w:rPr/>
      </w:pPr>
      <w:r>
        <w:rPr/>
        <w:t>•</w:t>
      </w:r>
    </w:p>
    <w:p>
      <w:pPr>
        <w:pStyle w:val="TextBody"/>
        <w:spacing w:lineRule="auto" w:line="273" w:before="240" w:after="0"/>
        <w:jc w:val="left"/>
        <w:rPr/>
      </w:pPr>
      <w:r>
        <w:rPr>
          <w:rFonts w:ascii="Times New Roman" w:hAnsi="Times New Roman"/>
          <w:b/>
          <w:sz w:val="20"/>
        </w:rPr>
        <w:t>Completed the Manufacture of VAX-24 Drug Product:</w:t>
      </w:r>
      <w:r>
        <w:rPr/>
        <w:t xml:space="preserve"> </w:t>
      </w:r>
      <w:r>
        <w:rPr>
          <w:rFonts w:ascii="Times New Roman" w:hAnsi="Times New Roman"/>
          <w:b w:val="false"/>
          <w:sz w:val="20"/>
        </w:rPr>
        <w:t>In the fourth quarter of 2021, we completed all steps in the manufacturing process, including formulation, fill and finish, along with the testing and release, for the VAX-24 drug product. This achievement led to the submission of the VAX-24 IND application to the FDA before the end of 2021.</w:t>
      </w:r>
    </w:p>
    <w:p>
      <w:pPr>
        <w:pStyle w:val="TextBody"/>
        <w:spacing w:lineRule="auto" w:line="273" w:before="240" w:after="0"/>
        <w:jc w:val="left"/>
        <w:rPr/>
      </w:pPr>
      <w:r>
        <w:rPr/>
        <w:t>•</w:t>
      </w:r>
    </w:p>
    <w:p>
      <w:pPr>
        <w:pStyle w:val="TextBody"/>
        <w:spacing w:lineRule="auto" w:line="273" w:before="240" w:after="283"/>
        <w:jc w:val="left"/>
        <w:rPr/>
      </w:pPr>
      <w:r>
        <w:rPr>
          <w:rFonts w:ascii="Times New Roman" w:hAnsi="Times New Roman"/>
          <w:b/>
          <w:sz w:val="20"/>
        </w:rPr>
        <w:t>Dosed First Participants in VAX-24 Phase 1/2 Clinical Study:</w:t>
      </w:r>
      <w:r>
        <w:rPr/>
        <w:t xml:space="preserve"> </w:t>
      </w:r>
      <w:r>
        <w:rPr>
          <w:rFonts w:ascii="Times New Roman" w:hAnsi="Times New Roman"/>
          <w:b w:val="false"/>
          <w:sz w:val="20"/>
        </w:rPr>
        <w:t xml:space="preserve">Following the early January 2022 clearance of the VAX-24 IND application, we initiated the Phase 1/2 clinical study of VAX-24, a 24-valent PCV candidate designed to prevent IPD and pneumonia in adults. The VAX-24 clinical proof-of-concept study is a randomized, observer-blind, dose-finding, controlled study designed to evaluate the safety, tolerability and immunogenicity of VAX-24 in healthy adults. The Phase 1 portion of the study will evaluate the safety and tolerability of a single injection of VAX-24 at three dose levels and compared to Prevnar 20 in approximately 64 healthy adults 18 to 49 years of age. The Phase 2 portion will evaluate the safety, tolerability and immunogenicity of a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101</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pPr>
      <w:r>
        <w:rPr>
          <w:rFonts w:ascii="Times New Roman" w:hAnsi="Times New Roman"/>
          <w:b w:val="false"/>
          <w:sz w:val="20"/>
        </w:rPr>
        <w:t>single injection of VAX-24 at three dose levels and compared to Prevnar 20 in approximately 800 healthy adults 50 to 64 years of age. The prespecified immunogenicity endpoints of the Phase 2 portion of the study include an assessment of the induction of antibody responses, using immunoglobulin G (IgG) and opsonophagocytic activity (OPA), at each of the VAX-24 doses and compared to Prevnar 20 and, for the additional four serotypes contained in VAX-24 and Pneumovax 23 but not in Prevnar 20, the four-fold rise in antibody titers.</w:t>
      </w:r>
      <w:r>
        <w:rPr/>
        <w:t xml:space="preserve"> </w:t>
      </w:r>
    </w:p>
    <w:p>
      <w:pPr>
        <w:pStyle w:val="TextBody"/>
        <w:spacing w:lineRule="auto" w:line="273" w:before="240" w:after="0"/>
        <w:jc w:val="left"/>
        <w:rPr/>
      </w:pPr>
      <w:r>
        <w:rPr/>
        <w:t>•</w:t>
      </w:r>
    </w:p>
    <w:p>
      <w:pPr>
        <w:pStyle w:val="TextBody"/>
        <w:spacing w:lineRule="auto" w:line="273" w:before="240" w:after="0"/>
        <w:jc w:val="left"/>
        <w:rPr/>
      </w:pPr>
      <w:r>
        <w:rPr>
          <w:rFonts w:ascii="Times New Roman" w:hAnsi="Times New Roman"/>
          <w:b/>
          <w:sz w:val="20"/>
        </w:rPr>
        <w:t>Completed Successful $115 Million Follow-On Financing:</w:t>
      </w:r>
      <w:r>
        <w:rPr/>
        <w:t xml:space="preserve"> </w:t>
      </w:r>
      <w:r>
        <w:rPr>
          <w:rFonts w:ascii="Times New Roman" w:hAnsi="Times New Roman"/>
          <w:b w:val="false"/>
          <w:sz w:val="20"/>
        </w:rPr>
        <w:t>In the first quarter of 2022, we completed an underwritten public offering of 3,250,000 shares of our common stock, which included the full exercise of the underwriters’ option to purchase additional shares, and pre-funded warrants to purchase 2,500,000 shares of common stock. The shares of common stock were sold at a public offering price of $20.00 per share, and the pre-funded warrants were sold at a public offering price of $19.999 per underlying share. The aggregate gross proceeds to us from the offering were $115.0 million, before deducting underwriting discounts and commissions and other estimated offering expenses payable by us, and excluding the exercise of any pre-funded warrants.</w:t>
      </w:r>
    </w:p>
    <w:p>
      <w:pPr>
        <w:pStyle w:val="TextBody"/>
        <w:spacing w:lineRule="auto" w:line="273" w:before="240" w:after="0"/>
        <w:jc w:val="left"/>
        <w:rPr/>
      </w:pPr>
      <w:r>
        <w:rPr/>
        <w:t>•</w:t>
      </w:r>
    </w:p>
    <w:p>
      <w:pPr>
        <w:pStyle w:val="TextBody"/>
        <w:spacing w:lineRule="auto" w:line="273" w:before="240" w:after="0"/>
        <w:jc w:val="left"/>
        <w:rPr/>
      </w:pPr>
      <w:r>
        <w:rPr>
          <w:rFonts w:ascii="Times New Roman" w:hAnsi="Times New Roman"/>
          <w:b/>
          <w:sz w:val="20"/>
        </w:rPr>
        <w:t xml:space="preserve">Advanced and Presented Preclinical Data for VAX-XP Program: </w:t>
      </w:r>
      <w:r>
        <w:rPr>
          <w:rFonts w:ascii="Times New Roman" w:hAnsi="Times New Roman"/>
          <w:b w:val="false"/>
          <w:sz w:val="20"/>
        </w:rPr>
        <w:t>We have continued to advance VAX-XP, our PCV candidate with an expanded breadth of coverage of greater than 30 strains. During IDWeek 2021, we presented findings from a preclinical study that evaluated the immunogenicity of VAX-XP, which showed VAX-XP exhibited conjugate-like immune responses for all 31 serotypes, as demonstrated by IgG immune responses 14 days after both an initial and booster dose that were superior to polysaccharide-based vaccines and comparable to Prevnar 13. Additionally, all serotypes in VAX-XP elicited a T-cell dependent immune response as demonstrated by the increase in IgG titers post-boost.</w:t>
      </w:r>
    </w:p>
    <w:p>
      <w:pPr>
        <w:pStyle w:val="TextBody"/>
        <w:spacing w:lineRule="auto" w:line="273" w:before="240" w:after="0"/>
        <w:jc w:val="left"/>
        <w:rPr/>
      </w:pPr>
      <w:r>
        <w:rPr/>
        <w:t>•</w:t>
      </w:r>
    </w:p>
    <w:p>
      <w:pPr>
        <w:pStyle w:val="TextBody"/>
        <w:spacing w:lineRule="auto" w:line="273" w:before="240" w:after="0"/>
        <w:jc w:val="left"/>
        <w:rPr/>
      </w:pPr>
      <w:r>
        <w:rPr>
          <w:rFonts w:ascii="Times New Roman" w:hAnsi="Times New Roman"/>
          <w:b/>
          <w:sz w:val="20"/>
        </w:rPr>
        <w:t>Initiated VAX-A1 IND-Enabling Activities.</w:t>
      </w:r>
      <w:r>
        <w:rPr/>
        <w:t xml:space="preserve"> </w:t>
      </w:r>
      <w:r>
        <w:rPr>
          <w:rFonts w:ascii="Times New Roman" w:hAnsi="Times New Roman"/>
          <w:b w:val="false"/>
          <w:sz w:val="20"/>
        </w:rPr>
        <w:t xml:space="preserve">We continue to advance development of VAX-A1, a novel conjugate vaccine designed to prevent infections caused by Group A </w:t>
      </w:r>
      <w:r>
        <w:rPr>
          <w:rFonts w:ascii="Times New Roman" w:hAnsi="Times New Roman"/>
          <w:b w:val="false"/>
          <w:i/>
          <w:sz w:val="20"/>
        </w:rPr>
        <w:t>Streptococcus</w:t>
      </w:r>
      <w:r>
        <w:rPr>
          <w:rFonts w:ascii="Times New Roman" w:hAnsi="Times New Roman"/>
          <w:b w:val="false"/>
          <w:sz w:val="20"/>
        </w:rPr>
        <w:t>, or Strep, bacteria. Following the nomination of our final VAX-A1 vaccine candidate in the first quarter of 2021, we initiated IND-enabling studies in the second half of 2021.</w:t>
      </w:r>
    </w:p>
    <w:p>
      <w:pPr>
        <w:pStyle w:val="TextBody"/>
        <w:spacing w:lineRule="auto" w:line="273" w:before="240" w:after="0"/>
        <w:jc w:val="left"/>
        <w:rPr/>
      </w:pPr>
      <w:r>
        <w:rPr/>
        <w:t>•</w:t>
      </w:r>
    </w:p>
    <w:p>
      <w:pPr>
        <w:pStyle w:val="TextBody"/>
        <w:spacing w:lineRule="auto" w:line="273" w:before="240" w:after="283"/>
        <w:jc w:val="left"/>
        <w:rPr/>
      </w:pPr>
      <w:r>
        <w:rPr>
          <w:rFonts w:ascii="Times New Roman" w:hAnsi="Times New Roman"/>
          <w:b/>
          <w:sz w:val="20"/>
        </w:rPr>
        <w:t>Strengthened Leadership Team and Board of Directors with Key Appointments:</w:t>
      </w:r>
      <w:r>
        <w:rPr/>
        <w:t xml:space="preserve"> </w:t>
      </w:r>
      <w:r>
        <w:rPr>
          <w:rFonts w:ascii="Times New Roman" w:hAnsi="Times New Roman"/>
          <w:b w:val="false"/>
          <w:sz w:val="20"/>
        </w:rPr>
        <w:t>During 2021, we added several key leaders to our executive team and Board of Directors. In October, Harp Dhaliwal joined as Senior Vice President of Commercial Manufacturing and Supply Chain, and we appointed Dr. Carlos Paya, who serves as the Board Chair, and Dr. Michael Kamarck to our board of directors. This followed the September 2021 board appointments of Annie Drapeau and Teri Loxam. These accomplished industry leaders have deep experience across the biopharmaceutical and vaccine industries and will provide additional skills and expertise as we advance and scale our business.</w:t>
      </w:r>
    </w:p>
    <w:p>
      <w:pPr>
        <w:pStyle w:val="TextBody"/>
        <w:spacing w:lineRule="auto" w:line="273" w:before="240" w:after="0"/>
        <w:jc w:val="left"/>
        <w:rPr>
          <w:rFonts w:ascii="Times New Roman" w:hAnsi="Times New Roman"/>
          <w:sz w:val="20"/>
        </w:rPr>
      </w:pPr>
      <w:r>
        <w:rPr>
          <w:rFonts w:ascii="Times New Roman" w:hAnsi="Times New Roman"/>
          <w:b w:val="false"/>
          <w:sz w:val="20"/>
        </w:rPr>
        <w:t>Since our inception in November 2013, we have devoted substantially all of our resources to performing research and development, undertaking preclinical studies and enabling manufacturing activities in support of our product development efforts, acquiring and developing our technology and vaccine candidates, organizing and staffing our company, performing business planning, establishing our intellectual property portfolio and raising capital to support and expand such activities. We do not have any products approved for sale and have not generated any revenue from product sales. To date, we have financed our operations primarily with proceeds from the sales of our redeemable convertible preferred stock, common stock and pre-funded warrants to purchase common stock. We will continue to require additional capital to develop our vaccine candidates and fund operations for the foreseeable future. Accordingly, until such time as we can generate significant revenue from sales of our vaccine candidates, if ever, we expect to finance our cash needs through public or private equity or debt financings, third-party (including government) funding and marketing and distribution arrangements, as well as other collaborations, strategic alliances and licensing arrangements, or any combination of these approaches.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incurred net losses in each year since inception and expect to continue to incur net losses in the foreseeable future. Our net losses may fluctuate significantly from quarter-to-quarter and year-to-year, depending in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102</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large part on the timing of our preclinical studies, clinical trials and manufacturing activities, and our expenditures on other research and development activities. Our net losses were $100.1 million and $89.2 million for the years ended December 31, 2021 and 2020, respectively. As of December 31, 2021, we had an accumulated deficit of $298.6 million and cash, cash equivalents and investments of $273.1. million, We believe our cash, cash equivalents and investments will be sufficient to fund our operating expenses and capital expenditure requirements through at least the next 12 months from the filing date of this Annual Report on Form 10-K.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do not expect to generate any revenue from commercial product sales unless and until we successfully complete development and obtain regulatory approval for one or more of our vaccine candidates, which we expect will take a number of years. We expect our expenses will increase substantially in connection with our ongoing activities, as we:</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advance our vaccine candidates through preclinical studies and clinical trials;</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require the scale-up of our manufacturing capabilities;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require the manufacture of supplies for our preclinical studies and clinical trials, in particular our PCV candidates, VAX-24 and VAX-XP;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pursue regulatory approval of our vaccine candidates;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hire additional personnel;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operate as a public company;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acquire, discover, validate and develop additional vaccine candidates;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obtain, maintain, expand and protect our intellectual property portfolio. </w:t>
      </w:r>
    </w:p>
    <w:p>
      <w:pPr>
        <w:pStyle w:val="TextBody"/>
        <w:spacing w:lineRule="auto" w:line="273" w:before="240" w:after="0"/>
        <w:jc w:val="left"/>
        <w:rPr>
          <w:rFonts w:ascii="Times New Roman" w:hAnsi="Times New Roman"/>
          <w:sz w:val="20"/>
        </w:rPr>
      </w:pPr>
      <w:r>
        <w:rPr>
          <w:rFonts w:ascii="Times New Roman" w:hAnsi="Times New Roman"/>
          <w:b w:val="false"/>
          <w:sz w:val="20"/>
        </w:rPr>
        <w:t>We rely and will continue to rely on third parties to conduct our preclinical studies and clinical trials and for manufacturing and supply of our vaccine candidates. We have no internal manufacturing capabilities, and we will continue to rely on third parties, of which the main suppliers are single-source suppliers, for our preclinical and clinical trial materials. Given our stage of development, we do not yet have a marketing or sales organization or commercial infrastructure. Accordingly, if we obtain regulatory approval for any of our vaccine candidates, we also would expect to incur significant commercialization expenses related to product sales, marketing, manufacturing and distribution.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Because of the numerous risks and uncertainties associated with vaccine development, we are unable to predict the timing or amount of increased expenses or when or if we will be able to achieve or maintain profitability. Even if we are able to generate revenue from the sale of our vaccines, we may not become profitable. If we fail to become profitable or are unable to sustain profitability on a continuing basis, then we may be unable to continue our operations at planned levels and may be forced to reduce our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Certain Significant Relationships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Sutro Biopharma</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Vaxcyte was formed through its relationship with Sutro Biopharma, in 2013 by our co-founders with the goal of utilizing Sutro Biopharma’s proprietary XpressCF platform for protein synthesis in the field of vaccines addressing infectious diseases.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to receiving funding, we entered into a license agreement with Sutro Biopharma, or the Sutro License, on August 1, 2014. The Sutro License was amended on October 12, 2015 and again on May 9, 2018 and May 29, 2018.</w:t>
      </w:r>
      <w:r>
        <w:rPr>
          <w:rFonts w:ascii="Times New Roman" w:hAnsi="Times New Roman"/>
          <w:sz w:val="20"/>
        </w:rPr>
        <w:t xml:space="preserve"> </w:t>
      </w:r>
      <w:r>
        <w:rPr>
          <w:rFonts w:ascii="Times New Roman" w:hAnsi="Times New Roman"/>
          <w:b w:val="false"/>
          <w:sz w:val="20"/>
        </w:rPr>
        <w:t>Under this license, we received an exclusive, worldwide, royalty-bearing, sublicensable license under Sutro Biopharma’s patents and know-how relating to cell-free expression of proteins to (i) research, develop, use,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103</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sell, offer for sale, export, import and otherwise exploit specified vaccine compositions, such rights being sublicensable, for the treatment or prophylaxis of infectious diseases, excluding cancer vaccines, and (ii) manufacture, or have manufactured by an approved contract manufacturing organization, such vaccine compositions from extracts supplied by Sutro Biopharma pursuant to the Sutro Biopharma Supply Agreement (as described below). We are obligated to use commercially reasonable efforts to develop, obtain regulatory approval for and commercialize the vaccine compositions.</w:t>
      </w:r>
      <w:r>
        <w:rPr>
          <w:rFonts w:ascii="Times New Roman" w:hAnsi="Times New Roman"/>
          <w:sz w:val="20"/>
        </w:rPr>
        <w:t xml:space="preserve"> </w:t>
      </w:r>
      <w:r>
        <w:rPr>
          <w:rFonts w:ascii="Times New Roman" w:hAnsi="Times New Roman"/>
          <w:b w:val="false"/>
          <w:sz w:val="20"/>
        </w:rPr>
        <w:t>In consideration of the rights granted under the Sutro License, we are obligated to pay Sutro Biopharma a 4% royalty on worldwide aggregate net sales of vaccine products for human health and a 2% royalty on such net sales of vaccine products for animal health. Such royalty rates are subject to specified reductions, including standard reductions for third-party payments and for expiration of relevant patent claims. Royalties are payable on a vaccine composition-by-vaccine composition and country-by-country basis until the later of expiration of the last valid claim in the licensed patents covering such vaccine composition in such country and ten years after the first commercial sale of such vaccine composition. In addition, we are obligated to pay Sutro Biopharma a percentage in the low-double digits of any net sublicensing revenue received for sublicense agreements executed before July 2020. Our obligation to pay sublicense fees to Sutro Biopharma expired in July 2020.</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May 2018, we entered into a supply agreement, which we refer to as the Sutro Biopharma Supply Agreement, with Sutro Biopharma pursuant to which we purchase from Sutro Biopharma extract and custom reagents for use in manufacturing non-clinical and certain clinical supply of vaccine compositions utilizing the technology licensed under the Sutro License at prices not to exceed a specified percentage above Sutro Biopharma’s fully burdened manufacturing cost. If any extracts or custom reagents do not meet the specifications and warranties provided, then we will not have an obligation to pay for the non-conforming product, and Sutro Biopharma will be obligated to replace the non-conforming product within the shortest possible time with conforming product at our cost. The term of the Sutro Biopharma Supply Agreement is from execution until the later of July 31, 2021 and the date the parties enter into and commence activities under the supply agreement unless extended through a subsequent supply agreement for the supply of extract and custom reagents for vaccine compositions for Phase 3 and commercial uses as contemplated in the Supply Agreement. In February 2021, we entered into an amendment to the Sutro Biopharma Supply Agreement and extended the term to July 31, 2022.</w:t>
      </w:r>
    </w:p>
    <w:p>
      <w:pPr>
        <w:pStyle w:val="TextBody"/>
        <w:spacing w:lineRule="auto" w:line="266" w:before="240" w:after="0"/>
        <w:jc w:val="left"/>
        <w:rPr>
          <w:rFonts w:ascii="Times New Roman" w:hAnsi="Times New Roman"/>
          <w:sz w:val="20"/>
        </w:rPr>
      </w:pPr>
      <w:r>
        <w:rPr>
          <w:rFonts w:ascii="Times New Roman" w:hAnsi="Times New Roman"/>
          <w:b w:val="false"/>
          <w:sz w:val="20"/>
        </w:rPr>
        <w:t>For additional details regarding our relationship with Sutro Biopharma, see Note 14, “Related Party Transactions,” to our financial statements included in Part II, Item 8 of this Annual Report on Form 10-K.</w:t>
      </w:r>
      <w:r>
        <w:rPr>
          <w:rFonts w:ascii="Times New Roman" w:hAnsi="Times New Roman"/>
          <w:sz w:val="20"/>
        </w:rPr>
        <w:t xml:space="preserve"> </w:t>
      </w:r>
    </w:p>
    <w:p>
      <w:pPr>
        <w:pStyle w:val="TextBody"/>
        <w:spacing w:lineRule="auto" w:line="266" w:before="240" w:after="0"/>
        <w:jc w:val="left"/>
        <w:rPr>
          <w:rFonts w:ascii="Times New Roman" w:hAnsi="Times New Roman"/>
          <w:sz w:val="20"/>
        </w:rPr>
      </w:pPr>
      <w:r>
        <w:rPr>
          <w:rFonts w:ascii="Times New Roman" w:hAnsi="Times New Roman"/>
          <w:b w:val="false"/>
          <w:i/>
          <w:sz w:val="20"/>
        </w:rPr>
        <w:t>Lonza</w:t>
      </w:r>
      <w:r>
        <w:rPr>
          <w:rFonts w:ascii="Times New Roman" w:hAnsi="Times New Roman"/>
          <w:sz w:val="20"/>
        </w:rPr>
        <w:t xml:space="preserve"> </w:t>
      </w:r>
    </w:p>
    <w:p>
      <w:pPr>
        <w:pStyle w:val="TextBody"/>
        <w:spacing w:lineRule="auto" w:line="266" w:before="240" w:after="0"/>
        <w:jc w:val="left"/>
        <w:rPr>
          <w:rFonts w:ascii="Times New Roman" w:hAnsi="Times New Roman"/>
          <w:sz w:val="20"/>
        </w:rPr>
      </w:pPr>
      <w:r>
        <w:rPr>
          <w:rFonts w:ascii="Times New Roman" w:hAnsi="Times New Roman"/>
          <w:b w:val="false"/>
          <w:sz w:val="20"/>
        </w:rPr>
        <w:t>In October 2016, we entered into a development and manufacturing services agreement, as amended, with Lonza Ltd., or the Lonza DMSA, pursuant to which Lonza Ltd., or Lonza, is obligated to perform services including manufacturing process development and the manufacture of components for VAX-24, including the polysaccharide antigens, our proprietary eCRM protein carrier and conjugated drug substances.</w:t>
      </w:r>
      <w:r>
        <w:rPr>
          <w:rFonts w:ascii="Times New Roman" w:hAnsi="Times New Roman"/>
          <w:sz w:val="20"/>
        </w:rPr>
        <w:t xml:space="preserve"> </w:t>
      </w:r>
    </w:p>
    <w:p>
      <w:pPr>
        <w:pStyle w:val="TextBody"/>
        <w:spacing w:lineRule="auto" w:line="266" w:before="240" w:after="0"/>
        <w:jc w:val="left"/>
        <w:rPr>
          <w:rFonts w:ascii="Times New Roman" w:hAnsi="Times New Roman"/>
          <w:b w:val="false"/>
          <w:sz w:val="20"/>
        </w:rPr>
      </w:pPr>
      <w:r>
        <w:rPr>
          <w:rFonts w:ascii="Times New Roman" w:hAnsi="Times New Roman"/>
          <w:b w:val="false"/>
          <w:sz w:val="20"/>
        </w:rPr>
        <w:t>In September 2017, we and Lonza agreed to defer the completion payments for any stage that commenced after December 31, 2019 or had not been completed by December 31, 2019 until the earlier of the completion of all IND-enabling activities or December 31, 2020. In March 2020, Lonza agreed to defer the completion payments until the earlier of the completion of all IND-enabling activities or April 30, 2021. In April 2021, Lonza further agreed to defer 50% of the completion payments until the earlier of the completion of all IND-enabling activities or December 31, 2021.</w:t>
      </w:r>
    </w:p>
    <w:p>
      <w:pPr>
        <w:pStyle w:val="TextBody"/>
        <w:spacing w:lineRule="auto" w:line="266" w:before="240" w:after="0"/>
        <w:jc w:val="left"/>
        <w:rPr>
          <w:rFonts w:ascii="Times New Roman" w:hAnsi="Times New Roman"/>
          <w:sz w:val="20"/>
        </w:rPr>
      </w:pPr>
      <w:r>
        <w:rPr>
          <w:rFonts w:ascii="Times New Roman" w:hAnsi="Times New Roman"/>
          <w:b w:val="false"/>
          <w:sz w:val="20"/>
        </w:rPr>
        <w:t>In June 2018, we entered into a letter agreement with Lonza, pursuant to which we agreed to certain terms for potential future payments in shares of our common stock as partial satisfaction of future obligations to Lonza. Specifically, we and Lonza agreed that the initial pre-IND cash payments made by us to Lonza would be subject to a specified dollar cap, which we refer to as the Initial Cash Cap. After the Initial Cash Cap has been reached, then at our election, we would have the option to make any further pre-IND payments owed to Lonza in cash, in shares of our common stock at then market prevailing prices, or a combination of both, provided that (i) Lonza had the right to elect to receive up to 25% of pre-IND payments in shares of our common stock, up to a maximum of $2.5 million, and (ii) we had the right to issue no more than $10.0 million of pre-IND payments in shares of our common stock. In April 2021, we reached the Initial Cash Cap and notified Lonza that we would be exercising our option to issue approximately $10.0 million in shares of our common stock as payment for a portion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104</w:t>
      </w:r>
    </w:p>
    <w:p>
      <w:pPr>
        <w:pStyle w:val="HorizontalLine"/>
        <w:rPr/>
      </w:pPr>
      <w:r>
        <w:rPr/>
      </w:r>
    </w:p>
    <w:p>
      <w:pPr>
        <w:pStyle w:val="TextBody"/>
        <w:spacing w:lineRule="auto" w:line="273" w:before="0" w:after="0"/>
        <w:jc w:val="left"/>
        <w:rPr/>
      </w:pPr>
      <w:r>
        <w:rPr/>
        <w:t> </w:t>
      </w:r>
    </w:p>
    <w:p>
      <w:pPr>
        <w:pStyle w:val="TextBody"/>
        <w:spacing w:lineRule="auto" w:line="266" w:before="240" w:after="0"/>
        <w:jc w:val="left"/>
        <w:rPr>
          <w:rFonts w:ascii="Times New Roman" w:hAnsi="Times New Roman"/>
          <w:sz w:val="20"/>
        </w:rPr>
      </w:pPr>
      <w:r>
        <w:rPr>
          <w:rFonts w:ascii="Times New Roman" w:hAnsi="Times New Roman"/>
          <w:b w:val="false"/>
          <w:sz w:val="20"/>
        </w:rPr>
        <w:t>of pre-IND payments due April 30, 2021. In June 2021, we issued 399,680 shares of our common stock to Lonza at a price of $25.02 per share to pay for $10.0 million of the pre-IND payments due April 30, 2021.</w:t>
      </w:r>
      <w:r>
        <w:rPr>
          <w:rFonts w:ascii="Times New Roman" w:hAnsi="Times New Roman"/>
          <w:sz w:val="20"/>
        </w:rPr>
        <w:t xml:space="preserve"> </w:t>
      </w:r>
    </w:p>
    <w:p>
      <w:pPr>
        <w:pStyle w:val="TextBody"/>
        <w:spacing w:lineRule="auto" w:line="266" w:before="240" w:after="0"/>
        <w:jc w:val="left"/>
        <w:rPr>
          <w:rFonts w:ascii="Times New Roman" w:hAnsi="Times New Roman"/>
          <w:b w:val="false"/>
          <w:sz w:val="20"/>
        </w:rPr>
      </w:pPr>
      <w:r>
        <w:rPr>
          <w:rFonts w:ascii="Times New Roman" w:hAnsi="Times New Roman"/>
          <w:b w:val="false"/>
          <w:sz w:val="20"/>
        </w:rPr>
        <w:t>In October 2018, we entered into a second development and manufacturing services agreement with Lonza, or the Lonza 2018 DMSA, and together with the Lonza DMSA, or the Lonza Agreements, pursuant to which Lonza is obligated to perform services including manufacturing process development and the manufacture and supply of VAX-24 finished drug product.</w:t>
      </w:r>
    </w:p>
    <w:p>
      <w:pPr>
        <w:pStyle w:val="TextBody"/>
        <w:spacing w:lineRule="auto" w:line="266" w:before="240" w:after="0"/>
        <w:jc w:val="left"/>
        <w:rPr>
          <w:rFonts w:ascii="Times New Roman" w:hAnsi="Times New Roman"/>
          <w:sz w:val="20"/>
        </w:rPr>
      </w:pPr>
      <w:r>
        <w:rPr>
          <w:rFonts w:ascii="Times New Roman" w:hAnsi="Times New Roman"/>
          <w:b w:val="false"/>
          <w:sz w:val="20"/>
        </w:rPr>
        <w:t>Under the Lonza Agreements, we will pay Lonza agreed upon fees for Lonza’s performance of manufacturing services, and we will reimburse Lonza for its out-of-pocket costs associated with purchasing raw materials, plus a customary handling fee. Each Lonza Agreement is managed by a steering committee and any dispute at the steering committee will be resolved by senior executives of the parties.</w:t>
      </w:r>
      <w:r>
        <w:rPr>
          <w:rFonts w:ascii="Times New Roman" w:hAnsi="Times New Roman"/>
          <w:sz w:val="20"/>
        </w:rPr>
        <w:t xml:space="preserve"> </w:t>
      </w:r>
    </w:p>
    <w:p>
      <w:pPr>
        <w:pStyle w:val="TextBody"/>
        <w:spacing w:lineRule="auto" w:line="266" w:before="240" w:after="0"/>
        <w:jc w:val="left"/>
        <w:rPr>
          <w:rFonts w:ascii="Times New Roman" w:hAnsi="Times New Roman"/>
          <w:sz w:val="20"/>
        </w:rPr>
      </w:pPr>
      <w:r>
        <w:rPr>
          <w:rFonts w:ascii="Times New Roman" w:hAnsi="Times New Roman"/>
          <w:b w:val="false"/>
          <w:sz w:val="20"/>
        </w:rPr>
        <w:t>For additional details regarding our relationship with Lonza, see Note 6, “Commitments and Contingencies,” to our financial statements included in Part II, Item 8 of this Annual Report on Form 10-K.</w:t>
      </w:r>
      <w:r>
        <w:rPr>
          <w:rFonts w:ascii="Times New Roman" w:hAnsi="Times New Roman"/>
          <w:sz w:val="20"/>
        </w:rPr>
        <w:t xml:space="preserve"> </w:t>
      </w:r>
    </w:p>
    <w:p>
      <w:pPr>
        <w:pStyle w:val="TextBody"/>
        <w:spacing w:lineRule="auto" w:line="266" w:before="240" w:after="0"/>
        <w:jc w:val="left"/>
        <w:rPr>
          <w:rFonts w:ascii="Times New Roman" w:hAnsi="Times New Roman"/>
          <w:sz w:val="20"/>
        </w:rPr>
      </w:pPr>
      <w:r>
        <w:rPr>
          <w:rFonts w:ascii="Times New Roman" w:hAnsi="Times New Roman"/>
          <w:b/>
          <w:i/>
          <w:sz w:val="20"/>
        </w:rPr>
        <w:t>Impact of COVID-19</w:t>
      </w:r>
      <w:r>
        <w:rPr>
          <w:rFonts w:ascii="Times New Roman" w:hAnsi="Times New Roman"/>
          <w:sz w:val="20"/>
        </w:rPr>
        <w:t xml:space="preserve"> </w:t>
      </w:r>
    </w:p>
    <w:p>
      <w:pPr>
        <w:pStyle w:val="TextBody"/>
        <w:spacing w:lineRule="auto" w:line="266" w:before="240" w:after="0"/>
        <w:jc w:val="left"/>
        <w:rPr>
          <w:rFonts w:ascii="Times New Roman" w:hAnsi="Times New Roman"/>
          <w:b w:val="false"/>
          <w:sz w:val="20"/>
        </w:rPr>
      </w:pPr>
      <w:r>
        <w:rPr>
          <w:rFonts w:ascii="Times New Roman" w:hAnsi="Times New Roman"/>
          <w:b w:val="false"/>
          <w:sz w:val="20"/>
        </w:rPr>
        <w:t>We are continuing to closely monitor the impact of the global COVID-19 pandemic on our business and are taking proactive efforts designed to protect the health and safety of our employees and to maintain business continuity. We believe that the measures we have implemented and continue to implement are appropriate, and we will continue to monitor and seek to comply with guidance from governmental authorities and adjust our activities as appropriate. Based on guidance issued by federal, state and local authorities, we transitioned to a remote work model for our non-lab based employees in March 2020, while maintaining essential in-person laboratory functions in order to advance key research and development initiatives, supported by the implementation of updated onsite safety procedures, including routine testing of employees. In 2021, we began to allow non-lab employees who have been fully vaccinated to return to the office on a voluntary and limited basis. In addition, we have recently implemented requirements for employees to obtain COVID-19 booster shots.</w:t>
      </w:r>
    </w:p>
    <w:p>
      <w:pPr>
        <w:pStyle w:val="TextBody"/>
        <w:spacing w:lineRule="auto" w:line="266" w:before="240" w:after="0"/>
        <w:jc w:val="left"/>
        <w:rPr>
          <w:rFonts w:ascii="Times New Roman" w:hAnsi="Times New Roman"/>
          <w:sz w:val="20"/>
        </w:rPr>
      </w:pPr>
      <w:r>
        <w:rPr>
          <w:rFonts w:ascii="Times New Roman" w:hAnsi="Times New Roman"/>
          <w:b w:val="false"/>
          <w:sz w:val="20"/>
        </w:rPr>
        <w:t>In particular, the COVID-19 pandemic slowed raw material supply chains and travel restrictions delayed the qualification of key analytical equipment used in manufacturing and curtailed in-person CMO oversight of manufacturing, affecting our manufacturing processes. As the pandemic continues, we could see an additional impact on our ability to advance our programs, obtain supplies from our contract manufacturers or interact with regulators, ethics committees or other important agencies due to limitations in regulatory authority, employee resources or otherwise. In any event, if the COVID-19 pandemic continues and persists for an extended period of time, we could experience significant disruptions to our development timelines, which would adversely affect our business, financial condition, results of operations and growth prospects.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addition, while the potential economic impact brought by, and the duration of, the COVID-19 pandemic may be difficult to assess or predict, the pandemic could result in significant and prolonged disruption of global financial markets, reducing our ability to access capital, which could in the future negatively affect our liquidity. In addition, a recession or market correction resulting from the continued spread of COVID-19 could materially affect our business and the potential value of our common stock.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extent of the impact of the COVID-19 pandemic on our development and regulatory efforts, our ability to raise sufficient additional capital on acceptable terms, if at all,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United States and in other countries, and the effectiveness of actions taken globally to contain and treat COVID-19. For additional information about risks and uncertainties related to the COVID-19 pandemic that may impact our business, financial condition and results of operations, see the section titled “Risk Factors.”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sz w:val="20"/>
        </w:rPr>
        <w:t>Components of Results of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Operating Expenses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Research and Development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Research and development expenses represent costs incurred in performing research, development and manufacturing activities in support of our own product development efforts and include personnel-related costs (such as salaries, employee benefits and stock-based compensation) for our personnel in research and development functions; costs related to acquiring, developing and manufacturing supplies for preclinical studies, clinical trials and other studies, including fees paid to contract manufacturing organizations; costs and expenses related to agreements with contract research organizations, investigative sites and consultants to conduct non-clinical and preclinical studies and clinical trials; professional and consulting services costs; research and development consumables costs; laboratory supplies and equipment costs; and facility and other allocated costs.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Research and development expenses are expensed as incurred. Non-refundable advance payments for services that will be used or rendered for future research and development activities are recorded as prepaid expenses and recognized as expenses as the related services are performed. We do not allocate our costs by vaccine candidates, as our vaccine candidates are at an early stage of development and our research and development expenses include internal costs, such as payroll and other personnel expenses, which are not tracked by vaccine candidate. In particular, with respect to internal costs, several of our departments support multiple vaccine candidate research and development programs.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expect our research and development expenses to increase substantially in absolute dollars for the foreseeable future as we advance our vaccine candidates into and through preclinical studies and clinical trials, scale up our manufacturing operations, pursue regulatory approval of our vaccine candidates and expand our pipeline of vaccine candidates. The process of conducting the necessary preclinical and clinical research and developing the necessary manufacturing capabilities to obtain regulatory approval is costly and time-consuming. The actual probability of success for our vaccine candidates may be affected by a variety of factors, including the safety and efficacy of our vaccine candidates, early clinical data, investment in our clinical programs, competition, manufacturing capability and commercial viability. We may never succeed in achieving regulatory approval for any of our vaccine candidates. As a result of the uncertainties discussed above, we are unable to determine the duration and completion costs of our research and development projects or if, when and to what extent we will generate revenue from the commercialization and sale of our vaccine candidates.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accrue for costs related to research and development activities based on our estimates of the services received and efforts expended pursuant to quotes and contracts with vendors, including contract manufacturing organizations, or CMOs, that conduct research and development on our behalf. The financial terms of these agreements are subject to negotiation, vary from contract to contract and may result in uneven payment flows. There may be instances in which payments made to our vendors exceed the level of services provided and result in a prepayment of the research and development expense. Advance payments for goods and services to be used in future research and development activities are expensed when the activity has been performed or when the goods have been received. We make significant judgments and estimates in determining accrued research and development liabilities as of each reporting period based on the estimated time period over which services will be performed and the level of effort to be expended. If the actual timing of the performance of services or the level of effort varies from our estimate, we adjust the accrual or prepaid expense accordingly.</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w:t>
      </w:r>
    </w:p>
    <w:p>
      <w:pPr>
        <w:pStyle w:val="TextBody"/>
        <w:spacing w:lineRule="auto" w:line="273" w:before="240" w:after="0"/>
        <w:jc w:val="left"/>
        <w:rPr>
          <w:rFonts w:ascii="Times New Roman" w:hAnsi="Times New Roman"/>
          <w:sz w:val="20"/>
        </w:rPr>
      </w:pPr>
      <w:r>
        <w:rPr>
          <w:rFonts w:ascii="Times New Roman" w:hAnsi="Times New Roman"/>
          <w:b w:val="false"/>
          <w:sz w:val="20"/>
        </w:rPr>
        <w:t>Our research and development costs may vary significantly based on factors such as:</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the costs and timing of our chemistry, manufacturing and controls, or CMC, activities, including fulfilling GMP-related standards and compliance, and identifying and qualifying a second supplier;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106</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costs related to raw materials estimates from our third-party manufacturing and supply partners;</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cost of clinical trials of our vaccine candidates being greater than we anticipate;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changes in the standard of care on which a clinical development plan was based, which may require new or additional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number of sites included in the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countries in which the trials are conducted;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delays in adding a sufficient number of trial sites and recruiting suitable volunteers to participate in our clinical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number of subjects that participate in the trials;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number of doses that subjects receive;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subjects dropping out of a study or lost in follow-up;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potential additional safety monitoring requested by regulatory agencies;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duration of subject participation in the trials and follow-up;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cost and timing of manufacturing our vaccine candidates;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phase of development of our vaccine candidates;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the efficacy and safety profile of our vaccine candidates. </w:t>
      </w:r>
    </w:p>
    <w:p>
      <w:pPr>
        <w:pStyle w:val="TextBody"/>
        <w:spacing w:lineRule="auto" w:line="273" w:before="240" w:after="0"/>
        <w:jc w:val="left"/>
        <w:rPr>
          <w:rFonts w:ascii="Times New Roman" w:hAnsi="Times New Roman"/>
          <w:sz w:val="20"/>
        </w:rPr>
      </w:pPr>
      <w:r>
        <w:rPr>
          <w:rFonts w:ascii="Times New Roman" w:hAnsi="Times New Roman"/>
          <w:b w:val="false"/>
          <w:i/>
          <w:sz w:val="20"/>
        </w:rPr>
        <w:t>General and Administrative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General and administrative expenses consist primarily of costs and expenses related to personnel (including salaries, employee benefits and stock-based compensation) in our executive, legal, finance and accounting, human resources and other administrative functions; legal services, including relating to intellectual property and corporate matters; accounting, auditing, consulting and tax services; insurance; and facility and other allocated costs not otherwise included in research and development expenses. We expect our general and administrative expenses to increase substantially in absolute dollars for the foreseeable future as we increase our headcount to support our continued research and development activities and grow our business. We also anticipate that we will incur increased expenses as a result of operating as a public company, including expenses related to audit, legal, regulatory and tax-related services associated with maintaining compliance with SEC rules and regulations and those of any national securities exchange on which our securities are traded, additional insurance expenses, investor relations activities and other administrative and professional services.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Other Income (Expense), Net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Other income (expense), net includes interest expense incurred on our capital leases for lab equipment, interest income earned from our cash and cash equivalents, grant income, foreign currency transaction gains (losses) related to our Swiss Franc cash and liability balances and changes in the fair value of our redeemable convertible preferred stock tranche liability (see Note 2, “Basis of Presentation and Summary of Significant Accounting Policies,” Note 3, “Fair Value Measurements and Fair Value of Financial Instruments,” and Note 7, “Redeemable Convertible Preferred Stock,” to our financial statements included in Part II, Item 8 of this Annual Report on Form 10-K for more detail).</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107</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i/>
          <w:sz w:val="20"/>
        </w:rPr>
        <w:t>Grant Income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July 2019, we received a cost-reimbursement research award from Combating Antibiotic Resistant Bacteria Biopharmaceutical Accelerator, or CARB-X, a public-private partnership funded under a Cooperative Agreement from Assistant Secretary for Preparedness and Response/Biomedical Advanced Research and Development Authority and by awards from Wellcome Trust, Germany’s Federal Ministry of Education and Research, the United Kingdom Global Antimicrobial Resistance Innovation Fund and the Bill &amp; Melinda Gates Foundation. In connection with this funding, we entered into a cost-reimbursement sub-award agreement with the Trustees of Boston University, the administrator of the program, or the CARB-X agreement. CARB-X awarded us up to $1.6 million in initial funding to advance the development of a universal vaccine to prevent infections caused by Group A Strep Bacteria. In July 2020, the CARB-X agreement was amended with the initial funding amount increased from $1.6 million to $2.7 million. In December 2020, we reached the maximum CARB-X funding limit for this initial funding period, and subsequently submitted our funding proposal to CARB-X for the next period under our agreement. In April 2021, we received approval for the next phase of CARB-X development and executed the cost-reimbursement sub-award agreement with the Trustees of Boston University in August 2021. Pursuant to the CARB-X agreement, the award committed additional funding of $3.2 million for IND-enabling activities and total potential funding of up to $29.7 million (including the current $3.2 million award and the prior $2.7 million award) upon the achievement of future VAX-A1 development milestones. In January 2022, CARB-X revised the parameters for the contribution of CARB-X funding and implemented maximum funding levels for all grant recipients. As a result, our total funding available upon achievement of development milestones through Phase 1 human clinical trials was revised from $29.7 million to $13.9 million (inclusive of the $5.9 million awarded to date). Separately, the National Institute of Health, or NIH, awarded us up to $0.5 million in April 2021 to advance the development of a vaccine against Shigella infection. Grant income pursuant to our award agreements is recognized as we incur and pay qualifying expenses over the periods of the awards. We recognized $1.6 million, $2.5 million and $0.2 million in grant income for funding research and development under these awards during the years ended December 31, 2021, 2020 and 2019, respectively. Grant income is included as a component of Other income (expense), net in the statements of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Results of Operations</w:t>
      </w:r>
      <w:r>
        <w:rPr>
          <w:rFonts w:ascii="Times New Roman" w:hAnsi="Times New Roman"/>
          <w:sz w:val="20"/>
        </w:rPr>
        <w:t xml:space="preserve"> </w:t>
      </w:r>
    </w:p>
    <w:p>
      <w:pPr>
        <w:pStyle w:val="TextBody"/>
        <w:spacing w:lineRule="auto" w:line="273" w:before="240" w:after="0"/>
        <w:jc w:val="left"/>
        <w:rPr>
          <w:rFonts w:ascii="Times New Roman" w:hAnsi="Times New Roman"/>
          <w:b/>
          <w:i/>
          <w:sz w:val="20"/>
        </w:rPr>
      </w:pPr>
      <w:r>
        <w:rPr>
          <w:rFonts w:ascii="Times New Roman" w:hAnsi="Times New Roman"/>
          <w:b/>
          <w:i/>
          <w:sz w:val="20"/>
        </w:rPr>
        <w:t>Comparison of the Years Ended December 31, 2021 and 2020</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following table summarizes our results of operations for the periods presented:</w:t>
      </w:r>
    </w:p>
    <w:p>
      <w:pPr>
        <w:pStyle w:val="TextBody"/>
        <w:spacing w:lineRule="auto" w:line="273" w:before="0" w:after="0"/>
        <w:jc w:val="left"/>
        <w:rPr/>
      </w:pPr>
      <w:r>
        <w:rPr/>
        <w:t> </w:t>
      </w:r>
    </w:p>
    <w:tbl>
      <w:tblPr>
        <w:tblW w:w="8912" w:type="dxa"/>
        <w:jc w:val="left"/>
        <w:tblInd w:w="0" w:type="dxa"/>
        <w:tblCellMar>
          <w:top w:w="28" w:type="dxa"/>
          <w:left w:w="28" w:type="dxa"/>
          <w:bottom w:w="28" w:type="dxa"/>
          <w:right w:w="28" w:type="dxa"/>
        </w:tblCellMar>
      </w:tblPr>
      <w:tblGrid>
        <w:gridCol w:w="3331"/>
        <w:gridCol w:w="146"/>
        <w:gridCol w:w="211"/>
        <w:gridCol w:w="841"/>
        <w:gridCol w:w="166"/>
        <w:gridCol w:w="146"/>
        <w:gridCol w:w="211"/>
        <w:gridCol w:w="736"/>
        <w:gridCol w:w="166"/>
        <w:gridCol w:w="146"/>
        <w:gridCol w:w="211"/>
        <w:gridCol w:w="736"/>
        <w:gridCol w:w="166"/>
        <w:gridCol w:w="146"/>
        <w:gridCol w:w="146"/>
        <w:gridCol w:w="631"/>
        <w:gridCol w:w="776"/>
      </w:tblGrid>
      <w:tr>
        <w:trPr/>
        <w:tc>
          <w:tcPr>
            <w:tcW w:w="3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r>
      <w:tr>
        <w:trPr/>
        <w:tc>
          <w:tcPr>
            <w:tcW w:w="33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Year Ended December 31,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03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Change</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3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77" w:type="dxa"/>
            <w:gridSpan w:val="2"/>
            <w:tcBorders/>
            <w:shd w:fill="auto" w:val="clear"/>
            <w:vAlign w:val="center"/>
          </w:tcPr>
          <w:p>
            <w:pPr>
              <w:pStyle w:val="TableContents"/>
              <w:spacing w:lineRule="auto" w:line="252" w:before="0" w:after="0"/>
              <w:ind w:left="0" w:right="0" w:hanging="0"/>
              <w:jc w:val="right"/>
              <w:rPr/>
            </w:pPr>
            <w:r>
              <w:rPr/>
              <w:t> </w:t>
            </w:r>
          </w:p>
        </w:tc>
        <w:tc>
          <w:tcPr>
            <w:tcW w:w="776" w:type="dxa"/>
            <w:tcBorders/>
            <w:shd w:fill="auto" w:val="clear"/>
            <w:vAlign w:val="center"/>
          </w:tcPr>
          <w:p>
            <w:pPr>
              <w:pStyle w:val="TableContents"/>
              <w:spacing w:lineRule="auto" w:line="252" w:before="0" w:after="0"/>
              <w:ind w:left="0" w:right="0" w:firstLine="200"/>
              <w:jc w:val="right"/>
              <w:rPr/>
            </w:pPr>
            <w:r>
              <w:rPr/>
              <w:t> </w:t>
            </w:r>
          </w:p>
        </w:tc>
      </w:tr>
      <w:tr>
        <w:trPr/>
        <w:tc>
          <w:tcPr>
            <w:tcW w:w="33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78,411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73,564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4,847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w:t>
            </w:r>
          </w:p>
        </w:tc>
        <w:tc>
          <w:tcPr>
            <w:tcW w:w="77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3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25,259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16,017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9,242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57.7</w:t>
            </w:r>
          </w:p>
        </w:tc>
        <w:tc>
          <w:tcPr>
            <w:tcW w:w="776"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r>
      <w:tr>
        <w:trPr/>
        <w:tc>
          <w:tcPr>
            <w:tcW w:w="333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103,670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89,581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14,089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15.7</w:t>
            </w:r>
          </w:p>
        </w:tc>
        <w:tc>
          <w:tcPr>
            <w:tcW w:w="7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(103,670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(89,581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(14,089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15.7</w:t>
            </w:r>
          </w:p>
        </w:tc>
        <w:tc>
          <w:tcPr>
            <w:tcW w:w="7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77" w:type="dxa"/>
            <w:gridSpan w:val="2"/>
            <w:tcBorders/>
            <w:shd w:fill="auto" w:val="clear"/>
            <w:vAlign w:val="center"/>
          </w:tcPr>
          <w:p>
            <w:pPr>
              <w:pStyle w:val="TableContents"/>
              <w:spacing w:lineRule="auto" w:line="252" w:before="0" w:after="0"/>
              <w:ind w:left="0" w:right="0" w:hanging="0"/>
              <w:jc w:val="right"/>
              <w:rPr/>
            </w:pPr>
            <w:r>
              <w:rPr/>
              <w:t> </w:t>
            </w:r>
          </w:p>
        </w:tc>
        <w:tc>
          <w:tcPr>
            <w:tcW w:w="776" w:type="dxa"/>
            <w:tcBorders/>
            <w:shd w:fill="auto" w:val="clear"/>
            <w:vAlign w:val="center"/>
          </w:tcPr>
          <w:p>
            <w:pPr>
              <w:pStyle w:val="TableContents"/>
              <w:spacing w:lineRule="auto" w:line="252" w:before="0" w:after="0"/>
              <w:ind w:left="0" w:right="0" w:firstLine="200"/>
              <w:jc w:val="right"/>
              <w:rPr/>
            </w:pPr>
            <w:r>
              <w:rPr/>
              <w:t> </w:t>
            </w:r>
          </w:p>
        </w:tc>
      </w:tr>
      <w:tr>
        <w:trPr/>
        <w:tc>
          <w:tcPr>
            <w:tcW w:w="33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Interest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776" w:type="dxa"/>
            <w:tcBorders/>
            <w:shd w:fill="auto" w:val="clear"/>
            <w:vAlign w:val="center"/>
          </w:tcPr>
          <w:p>
            <w:pPr>
              <w:pStyle w:val="TableContents"/>
              <w:spacing w:lineRule="auto" w:line="252" w:before="0" w:after="0"/>
              <w:ind w:left="0" w:right="0" w:firstLine="200"/>
              <w:jc w:val="left"/>
              <w:rPr/>
            </w:pPr>
            <w:r>
              <w:rPr/>
              <w:t> </w:t>
            </w:r>
          </w:p>
        </w:tc>
      </w:tr>
      <w:tr>
        <w:trPr/>
        <w:tc>
          <w:tcPr>
            <w:tcW w:w="33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Interest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41.0</w:t>
            </w:r>
          </w:p>
        </w:tc>
        <w:tc>
          <w:tcPr>
            <w:tcW w:w="77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3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Grant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1,585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2,478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(36.0</w:t>
            </w:r>
          </w:p>
        </w:tc>
        <w:tc>
          <w:tcPr>
            <w:tcW w:w="77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3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Realized gain on 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 </w:t>
            </w:r>
          </w:p>
        </w:tc>
        <w:tc>
          <w:tcPr>
            <w:tcW w:w="77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3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Foreign currency transaction gain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1,669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(2,351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(171.0</w:t>
            </w:r>
          </w:p>
        </w:tc>
        <w:tc>
          <w:tcPr>
            <w:tcW w:w="776"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r>
      <w:tr>
        <w:trPr/>
        <w:tc>
          <w:tcPr>
            <w:tcW w:w="333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3,593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3,229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887.1</w:t>
            </w:r>
          </w:p>
        </w:tc>
        <w:tc>
          <w:tcPr>
            <w:tcW w:w="7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(100,077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(89,217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(10,860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12.2</w:t>
            </w:r>
          </w:p>
        </w:tc>
        <w:tc>
          <w:tcPr>
            <w:tcW w:w="7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pBdr>
          <w:bottom w:val="single" w:sz="6" w:space="1" w:color="000000"/>
        </w:pBdr>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i/>
          <w:sz w:val="20"/>
        </w:rPr>
        <w:t>* not meaningful</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108</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sz w:val="20"/>
        </w:rPr>
        <w:t>Operating Expenses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Research and Development Expenses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following table summarizes our research and development expenses for the periods presented:</w:t>
      </w:r>
      <w:r>
        <w:rPr>
          <w:rFonts w:ascii="Times New Roman" w:hAnsi="Times New Roman"/>
          <w:sz w:val="20"/>
        </w:rPr>
        <w:t xml:space="preserve"> </w:t>
      </w:r>
    </w:p>
    <w:p>
      <w:pPr>
        <w:pStyle w:val="TextBody"/>
        <w:spacing w:lineRule="auto" w:line="273" w:before="0" w:after="0"/>
        <w:jc w:val="left"/>
        <w:rPr/>
      </w:pPr>
      <w:r>
        <w:rPr/>
        <w:t> </w:t>
      </w:r>
    </w:p>
    <w:tbl>
      <w:tblPr>
        <w:tblW w:w="8796" w:type="dxa"/>
        <w:jc w:val="left"/>
        <w:tblInd w:w="0" w:type="dxa"/>
        <w:tblCellMar>
          <w:top w:w="28" w:type="dxa"/>
          <w:left w:w="28" w:type="dxa"/>
          <w:bottom w:w="28" w:type="dxa"/>
          <w:right w:w="28" w:type="dxa"/>
        </w:tblCellMar>
      </w:tblPr>
      <w:tblGrid>
        <w:gridCol w:w="3496"/>
        <w:gridCol w:w="146"/>
        <w:gridCol w:w="236"/>
        <w:gridCol w:w="756"/>
        <w:gridCol w:w="163"/>
        <w:gridCol w:w="163"/>
        <w:gridCol w:w="236"/>
        <w:gridCol w:w="756"/>
        <w:gridCol w:w="146"/>
        <w:gridCol w:w="146"/>
        <w:gridCol w:w="211"/>
        <w:gridCol w:w="736"/>
        <w:gridCol w:w="166"/>
        <w:gridCol w:w="146"/>
        <w:gridCol w:w="146"/>
        <w:gridCol w:w="571"/>
        <w:gridCol w:w="576"/>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34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0"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Year Ended December 31,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7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Change</w:t>
            </w:r>
          </w:p>
        </w:tc>
        <w:tc>
          <w:tcPr>
            <w:tcW w:w="5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5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 xml:space="preserve">Product and clinical development </w:t>
            </w:r>
            <w:r>
              <w:rPr>
                <w:rFonts w:ascii="Times New Roman" w:hAnsi="Times New Roman"/>
                <w:b w:val="false"/>
                <w:sz w:val="13"/>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37,215</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51,072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(13,857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(27.1</w:t>
            </w:r>
          </w:p>
        </w:tc>
        <w:tc>
          <w:tcPr>
            <w:tcW w:w="5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Personnel-related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17,476</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9,943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7,533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75.8</w:t>
            </w:r>
          </w:p>
        </w:tc>
        <w:tc>
          <w:tcPr>
            <w:tcW w:w="5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Professional and consulting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4,351</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4,184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w:t>
            </w:r>
          </w:p>
        </w:tc>
        <w:tc>
          <w:tcPr>
            <w:tcW w:w="5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Research and development consumables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6,848</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2,288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4,560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199.3</w:t>
            </w:r>
          </w:p>
        </w:tc>
        <w:tc>
          <w:tcPr>
            <w:tcW w:w="5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Facility related and other allocated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8,098</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2,957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5,141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173.9</w:t>
            </w:r>
          </w:p>
        </w:tc>
        <w:tc>
          <w:tcPr>
            <w:tcW w:w="5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Laboratory supplies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3,421</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2,032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1,389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68.4</w:t>
            </w:r>
          </w:p>
        </w:tc>
        <w:tc>
          <w:tcPr>
            <w:tcW w:w="5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 xml:space="preserve">Other </w:t>
            </w:r>
            <w:r>
              <w:rPr>
                <w:rFonts w:ascii="Times New Roman" w:hAnsi="Times New Roman"/>
                <w:b w:val="false"/>
                <w:sz w:val="13"/>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1,002</w:t>
            </w:r>
          </w:p>
        </w:tc>
        <w:tc>
          <w:tcPr>
            <w:tcW w:w="1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(7.9</w:t>
            </w:r>
          </w:p>
        </w:tc>
        <w:tc>
          <w:tcPr>
            <w:tcW w:w="57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49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research and development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78,411</w:t>
            </w:r>
          </w:p>
        </w:tc>
        <w:tc>
          <w:tcPr>
            <w:tcW w:w="16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73,564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4,847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w:t>
            </w:r>
          </w:p>
        </w:tc>
        <w:tc>
          <w:tcPr>
            <w:tcW w:w="5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pBdr>
          <w:bottom w:val="single" w:sz="6" w:space="1" w:color="000000"/>
        </w:pBdr>
        <w:spacing w:lineRule="auto" w:line="273" w:before="0" w:after="0"/>
        <w:jc w:val="left"/>
        <w:rPr/>
      </w:pPr>
      <w:r>
        <w:rPr/>
        <w:t> </w:t>
      </w:r>
    </w:p>
    <w:p>
      <w:pPr>
        <w:pStyle w:val="TextBody"/>
        <w:spacing w:lineRule="auto" w:line="273" w:before="4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40" w:after="0"/>
        <w:jc w:val="left"/>
        <w:rPr>
          <w:rFonts w:ascii="Times New Roman" w:hAnsi="Times New Roman"/>
          <w:b w:val="false"/>
          <w:sz w:val="20"/>
        </w:rPr>
      </w:pPr>
      <w:r>
        <w:rPr>
          <w:rFonts w:ascii="Times New Roman" w:hAnsi="Times New Roman"/>
          <w:b w:val="false"/>
          <w:sz w:val="20"/>
        </w:rPr>
        <w:t xml:space="preserve">Includes expenses for third-party manufacturing and outsourced contract services, including preclinical studies and outsourced assays.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(2)</w:t>
      </w:r>
    </w:p>
    <w:p>
      <w:pPr>
        <w:pStyle w:val="TextBody"/>
        <w:spacing w:lineRule="auto" w:line="273"/>
        <w:jc w:val="left"/>
        <w:rPr>
          <w:rFonts w:ascii="Times New Roman" w:hAnsi="Times New Roman"/>
          <w:b w:val="false"/>
          <w:sz w:val="20"/>
        </w:rPr>
      </w:pPr>
      <w:r>
        <w:rPr>
          <w:rFonts w:ascii="Times New Roman" w:hAnsi="Times New Roman"/>
          <w:b w:val="false"/>
          <w:sz w:val="20"/>
        </w:rPr>
        <w:t xml:space="preserve">Includes travel-related expenses, other miscellaneous office expenses and warrant expense. </w:t>
      </w:r>
    </w:p>
    <w:p>
      <w:pPr>
        <w:pStyle w:val="TextBody"/>
        <w:spacing w:lineRule="auto" w:line="273" w:before="240" w:after="0"/>
        <w:jc w:val="left"/>
        <w:rPr>
          <w:rFonts w:ascii="Times New Roman" w:hAnsi="Times New Roman"/>
          <w:sz w:val="20"/>
        </w:rPr>
      </w:pPr>
      <w:r>
        <w:rPr>
          <w:rFonts w:ascii="Times New Roman" w:hAnsi="Times New Roman"/>
          <w:b w:val="false"/>
          <w:sz w:val="20"/>
        </w:rPr>
        <w:t>Research and development expenses increased by $4.8 million, or 6.6%, in 2021 compared to 2020. The increase was primarily attributable to increases in (i) personnel-related expenses of $7.5 million related to the increase in the number of employees to support our research and development activities and higher stock-based compensation expense, (ii) facility related and other allocated expenses of $5.1 million resulting from increases in rent and lease expense as well as expenses allocated to research and development, (iii) research and development consumables of $4.6 million related to higher critical raw materials expenses and (iv) laboratory supplies and equipment expenses of $1.4 million mainly related to our VAX-24 and VAX-A1 programs. These increases were partially offset by a decrease of $13.9 million in product and clinical development expenses, which represented the net impact of a decrease in outsourced manufacturing expenses related to our VAX-24 program and an increase in such expenses related to our VAX-XP program.</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General and Administrative Expenses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General and administrative expenses increased by $9.2 million, or 57.7%, in 2021 compared to 2020. The increase was mainly due to increases of $7.0 million in personnel-related costs related to higher stock-based compensation expense resulting from an increase in the number of options granted during the year and growth in the number of employees in our general and administrative functions, $1.3 million in professional and consulting services related primarily to compliance activities under the Sarbanes-Oxley Act of 2002, as amended, or the Sarbanes-Oxley Act, and technology infrastructure enhancements and $1.1 million in directors and officers insurance expense as a result of operating as a public company.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Other Income (Expense), Net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Other income (expense), net increased by $3.2 million, or 887.1%, in 2021 compared to 2020. The increase was mainly due to an increase of $4.0 million in foreign currency gains resulting from the appreciation of the U.S. Dollar against the Swiss Franc in 2021 compared to 2020, partially offset by a decrease of $0.9 million in grant income for the CARB-X program.</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i/>
          <w:sz w:val="20"/>
        </w:rPr>
        <w:t>Comparison of the Years Ended December 31, 2020 and 2019</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following table summarizes our results of operations for the periods presented:</w:t>
      </w:r>
    </w:p>
    <w:p>
      <w:pPr>
        <w:pStyle w:val="TextBody"/>
        <w:spacing w:lineRule="auto" w:line="273" w:before="0" w:after="0"/>
        <w:jc w:val="left"/>
        <w:rPr/>
      </w:pPr>
      <w:r>
        <w:rPr/>
        <w:t> </w:t>
      </w:r>
    </w:p>
    <w:tbl>
      <w:tblPr>
        <w:tblW w:w="9360" w:type="dxa"/>
        <w:jc w:val="left"/>
        <w:tblInd w:w="0" w:type="dxa"/>
        <w:tblCellMar>
          <w:top w:w="28" w:type="dxa"/>
          <w:left w:w="28" w:type="dxa"/>
          <w:bottom w:w="28" w:type="dxa"/>
          <w:right w:w="28" w:type="dxa"/>
        </w:tblCellMar>
      </w:tblPr>
      <w:tblGrid>
        <w:gridCol w:w="3781"/>
        <w:gridCol w:w="146"/>
        <w:gridCol w:w="221"/>
        <w:gridCol w:w="771"/>
        <w:gridCol w:w="173"/>
        <w:gridCol w:w="152"/>
        <w:gridCol w:w="221"/>
        <w:gridCol w:w="771"/>
        <w:gridCol w:w="166"/>
        <w:gridCol w:w="146"/>
        <w:gridCol w:w="211"/>
        <w:gridCol w:w="736"/>
        <w:gridCol w:w="166"/>
        <w:gridCol w:w="146"/>
        <w:gridCol w:w="146"/>
        <w:gridCol w:w="631"/>
        <w:gridCol w:w="776"/>
      </w:tblGrid>
      <w:tr>
        <w:trPr/>
        <w:tc>
          <w:tcPr>
            <w:tcW w:w="3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r>
      <w:tr>
        <w:trPr/>
        <w:tc>
          <w:tcPr>
            <w:tcW w:w="378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9"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Year Ended December 31,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03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Change</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78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17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2019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7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73" w:type="dxa"/>
            <w:tcBorders/>
            <w:shd w:fill="auto" w:val="clear"/>
            <w:vAlign w:val="center"/>
          </w:tcPr>
          <w:p>
            <w:pPr>
              <w:pStyle w:val="TableContents"/>
              <w:spacing w:lineRule="auto" w:line="252" w:before="0" w:after="0"/>
              <w:ind w:left="0" w:right="0" w:hanging="0"/>
              <w:jc w:val="right"/>
              <w:rPr/>
            </w:pPr>
            <w:r>
              <w:rPr/>
              <w:t> </w:t>
            </w:r>
          </w:p>
        </w:tc>
        <w:tc>
          <w:tcPr>
            <w:tcW w:w="152"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77" w:type="dxa"/>
            <w:gridSpan w:val="2"/>
            <w:tcBorders/>
            <w:shd w:fill="auto" w:val="clear"/>
            <w:vAlign w:val="center"/>
          </w:tcPr>
          <w:p>
            <w:pPr>
              <w:pStyle w:val="TableContents"/>
              <w:spacing w:lineRule="auto" w:line="252" w:before="0" w:after="0"/>
              <w:ind w:left="0" w:right="0" w:hanging="0"/>
              <w:jc w:val="right"/>
              <w:rPr/>
            </w:pPr>
            <w:r>
              <w:rPr/>
              <w:t> </w:t>
            </w:r>
          </w:p>
        </w:tc>
        <w:tc>
          <w:tcPr>
            <w:tcW w:w="776" w:type="dxa"/>
            <w:tcBorders/>
            <w:shd w:fill="auto" w:val="clear"/>
            <w:vAlign w:val="center"/>
          </w:tcPr>
          <w:p>
            <w:pPr>
              <w:pStyle w:val="TableContents"/>
              <w:spacing w:lineRule="auto" w:line="252" w:before="0" w:after="0"/>
              <w:ind w:left="0" w:right="0" w:firstLine="200"/>
              <w:jc w:val="right"/>
              <w:rPr/>
            </w:pPr>
            <w:r>
              <w:rPr/>
              <w:t> </w:t>
            </w:r>
          </w:p>
        </w:tc>
      </w:tr>
      <w:tr>
        <w:trPr/>
        <w:tc>
          <w:tcPr>
            <w:tcW w:w="37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73,564</w:t>
            </w:r>
          </w:p>
        </w:tc>
        <w:tc>
          <w:tcPr>
            <w:tcW w:w="173" w:type="dxa"/>
            <w:tcBorders/>
            <w:shd w:fill="auto" w:val="clear"/>
            <w:vAlign w:val="center"/>
          </w:tcPr>
          <w:p>
            <w:pPr>
              <w:pStyle w:val="TableContents"/>
              <w:spacing w:lineRule="auto" w:line="252" w:before="0" w:after="0"/>
              <w:ind w:left="0" w:right="0" w:hanging="0"/>
              <w:jc w:val="left"/>
              <w:rPr/>
            </w:pPr>
            <w:r>
              <w:rPr/>
              <w:t> </w:t>
            </w:r>
          </w:p>
        </w:tc>
        <w:tc>
          <w:tcPr>
            <w:tcW w:w="152" w:type="dxa"/>
            <w:tcBorders/>
            <w:shd w:fill="auto" w:val="clear"/>
            <w:vAlign w:val="center"/>
          </w:tcPr>
          <w:p>
            <w:pPr>
              <w:pStyle w:val="TableContents"/>
              <w:spacing w:lineRule="auto" w:line="252" w:before="0" w:after="0"/>
              <w:ind w:left="0" w:right="0" w:hanging="0"/>
              <w:jc w:val="left"/>
              <w:rPr/>
            </w:pPr>
            <w:r>
              <w:rPr/>
              <w:t> </w:t>
            </w:r>
          </w:p>
        </w:tc>
        <w:tc>
          <w:tcPr>
            <w:tcW w:w="2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45,607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27,957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61.3</w:t>
            </w:r>
          </w:p>
        </w:tc>
        <w:tc>
          <w:tcPr>
            <w:tcW w:w="77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7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16,017</w:t>
            </w:r>
          </w:p>
        </w:tc>
        <w:tc>
          <w:tcPr>
            <w:tcW w:w="17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8,546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7,471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87.4</w:t>
            </w:r>
          </w:p>
        </w:tc>
        <w:tc>
          <w:tcPr>
            <w:tcW w:w="776"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r>
      <w:tr>
        <w:trPr/>
        <w:tc>
          <w:tcPr>
            <w:tcW w:w="378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89,581</w:t>
            </w:r>
          </w:p>
        </w:tc>
        <w:tc>
          <w:tcPr>
            <w:tcW w:w="17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54,153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35,428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65.4</w:t>
            </w:r>
          </w:p>
        </w:tc>
        <w:tc>
          <w:tcPr>
            <w:tcW w:w="7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7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7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(89,581</w:t>
            </w:r>
          </w:p>
        </w:tc>
        <w:tc>
          <w:tcPr>
            <w:tcW w:w="17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52" w:type="dxa"/>
            <w:tcBorders/>
            <w:shd w:fill="auto" w:val="clear"/>
            <w:vAlign w:val="center"/>
          </w:tcPr>
          <w:p>
            <w:pPr>
              <w:pStyle w:val="TableContents"/>
              <w:spacing w:lineRule="auto" w:line="252" w:before="0" w:after="0"/>
              <w:ind w:left="0" w:right="0" w:hanging="0"/>
              <w:jc w:val="left"/>
              <w:rPr/>
            </w:pPr>
            <w:r>
              <w:rPr/>
              <w:t> </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7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(54,153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(35,428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65.4</w:t>
            </w:r>
          </w:p>
        </w:tc>
        <w:tc>
          <w:tcPr>
            <w:tcW w:w="7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7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73" w:type="dxa"/>
            <w:tcBorders/>
            <w:shd w:fill="auto" w:val="clear"/>
            <w:vAlign w:val="center"/>
          </w:tcPr>
          <w:p>
            <w:pPr>
              <w:pStyle w:val="TableContents"/>
              <w:spacing w:lineRule="auto" w:line="252" w:before="0" w:after="0"/>
              <w:ind w:left="0" w:right="0" w:hanging="0"/>
              <w:jc w:val="right"/>
              <w:rPr/>
            </w:pPr>
            <w:r>
              <w:rPr/>
              <w:t> </w:t>
            </w:r>
          </w:p>
        </w:tc>
        <w:tc>
          <w:tcPr>
            <w:tcW w:w="152"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77" w:type="dxa"/>
            <w:gridSpan w:val="2"/>
            <w:tcBorders/>
            <w:shd w:fill="auto" w:val="clear"/>
            <w:vAlign w:val="center"/>
          </w:tcPr>
          <w:p>
            <w:pPr>
              <w:pStyle w:val="TableContents"/>
              <w:spacing w:lineRule="auto" w:line="252" w:before="0" w:after="0"/>
              <w:ind w:left="0" w:right="0" w:hanging="0"/>
              <w:jc w:val="right"/>
              <w:rPr/>
            </w:pPr>
            <w:r>
              <w:rPr/>
              <w:t> </w:t>
            </w:r>
          </w:p>
        </w:tc>
        <w:tc>
          <w:tcPr>
            <w:tcW w:w="776" w:type="dxa"/>
            <w:tcBorders/>
            <w:shd w:fill="auto" w:val="clear"/>
            <w:vAlign w:val="center"/>
          </w:tcPr>
          <w:p>
            <w:pPr>
              <w:pStyle w:val="TableContents"/>
              <w:spacing w:lineRule="auto" w:line="252" w:before="0" w:after="0"/>
              <w:ind w:left="0" w:right="0" w:firstLine="200"/>
              <w:jc w:val="right"/>
              <w:rPr/>
            </w:pPr>
            <w:r>
              <w:rPr/>
              <w:t> </w:t>
            </w:r>
          </w:p>
        </w:tc>
      </w:tr>
      <w:tr>
        <w:trPr/>
        <w:tc>
          <w:tcPr>
            <w:tcW w:w="37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Interest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7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w:t>
            </w:r>
          </w:p>
        </w:tc>
        <w:tc>
          <w:tcPr>
            <w:tcW w:w="17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52" w:type="dxa"/>
            <w:tcBorders/>
            <w:shd w:fill="auto" w:val="clear"/>
            <w:vAlign w:val="center"/>
          </w:tcPr>
          <w:p>
            <w:pPr>
              <w:pStyle w:val="TableContents"/>
              <w:spacing w:lineRule="auto" w:line="252" w:before="0" w:after="0"/>
              <w:ind w:left="0" w:right="0" w:hanging="0"/>
              <w:jc w:val="left"/>
              <w:rPr/>
            </w:pPr>
            <w:r>
              <w:rPr/>
              <w:t> </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7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(82.5</w:t>
            </w:r>
          </w:p>
        </w:tc>
        <w:tc>
          <w:tcPr>
            <w:tcW w:w="77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7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Interest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7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244</w:t>
            </w:r>
          </w:p>
        </w:tc>
        <w:tc>
          <w:tcPr>
            <w:tcW w:w="173" w:type="dxa"/>
            <w:tcBorders/>
            <w:shd w:fill="auto" w:val="clear"/>
            <w:vAlign w:val="center"/>
          </w:tcPr>
          <w:p>
            <w:pPr>
              <w:pStyle w:val="TableContents"/>
              <w:spacing w:lineRule="auto" w:line="252" w:before="0" w:after="0"/>
              <w:ind w:left="0" w:right="0" w:hanging="0"/>
              <w:jc w:val="left"/>
              <w:rPr/>
            </w:pPr>
            <w:r>
              <w:rPr/>
              <w:t> </w:t>
            </w:r>
          </w:p>
        </w:tc>
        <w:tc>
          <w:tcPr>
            <w:tcW w:w="152" w:type="dxa"/>
            <w:tcBorders/>
            <w:shd w:fill="auto" w:val="clear"/>
            <w:vAlign w:val="center"/>
          </w:tcPr>
          <w:p>
            <w:pPr>
              <w:pStyle w:val="TableContents"/>
              <w:spacing w:lineRule="auto" w:line="252" w:before="0" w:after="0"/>
              <w:ind w:left="0" w:right="0" w:hanging="0"/>
              <w:jc w:val="left"/>
              <w:rPr/>
            </w:pPr>
            <w:r>
              <w:rPr/>
              <w:t> </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7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(61.4</w:t>
            </w:r>
          </w:p>
        </w:tc>
        <w:tc>
          <w:tcPr>
            <w:tcW w:w="77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7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Grant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7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2,478</w:t>
            </w:r>
          </w:p>
        </w:tc>
        <w:tc>
          <w:tcPr>
            <w:tcW w:w="173" w:type="dxa"/>
            <w:tcBorders/>
            <w:shd w:fill="auto" w:val="clear"/>
            <w:vAlign w:val="center"/>
          </w:tcPr>
          <w:p>
            <w:pPr>
              <w:pStyle w:val="TableContents"/>
              <w:spacing w:lineRule="auto" w:line="252" w:before="0" w:after="0"/>
              <w:ind w:left="0" w:right="0" w:hanging="0"/>
              <w:jc w:val="left"/>
              <w:rPr/>
            </w:pPr>
            <w:r>
              <w:rPr/>
              <w:t> </w:t>
            </w:r>
          </w:p>
        </w:tc>
        <w:tc>
          <w:tcPr>
            <w:tcW w:w="152" w:type="dxa"/>
            <w:tcBorders/>
            <w:shd w:fill="auto" w:val="clear"/>
            <w:vAlign w:val="center"/>
          </w:tcPr>
          <w:p>
            <w:pPr>
              <w:pStyle w:val="TableContents"/>
              <w:spacing w:lineRule="auto" w:line="252" w:before="0" w:after="0"/>
              <w:ind w:left="0" w:right="0" w:hanging="0"/>
              <w:jc w:val="left"/>
              <w:rPr/>
            </w:pPr>
            <w:r>
              <w:rPr/>
              <w:t> </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7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2,241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 </w:t>
            </w:r>
          </w:p>
        </w:tc>
        <w:tc>
          <w:tcPr>
            <w:tcW w:w="77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7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Foreign currency transaction gain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7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(2,351</w:t>
            </w:r>
          </w:p>
        </w:tc>
        <w:tc>
          <w:tcPr>
            <w:tcW w:w="17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52" w:type="dxa"/>
            <w:tcBorders/>
            <w:shd w:fill="auto" w:val="clear"/>
            <w:vAlign w:val="center"/>
          </w:tcPr>
          <w:p>
            <w:pPr>
              <w:pStyle w:val="TableContents"/>
              <w:spacing w:lineRule="auto" w:line="252" w:before="0" w:after="0"/>
              <w:ind w:left="0" w:right="0" w:hanging="0"/>
              <w:jc w:val="left"/>
              <w:rPr/>
            </w:pPr>
            <w:r>
              <w:rPr/>
              <w:t> </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7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(2,216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 </w:t>
            </w:r>
          </w:p>
        </w:tc>
        <w:tc>
          <w:tcPr>
            <w:tcW w:w="77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78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Change in fair value of the redeemable</w:t>
              <w:br/>
              <w:t>   convertible preferred stock tranche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7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3,185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(3,185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(100.0</w:t>
            </w:r>
          </w:p>
        </w:tc>
        <w:tc>
          <w:tcPr>
            <w:tcW w:w="776"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r>
      <w:tr>
        <w:trPr/>
        <w:tc>
          <w:tcPr>
            <w:tcW w:w="378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364</w:t>
            </w:r>
          </w:p>
        </w:tc>
        <w:tc>
          <w:tcPr>
            <w:tcW w:w="17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3,879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(3,515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(90.6</w:t>
            </w:r>
          </w:p>
        </w:tc>
        <w:tc>
          <w:tcPr>
            <w:tcW w:w="7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7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(89,217</w:t>
            </w:r>
          </w:p>
        </w:tc>
        <w:tc>
          <w:tcPr>
            <w:tcW w:w="17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(50,274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(38,943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77.5</w:t>
            </w:r>
          </w:p>
        </w:tc>
        <w:tc>
          <w:tcPr>
            <w:tcW w:w="7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pBdr>
          <w:bottom w:val="single" w:sz="6" w:space="1" w:color="000000"/>
        </w:pBdr>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i/>
          <w:sz w:val="20"/>
        </w:rPr>
        <w:t>* not meaningful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Research and Development Expenses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following table summarizes our research and development expenses for the periods presented:</w:t>
      </w:r>
      <w:r>
        <w:rPr>
          <w:rFonts w:ascii="Times New Roman" w:hAnsi="Times New Roman"/>
          <w:sz w:val="20"/>
        </w:rPr>
        <w:t xml:space="preserve"> </w:t>
      </w:r>
    </w:p>
    <w:p>
      <w:pPr>
        <w:pStyle w:val="TextBody"/>
        <w:spacing w:lineRule="auto" w:line="273" w:before="0" w:after="0"/>
        <w:jc w:val="left"/>
        <w:rPr/>
      </w:pPr>
      <w:r>
        <w:rPr/>
        <w:t> </w:t>
      </w:r>
    </w:p>
    <w:tbl>
      <w:tblPr>
        <w:tblW w:w="8631" w:type="dxa"/>
        <w:jc w:val="left"/>
        <w:tblInd w:w="0" w:type="dxa"/>
        <w:tblCellMar>
          <w:top w:w="28" w:type="dxa"/>
          <w:left w:w="28" w:type="dxa"/>
          <w:bottom w:w="28" w:type="dxa"/>
          <w:right w:w="28" w:type="dxa"/>
        </w:tblCellMar>
      </w:tblPr>
      <w:tblGrid>
        <w:gridCol w:w="3496"/>
        <w:gridCol w:w="146"/>
        <w:gridCol w:w="236"/>
        <w:gridCol w:w="756"/>
        <w:gridCol w:w="163"/>
        <w:gridCol w:w="163"/>
        <w:gridCol w:w="236"/>
        <w:gridCol w:w="756"/>
        <w:gridCol w:w="146"/>
        <w:gridCol w:w="146"/>
        <w:gridCol w:w="211"/>
        <w:gridCol w:w="676"/>
        <w:gridCol w:w="166"/>
        <w:gridCol w:w="146"/>
        <w:gridCol w:w="146"/>
        <w:gridCol w:w="526"/>
        <w:gridCol w:w="516"/>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34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0"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Year Ended December 31,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7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Change</w:t>
            </w:r>
          </w:p>
        </w:tc>
        <w:tc>
          <w:tcPr>
            <w:tcW w:w="5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1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2019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5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 xml:space="preserve">Product and clinical development </w:t>
            </w:r>
            <w:r>
              <w:rPr>
                <w:rFonts w:ascii="Times New Roman" w:hAnsi="Times New Roman"/>
                <w:b w:val="false"/>
                <w:sz w:val="13"/>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51,072</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27,985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23,087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82.5</w:t>
            </w:r>
          </w:p>
        </w:tc>
        <w:tc>
          <w:tcPr>
            <w:tcW w:w="5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Personnel-related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9,943</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5,947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3,996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67.2</w:t>
            </w:r>
          </w:p>
        </w:tc>
        <w:tc>
          <w:tcPr>
            <w:tcW w:w="5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Professional and consulting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4,184</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4,669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(485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(10.4</w:t>
            </w:r>
          </w:p>
        </w:tc>
        <w:tc>
          <w:tcPr>
            <w:tcW w:w="5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Research and development consumables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2,288</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2,474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w:t>
            </w:r>
          </w:p>
        </w:tc>
        <w:tc>
          <w:tcPr>
            <w:tcW w:w="5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Facility related and other allocated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2,957</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535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22.1</w:t>
            </w:r>
          </w:p>
        </w:tc>
        <w:tc>
          <w:tcPr>
            <w:tcW w:w="5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Laboratory supplies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2,032</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163"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1,174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858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73.1</w:t>
            </w:r>
          </w:p>
        </w:tc>
        <w:tc>
          <w:tcPr>
            <w:tcW w:w="5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 xml:space="preserve">Other </w:t>
            </w:r>
            <w:r>
              <w:rPr>
                <w:rFonts w:ascii="Times New Roman" w:hAnsi="Times New Roman"/>
                <w:b w:val="false"/>
                <w:sz w:val="13"/>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1,088</w:t>
            </w:r>
          </w:p>
        </w:tc>
        <w:tc>
          <w:tcPr>
            <w:tcW w:w="1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936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16.2</w:t>
            </w:r>
          </w:p>
        </w:tc>
        <w:tc>
          <w:tcPr>
            <w:tcW w:w="51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49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research and development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73,564</w:t>
            </w:r>
          </w:p>
        </w:tc>
        <w:tc>
          <w:tcPr>
            <w:tcW w:w="16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45,607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27,957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61.3</w:t>
            </w:r>
          </w:p>
        </w:tc>
        <w:tc>
          <w:tcPr>
            <w:tcW w:w="5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pBdr>
          <w:bottom w:val="single" w:sz="6" w:space="1" w:color="000000"/>
        </w:pBdr>
        <w:spacing w:lineRule="auto" w:line="273" w:before="0" w:after="0"/>
        <w:jc w:val="left"/>
        <w:rPr/>
      </w:pPr>
      <w:r>
        <w:rPr/>
        <w:t> </w:t>
      </w:r>
    </w:p>
    <w:p>
      <w:pPr>
        <w:pStyle w:val="TextBody"/>
        <w:spacing w:lineRule="auto" w:line="273" w:before="4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40" w:after="0"/>
        <w:jc w:val="left"/>
        <w:rPr>
          <w:rFonts w:ascii="Times New Roman" w:hAnsi="Times New Roman"/>
          <w:b w:val="false"/>
          <w:sz w:val="20"/>
        </w:rPr>
      </w:pPr>
      <w:r>
        <w:rPr>
          <w:rFonts w:ascii="Times New Roman" w:hAnsi="Times New Roman"/>
          <w:b w:val="false"/>
          <w:sz w:val="20"/>
        </w:rPr>
        <w:t xml:space="preserve">Includes expenses for third-party manufacturing and outsourced contract services, including preclinical studies and outsourced assays.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(2)</w:t>
      </w:r>
    </w:p>
    <w:p>
      <w:pPr>
        <w:pStyle w:val="TextBody"/>
        <w:spacing w:lineRule="auto" w:line="273"/>
        <w:jc w:val="left"/>
        <w:rPr>
          <w:rFonts w:ascii="Times New Roman" w:hAnsi="Times New Roman"/>
          <w:b w:val="false"/>
          <w:sz w:val="20"/>
        </w:rPr>
      </w:pPr>
      <w:r>
        <w:rPr>
          <w:rFonts w:ascii="Times New Roman" w:hAnsi="Times New Roman"/>
          <w:b w:val="false"/>
          <w:sz w:val="20"/>
        </w:rPr>
        <w:t xml:space="preserve">Includes travel-related expenses, other miscellaneous office expenses and warrant expense. </w:t>
      </w:r>
    </w:p>
    <w:p>
      <w:pPr>
        <w:pStyle w:val="TextBody"/>
        <w:spacing w:lineRule="auto" w:line="273" w:before="240" w:after="0"/>
        <w:jc w:val="left"/>
        <w:rPr>
          <w:rFonts w:ascii="Times New Roman" w:hAnsi="Times New Roman"/>
          <w:sz w:val="20"/>
        </w:rPr>
      </w:pPr>
      <w:r>
        <w:rPr>
          <w:rFonts w:ascii="Times New Roman" w:hAnsi="Times New Roman"/>
          <w:b w:val="false"/>
          <w:sz w:val="20"/>
        </w:rPr>
        <w:t>Research and development expenses increased by $28.0 million, or, 61.3% in 2020 compared to 2019. The increase was primarily attributable to an increase of $23.1 million in product and clinical development expenses mainly related to our lead vaccine candidate, VAX-24, driven by increases of $18.6 million in outsourced manufacturing activities and $4.5 million in outsourced research services due to the ramp-up of the eCRM and polysaccharide GMP campaigns and conjugation and drug product activities in preparation for our anticipated IND application submission in the first quarter of 2022 and Phase 1/2 clinical study initiation thereafter. The increase in personnel-related expenses of $4.0 million was primarily related to the increase in the number of employees to support our expansion in research and development activities and higher stock-based compensation expense resulting from an increase in the number of options granted during the year and an increase in the fair value of our common stock affecting the valuation of new option grants.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i/>
          <w:sz w:val="20"/>
        </w:rPr>
        <w:t>General and Administrative Expenses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General and administrative expenses increased by $7.5 million, or, 87.4% in 2020 compared to 2019. The increase was mainly due to increases of $3.9 million in personnel-related costs related to higher stock-based compensation expense resulting from an increase in the number of options granted during the year and an increase in the fair value of our common stock affecting the valuation of new option grants, as well as growth in the number of employees in our general and administrative functions, $1.6 million in professional and consulting services resulting from increased legal expenses and consulting costs, and $1.7 million in other expenses primarily due to an increase in directors and officers insurance expense as a result of being a public company.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Other Income (Expense), Net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Other income (expense), net decreased by $3.5 million, or, 90.6% in 2020 compared to 2019. During 2019, we recognized a $3.2 million gain resulting from a change in the fair value of the redeemable convertible preferred stock tranche liability, which was settled in December 2019, and there was no such gain recognized during 2020. Other income (expense), net also decreased due to an increase in foreign currency losses of $2.2 million resulting from the depreciation of the U.S. Dollar against the Swiss Franc. These decreases were partially offset by an increase of $2.2 million in grant income from the CARB-X program, which commenced in July 2019.</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Liquidity and Capital Resources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From inception through December 31, 2021, we have incurred losses and negative cash flows from operations and have funded our operations primarily through the issuance of redeemable convertible preferred stock and common stock totaling approximately $583.9 million in aggregate gross proceeds and $559.1 million net of underwriting discounts, commissions and offering expenses. As of December 31, 2021, we had $69.0 million of cash and cash equivalents, $204.1 million in investments and an accumulated deficit of $298.6 million.</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On July 2, 2021, we filed a shelf registration statement on Form S-3ASR, or the Shelf Registration Statement, under which we may, from time to time, sell securities in one or more offerings of our common stock, preferred stock, debt securities or warrants. The Shelf Registration Statement became automatically effective upon the filing of the Form S-3ASR on July 2, 2021.</w:t>
      </w:r>
    </w:p>
    <w:p>
      <w:pPr>
        <w:pStyle w:val="TextBody"/>
        <w:spacing w:lineRule="auto" w:line="273" w:before="240" w:after="0"/>
        <w:jc w:val="left"/>
        <w:rPr>
          <w:rFonts w:ascii="Times New Roman" w:hAnsi="Times New Roman"/>
          <w:sz w:val="20"/>
        </w:rPr>
      </w:pPr>
      <w:r>
        <w:rPr>
          <w:rFonts w:ascii="Times New Roman" w:hAnsi="Times New Roman"/>
          <w:b w:val="false"/>
          <w:sz w:val="20"/>
        </w:rPr>
        <w:t>In July 2021, we entered into an Open Market Sales Agreement</w:t>
      </w:r>
      <w:r>
        <w:rPr>
          <w:rFonts w:ascii="Times New Roman" w:hAnsi="Times New Roman"/>
          <w:b w:val="false"/>
          <w:sz w:val="13"/>
        </w:rPr>
        <w:t xml:space="preserve">SM, </w:t>
      </w:r>
      <w:r>
        <w:rPr>
          <w:rFonts w:ascii="Times New Roman" w:hAnsi="Times New Roman"/>
          <w:b w:val="false"/>
          <w:sz w:val="20"/>
        </w:rPr>
        <w:t>or the ATM Sales Agreement, with Jefferies LLC, which provides that, upon the terms and subject to the conditions and limitations set forth in the ATM Sales Agreement, we</w:t>
      </w:r>
      <w:r>
        <w:rPr>
          <w:rFonts w:ascii="Times New Roman" w:hAnsi="Times New Roman"/>
          <w:sz w:val="20"/>
        </w:rPr>
        <w:t xml:space="preserve"> </w:t>
      </w:r>
      <w:r>
        <w:rPr>
          <w:rFonts w:ascii="Times New Roman" w:hAnsi="Times New Roman"/>
          <w:b w:val="false"/>
          <w:sz w:val="20"/>
        </w:rPr>
        <w:t>may elect to issue and sell, from time to time, shares of our common stock having an aggregate offering price of up to $150.0 million through Jefferies acting as our sales agent or principal. Under the ATM Sales Agreement, Jefferies may sell the shares of common stock by any method permitted by law deemed to be an “at-the-market offering” as defined under the Securities Act of 1933, as amended, in block transactions or in privately-negotiated transactions with our consent. Jefferies will use commercially reasonable efforts to sell the shares of common stock subject to the ATM Sales Agreement from time to time, based upon our instructions (including any price, time or size limits or other customary parameters or conditions that we may impose). We will pay Jefferies a commission of up to 3.0% of the gross sales proceeds of any common stock sold through Jefferies under the ATM Sales Agreement; however, we are not obligated to make any sales of common stock. As of December 31, 2021, we have sold 567,045 shares of our common stock under the ATM Sales Agreement at an average price of $25.26 per share for aggregate gross proceeds of $14.3 million ($13.9 million net of commissions and offering expenses).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January 2022, we completed an underwritten public offering in which we issued 2,500,000 shares of common stock and pre-funded warrants to purchase 2,500,000 shares of our common stock, and received approximately $93.5 million in net proceeds, after deducting underwriting discounts and commissions and other estimated offering expenses payable by us. In February 2022, the underwriters exercised their option to purchase an additional 750,000 shares of common stock, and we received approximately $14.1 million in additional net proceeds after deducting underwriting discounts and commissions.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111</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i/>
          <w:sz w:val="20"/>
        </w:rPr>
        <w:t>Future Funding Requirements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primary uses of cash are to fund our operations, which consist primarily of research and development expenses related to our programs, general and administrative expenses and capital expenditures. We anticipate that our operating expenses and capital expenditures will increase significantly for the foreseeable future as we continue to advance our current vaccine candidates through research, development and manufacturing, continue our research initiatives to develop new vaccine candidates, scale our laboratory and manufacturing operations and expand our corporate infrastructure, including the costs associated with being a public company. We are subject to all of the risks typically related to the development of new drug candidates, and we may encounter unforeseen expenses, difficulties, complications, delays and other unknown factors that may adversely affect our business. We anticipate that we will need substantial additional funding in connection with our continuing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believe that our existing cash, cash equivalents and investments as of the date of this Annual Report on Form 10-K will be sufficient to fund our operating expenses and capital expenditure requirements through at least 12 months from the filing date of this Annual Report on Form 10-K. However, we will need to raise additional capital prior to commencing pivotal trials for any of our vaccine candidates. Until we can generate sufficient revenue from the commercialization of our vaccine candidates or from collaboration agreements with third parties, if ever, we expect to finance our future cash needs through public or private equity or debt financings, third-party (including government) funding and marketing and distribution arrangements, as well as other collaborations, strategic alliances and licensing arrangements, or any combination of these approaches. The sale of equity, pre-funded warrants or convertible debt securities may result in dilution to our stockholders and, in the case of preferred equity securities or convertible debt, those securities could provide for rights, preferences or privileges senior to those of our common stock. Debt financings may subject us to covenant limitations or restrictions on our ability to take specific actions, such as incurring additional debt, making capital expenditures or declaring dividends. Our ability to raise additional funds may be adversely impacted by deteriorating global economic conditions and the recent disruptions to and volatility in the credit and financial markets in the United States and worldwide resulting from the ongoing COVID-19 pandemic. There can be no assurance that we will be successful in acquiring additional funding at levels sufficient to fund our operations or on terms favorable or acceptable to us. If we are unable to obtain adequate financing when needed or on terms favorable or acceptable to us, we may be forced to delay, reduce the scope of or eliminate one or more of our research and development programs.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future capital requirements will depend on many factors, including:</w:t>
      </w:r>
      <w:r>
        <w:rPr>
          <w:rFonts w:ascii="Times New Roman" w:hAnsi="Times New Roman"/>
          <w:sz w:val="20"/>
        </w:rPr>
        <w:t xml:space="preserve">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timing, scope, progress, results and costs of research and development, testing, screening, manufacturing, preclinical development and clinical studies and clinical trials, including any impacts related to the COVID-19 pandemic;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outcome, timing and cost of seeking and obtaining regulatory approvals from the FDA and comparable foreign regulatory authorities, including the potential for such authorities to require that we perform field efficacy studies for our PCV candidates, require more studies than those that we currently expect or change their requirements regarding the data required to support a marketing application;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cost of building a sales force in anticipation of any product commercialization;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costs of future commercialization activities, including product manufacturing, marketing, sales, royalties and distribution, for any of our vaccine candidates for which we receive marketing approval;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any product liability or other lawsuits related to our products;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112</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revenue, if any, received from commercial sales, or sales to foreign governments, of our vaccine candidates for which we may receive marketing approval;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costs to establish, maintain, expand, enforce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expenses needed to attract, hire and retain skilled personnel; </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costs of operating as a public company; and </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 xml:space="preserve">the impact of the COVID-19 pandemic, which may exacerbate the magnitude of the factors discussed above. </w:t>
      </w:r>
    </w:p>
    <w:p>
      <w:pPr>
        <w:pStyle w:val="TextBody"/>
        <w:spacing w:lineRule="auto" w:line="273" w:before="240" w:after="0"/>
        <w:jc w:val="left"/>
        <w:rPr>
          <w:rFonts w:ascii="Times New Roman" w:hAnsi="Times New Roman"/>
          <w:sz w:val="20"/>
        </w:rPr>
      </w:pPr>
      <w:r>
        <w:rPr>
          <w:rFonts w:ascii="Times New Roman" w:hAnsi="Times New Roman"/>
          <w:b w:val="false"/>
          <w:sz w:val="20"/>
        </w:rPr>
        <w:t>A change in the outcome of any of these or other variables could significantly change the costs and timing associated with the development of our vaccine candidates. Furthermore, our operating plans may change in the future, and we may need additional funds to meet operational needs and capital requirements associated with such change.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Cash Flows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following table summarizes our cash flows for the periods indicated:</w:t>
      </w:r>
      <w:r>
        <w:rPr>
          <w:rFonts w:ascii="Times New Roman" w:hAnsi="Times New Roman"/>
          <w:sz w:val="20"/>
        </w:rPr>
        <w:t xml:space="preserve"> </w:t>
      </w:r>
    </w:p>
    <w:p>
      <w:pPr>
        <w:pStyle w:val="TextBody"/>
        <w:spacing w:lineRule="auto" w:line="273" w:before="0" w:after="0"/>
        <w:jc w:val="left"/>
        <w:rPr/>
      </w:pPr>
      <w:r>
        <w:rPr/>
        <w:t> </w:t>
      </w:r>
    </w:p>
    <w:tbl>
      <w:tblPr>
        <w:tblW w:w="9258" w:type="dxa"/>
        <w:jc w:val="left"/>
        <w:tblInd w:w="0" w:type="dxa"/>
        <w:tblCellMar>
          <w:top w:w="28" w:type="dxa"/>
          <w:left w:w="28" w:type="dxa"/>
          <w:bottom w:w="28" w:type="dxa"/>
          <w:right w:w="28" w:type="dxa"/>
        </w:tblCellMar>
      </w:tblPr>
      <w:tblGrid>
        <w:gridCol w:w="5086"/>
        <w:gridCol w:w="146"/>
        <w:gridCol w:w="211"/>
        <w:gridCol w:w="841"/>
        <w:gridCol w:w="166"/>
        <w:gridCol w:w="146"/>
        <w:gridCol w:w="211"/>
        <w:gridCol w:w="781"/>
        <w:gridCol w:w="166"/>
        <w:gridCol w:w="146"/>
        <w:gridCol w:w="211"/>
        <w:gridCol w:w="736"/>
        <w:gridCol w:w="411"/>
      </w:tblGrid>
      <w:tr>
        <w:trPr/>
        <w:tc>
          <w:tcPr>
            <w:tcW w:w="5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50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5"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Year Ended December 31,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0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2019</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0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5" w:type="dxa"/>
            <w:gridSpan w:val="10"/>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(in thousands)</w:t>
            </w:r>
          </w:p>
        </w:tc>
        <w:tc>
          <w:tcPr>
            <w:tcW w:w="411" w:type="dxa"/>
            <w:tcBorders/>
            <w:shd w:fill="auto" w:val="clear"/>
            <w:vAlign w:val="center"/>
          </w:tcPr>
          <w:p>
            <w:pPr>
              <w:pStyle w:val="TableContents"/>
              <w:spacing w:lineRule="auto" w:line="252" w:before="0" w:after="0"/>
              <w:ind w:left="0" w:right="0" w:hanging="0"/>
              <w:jc w:val="center"/>
              <w:rPr/>
            </w:pPr>
            <w:r>
              <w:rPr/>
              <w:t> </w:t>
            </w:r>
          </w:p>
        </w:tc>
      </w:tr>
      <w:tr>
        <w:trPr/>
        <w:tc>
          <w:tcPr>
            <w:tcW w:w="50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(121,393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(46,628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(47,145</w:t>
            </w:r>
          </w:p>
        </w:tc>
        <w:tc>
          <w:tcPr>
            <w:tcW w:w="4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0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used in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(212,308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(1,105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(1,195</w:t>
            </w:r>
          </w:p>
        </w:tc>
        <w:tc>
          <w:tcPr>
            <w:tcW w:w="4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0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provided by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17,796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374,870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41,567</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50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Effect of exchange rate changes on 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508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Net (decrease) increase in 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(316,344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327,224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(7,114</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Cash Flows from Operating Activities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Net cash used in operating activities for the year ended December 31, 2021 was $121.4 million, which primarily resulted from a net loss of $100.1 million and a net change in operating assets and liabilities of $37.0 million, partially offset by non-cash charges of $15.7 million. The net change in operating assets and liabilities of $37.0 million was primarily due to decreases in cash flows due to operating lease liabilities of $12.9 million resulting from leasehold improvements costs applied against such liabilities upon the commencement of our San Carlos office lease in December 2021; accounts payable of $12.5 million resulting primarily from the payment of deferred Lonza payables in December 2021; accrued manufacturing expenses of $8.6 million resulting from timing of payments; and prepaid and other current assets of $7.4 million related to a receivable for reimbursement of tenant improvement allowance and prepayments on various contracts, including repairs and maintenance, production of critical raw materials, research and clinical trial preparation. These changes were partially offset by increases in cash flows due to accrued expenses of $4.6 million primarily related to costs associated with the manufacture of extract in connection with our relationship with Sutro Biopharma. Non-cash charges consisted of $10.7 million in stock-based compensation expense, $1.8 million in depreciation and amortization, $1.7 million in amortization of operating lease right-of-use assets and $1.4 million in net amortization of premiums on investments.</w:t>
      </w:r>
    </w:p>
    <w:p>
      <w:pPr>
        <w:pStyle w:val="TextBody"/>
        <w:spacing w:lineRule="auto" w:line="273" w:before="240" w:after="0"/>
        <w:jc w:val="left"/>
        <w:rPr>
          <w:rFonts w:ascii="Times New Roman" w:hAnsi="Times New Roman"/>
          <w:sz w:val="20"/>
        </w:rPr>
      </w:pPr>
      <w:r>
        <w:rPr>
          <w:rFonts w:ascii="Times New Roman" w:hAnsi="Times New Roman"/>
          <w:b w:val="false"/>
          <w:sz w:val="20"/>
        </w:rPr>
        <w:t>Net cash used in operating activities for the year ended December 31, 2020 was $46.6 million, which primarily resulted from a net loss of $89.2 million, partially offset by a net change in operating assets and liabilities of $35.3 million and non-cash charges of $7.3 million. The net change in operating assets and liabilities of $35.3 million was primarily due to increases in accounts payable of $26.1 million resulting from the deferral of completion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113</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payments until April 2021 in accordance with our contract with Lonza, accrued manufacturing expenses of $7.2 million related to outsourced manufacturing activities and accrued expenses of $2.2 million related primarily to increases in contract research services related to the VAX-24 program. Non-cash charges primarily consisted of $5.4 million in stock-based compensation expense, $1.4 million in depreciation and amortization and $0.3 million in asset impairment charges.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Net cash used in operating activities for the year ended December 31, 2019 was $47.1 million, which primarily resulted from a net loss of $50.3 million and net non-cash charges of $0.8 million, partially offset by a net change in operating assets and liabilities of $3.9 million. Non-cash charges primarily consisted of a $3.2 million decrease in the fair value of our redeemable convertible preferred stock tranche liabilities primarily related to a reduction in the time to maturity during the year and the settlement of the Series C tranche liability in December 2019, partially offset by $1.2 million of depreciation and amortization expense and $1.2 million of stock-based compensation expense. The net change in operating assets and liabilities of $3.9 million was primarily due increases of $4.7 million in accrued liabilities resulting primarily from our increased contract manufacturing activities in 2019 and $0.9 million in accounts payable resulting from timing of billings and payments, partially offset by a $1.1 million increase in prepaid expenses and other current assets, a $0.8 million decrease in accrued compensation due primarily to the timing of the payment of our annual performance bonuses and a $0.7 million in prepaid expenditures mainly related to contract manufacturing activities, contract research services and maintenance contracts.</w:t>
      </w:r>
    </w:p>
    <w:p>
      <w:pPr>
        <w:pStyle w:val="TextBody"/>
        <w:spacing w:lineRule="auto" w:line="273" w:before="240" w:after="0"/>
        <w:jc w:val="left"/>
        <w:rPr>
          <w:rFonts w:ascii="Times New Roman" w:hAnsi="Times New Roman"/>
          <w:sz w:val="20"/>
        </w:rPr>
      </w:pPr>
      <w:r>
        <w:rPr>
          <w:rFonts w:ascii="Times New Roman" w:hAnsi="Times New Roman"/>
          <w:b/>
          <w:i/>
          <w:sz w:val="20"/>
        </w:rPr>
        <w:t>Cash Flows from Investing Activities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Cash used in investing activities for the year ended December 31, 2021 was $212.3 million, which related primarily to $336.3 million in purchases of investments and $6.6 million in purchases of lab equipment and furniture and fixtures, partially offset by $100.5 million in maturities of investments and $30.1 million in sales of investments.</w:t>
      </w:r>
    </w:p>
    <w:p>
      <w:pPr>
        <w:pStyle w:val="TextBody"/>
        <w:spacing w:lineRule="auto" w:line="273" w:before="240" w:after="0"/>
        <w:jc w:val="left"/>
        <w:rPr>
          <w:rFonts w:ascii="Times New Roman" w:hAnsi="Times New Roman"/>
          <w:sz w:val="20"/>
        </w:rPr>
      </w:pPr>
      <w:r>
        <w:rPr>
          <w:rFonts w:ascii="Times New Roman" w:hAnsi="Times New Roman"/>
          <w:b w:val="false"/>
          <w:sz w:val="20"/>
        </w:rPr>
        <w:t>Cash used in investing activities for the years ended December 31, 2020 and 2019 was $$1.1 million and $1.2 million, respectively, which related primarily to purchases of lab equipment and leasehold improvements.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Cash Flows from Financing Activities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Cash provided by financing activities for the year ended December 31, 2021 was $17.8 million, which primarily consisted of net proceeds from shares issued under our ATM Sales Agreement of $13.9 million, proceeds from exercises of common stock options of $3.0 million and proceeds from shares issued under our employee stock purchase plan of $0.9 million.</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Cash provided by financing activities for the year ended December 31, 2020 was $374.9 million, which primarily consisted of net proceeds of $264.0 million from our IPO and $109.9 million from the issuance of our Series D redeemable convertible preferred stock.</w:t>
      </w:r>
    </w:p>
    <w:p>
      <w:pPr>
        <w:pStyle w:val="TextBody"/>
        <w:spacing w:lineRule="auto" w:line="273" w:before="240" w:after="0"/>
        <w:jc w:val="left"/>
        <w:rPr>
          <w:rFonts w:ascii="Times New Roman" w:hAnsi="Times New Roman"/>
          <w:sz w:val="20"/>
        </w:rPr>
      </w:pPr>
      <w:r>
        <w:rPr>
          <w:rFonts w:ascii="Times New Roman" w:hAnsi="Times New Roman"/>
          <w:b w:val="false"/>
          <w:sz w:val="20"/>
        </w:rPr>
        <w:t>Cash provided by financing activities for the year ended December 31, 2019 was $41.6 million, which primarily consisted of net proceeds from the issuance of the second tranche of our Series C redeemable convertible preferred stock of $42.5 million, partially offset by deferred offering costs of $1.1 million.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Contractual Obligations and Commitments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material cash requirements include the following contractual and other obligations.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Leases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have operating lease agreements for our office spaces. As of December 31, 2021, we had lease payment obligations totaling $20.3 million.</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Purchase Obligations</w:t>
      </w:r>
    </w:p>
    <w:p>
      <w:pPr>
        <w:pStyle w:val="TextBody"/>
        <w:spacing w:lineRule="auto" w:line="273" w:before="240" w:after="0"/>
        <w:jc w:val="left"/>
        <w:rPr>
          <w:rFonts w:ascii="Times New Roman" w:hAnsi="Times New Roman"/>
          <w:sz w:val="20"/>
        </w:rPr>
      </w:pPr>
      <w:r>
        <w:rPr>
          <w:rFonts w:ascii="Times New Roman" w:hAnsi="Times New Roman"/>
          <w:b w:val="false"/>
          <w:sz w:val="20"/>
        </w:rPr>
        <w:t>We have certain payment obligations under various license agreements. Under these agreements, we are required to make milestone payments upon successful completion and achievement of certain intellectual property, clinical, regulatory and sales milestones. The payment obligations under the license agreements are contingent upon future events such as our achievement of specified development, clinical, regulatory and commercial milestones, and we will be required to make development milestone payments and royalty payments in connection with the sale of products developed under these agreements. As the achievement and timing of these future milestone payments are not probable or estimable, such amounts have not been included in our balance sheets as of December 31, 2021 or December 31, 2020. See Note 14, “Related Party Transactions,” to our financial statements included in Part II, Item 8 of this Annual Report on Form 10-K.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enter into agreements in the normal course of business with vendors for preclinical, clinical and non-clinical studies, manufacturing and supply of our preclinical and clinical materials and for other services and products used for operating purposes. These contracts are generally cancelable following a certain period after written notice, and therefore, we believe that our non-cancelable obligations under these agreements are not material.</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Critical Accounting Policies and Significant Judgments and Estimates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management’s discussion and analysis of our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expenses, stock-based compensation and leases.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While our significant accounting policies are described in the notes to our financial statements included elsewhere in this Annual Report on Form 10-K, we believe that the following critical accounting policies are most important to understanding and evaluating our reported financial results:</w:t>
      </w:r>
      <w:r>
        <w:rPr>
          <w:rFonts w:ascii="Times New Roman" w:hAnsi="Times New Roman"/>
          <w:sz w:val="20"/>
        </w:rPr>
        <w:t xml:space="preserve"> </w:t>
      </w:r>
    </w:p>
    <w:p>
      <w:pPr>
        <w:pStyle w:val="TextBody"/>
        <w:spacing w:lineRule="auto" w:line="273" w:before="4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Accrued Research and Development Expenses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have entered into various agreements with contract manufacturing organizations, or CMOs, and clinical research organizations, or CROs. As part of the process of preparing our financial statements, we are required to estimate our accrued research and development expenses, including accrued manufacturing expenses, as of each balance sheet date. This process involves reviewing open contracts and purchase orders, communicating with our personnel and third parties to identify services that have been performed on our behalf and estimating the level of service performed and the associated cost incurred for the service when we have not yet been invoiced or otherwise notified of the actual cost. We make estimates of our accrued research and development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pStyle w:val="TextBody"/>
        <w:spacing w:lineRule="auto" w:line="273" w:before="240" w:after="0"/>
        <w:jc w:val="left"/>
        <w:rPr>
          <w:rFonts w:ascii="Times New Roman" w:hAnsi="Times New Roman"/>
          <w:sz w:val="20"/>
        </w:rPr>
      </w:pPr>
      <w:r>
        <w:rPr>
          <w:rFonts w:ascii="Times New Roman" w:hAnsi="Times New Roman"/>
          <w:b w:val="false"/>
          <w:sz w:val="20"/>
        </w:rPr>
        <w:t>We accrue for costs related to research and development activities based on our estimates of the services received and efforts expended pursuant to quotes and contracts with vendors, including CMOs, that conduct research, development and manufacturing on our behalf. The financial terms of these agreements are subject to negotiation, vary from contract to contract and may result in uneven payment flows. There may be instances in which payments made to our vendors will exceed the level of services provided and result in a</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prepayment of the research and development expense. Advance payments for goods and services that will be used in future research and development activities are expensed when the activity has been performed or when the goods have been received. We make significant judgments and estimates in determining accrued research and development liabilities as of each reporting period based on the estimated time period over which services will be performed and the level of effort to be expended. If the actual timing of the performance of services or the level of effort varies from our estimate, we adjust the accrual or prepaid expense accordingly.</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Stock-Based Compensation Expense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Stock-based compensation expense related to awards to employees is measured at the grant date based on the fair value of the award. The fair value of the award that is ultimately expected to vest is recognized as expense on a straight-line basis over the requisite service period, which is generally the vesting period, net of the impact of actual forfeitures recorded in the period in which they occur.</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Stock-based compensation expense related to awards to non-employees is recognized based on the then-current fair value at each measurement date over the associated service period of the award, which is generally the vesting term, using the straight-line method. The fair value of non-employee stock options is estimated using the Black-Scholes valuation model with assumptions generally consistent with those used for employee stock options, with the exception of the expected term, which is the remaining contractual life at each measurement date. Refer to Notes 2 and 10 for more information on assumptions used in estimating stock-based compensation expense.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Black-Scholes option-pricing model requires the use of subjective assumptions, such as volatility, which determine the fair value of stock-based awards. The assumptions utilized in the Black-Scholes option-pricing model are as follows: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Expected Term</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Expected term represents the period that our stock-based awards are expected to be outstanding. The expected term for employee equity instruments is calculated using the simplified method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 from grant until the mid-points for each of the tranches may be averaged to provide an overall expected term. The expected term for non-employee stock options is the remaining contractual term.</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Expected Volatility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Expected volatility is estimated from the average historical volatilities of publicly traded companies within the life sciences industry that are considered to be comparable to our business over a period approximately equal to the expected term for employees’ options and the remaining contractual life for non-employees’ options. We will continue to apply this process until a sufficient amount of historical information regarding the volatility of our own stock price becomes available.</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116</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i/>
          <w:sz w:val="20"/>
        </w:rPr>
      </w:pPr>
      <w:r>
        <w:rPr>
          <w:rFonts w:ascii="Times New Roman" w:hAnsi="Times New Roman"/>
          <w:b w:val="false"/>
          <w:i/>
          <w:sz w:val="20"/>
        </w:rPr>
        <w:t>Expected Dividend</w:t>
      </w:r>
    </w:p>
    <w:p>
      <w:pPr>
        <w:pStyle w:val="TextBody"/>
        <w:spacing w:lineRule="auto" w:line="273" w:before="0" w:after="0"/>
        <w:jc w:val="left"/>
        <w:rPr/>
      </w:pPr>
      <w:r>
        <w:rPr/>
        <w:t> </w:t>
      </w:r>
    </w:p>
    <w:p>
      <w:pPr>
        <w:pStyle w:val="TextBody"/>
        <w:spacing w:lineRule="auto" w:line="285" w:before="0" w:after="0"/>
        <w:jc w:val="left"/>
        <w:rPr>
          <w:rFonts w:ascii="Times New Roman" w:hAnsi="Times New Roman"/>
          <w:b w:val="false"/>
          <w:sz w:val="20"/>
        </w:rPr>
      </w:pPr>
      <w:r>
        <w:rPr>
          <w:rFonts w:ascii="Times New Roman" w:hAnsi="Times New Roman"/>
          <w:b w:val="false"/>
          <w:sz w:val="20"/>
        </w:rPr>
        <w:t>We have not paid and do not anticipate paying any dividends in the near future. Accordingly, we have estimated the dividend yield to be zero.</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Risk-Free Interest Rate</w:t>
      </w:r>
    </w:p>
    <w:p>
      <w:pPr>
        <w:pStyle w:val="TextBody"/>
        <w:spacing w:lineRule="auto" w:line="273" w:before="0" w:after="0"/>
        <w:jc w:val="left"/>
        <w:rPr/>
      </w:pPr>
      <w:r>
        <w:rPr/>
        <w:t> </w:t>
      </w:r>
    </w:p>
    <w:p>
      <w:pPr>
        <w:pStyle w:val="TextBody"/>
        <w:spacing w:lineRule="auto" w:line="285" w:before="0" w:after="120"/>
        <w:jc w:val="left"/>
        <w:rPr>
          <w:rFonts w:ascii="Times New Roman" w:hAnsi="Times New Roman"/>
          <w:b w:val="false"/>
          <w:sz w:val="20"/>
        </w:rPr>
      </w:pPr>
      <w:r>
        <w:rPr>
          <w:rFonts w:ascii="Times New Roman" w:hAnsi="Times New Roman"/>
          <w:b w:val="false"/>
          <w:sz w:val="20"/>
        </w:rPr>
        <w:t>The risk-free interest rate is based on the U.S. Treasury yield in effect at the time of grant for zero-coupon notes with remaining terms corresponding with the expected term of the option.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Fair Value of Common Stock</w:t>
      </w:r>
    </w:p>
    <w:p>
      <w:pPr>
        <w:pStyle w:val="TextBody"/>
        <w:spacing w:lineRule="auto" w:line="273" w:before="0" w:after="0"/>
        <w:jc w:val="left"/>
        <w:rPr/>
      </w:pPr>
      <w:r>
        <w:rPr/>
        <w:t> </w:t>
      </w:r>
    </w:p>
    <w:p>
      <w:pPr>
        <w:pStyle w:val="TextBody"/>
        <w:spacing w:lineRule="auto" w:line="285" w:before="0" w:after="120"/>
        <w:jc w:val="left"/>
        <w:rPr>
          <w:rFonts w:ascii="Times New Roman" w:hAnsi="Times New Roman"/>
          <w:b w:val="false"/>
          <w:sz w:val="20"/>
        </w:rPr>
      </w:pPr>
      <w:r>
        <w:rPr>
          <w:rFonts w:ascii="Times New Roman" w:hAnsi="Times New Roman"/>
          <w:b w:val="false"/>
          <w:sz w:val="20"/>
        </w:rPr>
        <w:t>For valuations after the completion of our IPO, the fair value of each share of underlying common stock is based on the closing price of our common stock as reported on the Nasdaq Global Select Market on the date of grant.</w:t>
      </w:r>
    </w:p>
    <w:p>
      <w:pPr>
        <w:pStyle w:val="TextBody"/>
        <w:spacing w:lineRule="auto" w:line="273" w:before="0" w:after="0"/>
        <w:jc w:val="left"/>
        <w:rPr/>
      </w:pPr>
      <w:r>
        <w:rPr/>
        <w:t> </w:t>
      </w:r>
    </w:p>
    <w:p>
      <w:pPr>
        <w:pStyle w:val="TextBody"/>
        <w:spacing w:lineRule="auto" w:line="273" w:before="1" w:after="0"/>
        <w:jc w:val="left"/>
        <w:rPr>
          <w:rFonts w:ascii="Times New Roman" w:hAnsi="Times New Roman"/>
          <w:b/>
          <w:i/>
          <w:sz w:val="20"/>
        </w:rPr>
      </w:pPr>
      <w:r>
        <w:rPr>
          <w:rFonts w:ascii="Times New Roman" w:hAnsi="Times New Roman"/>
          <w:b/>
          <w:i/>
          <w:sz w:val="20"/>
        </w:rPr>
        <w:t>Leases</w:t>
      </w:r>
    </w:p>
    <w:p>
      <w:pPr>
        <w:pStyle w:val="TextBody"/>
        <w:spacing w:lineRule="auto" w:line="273" w:before="0" w:after="0"/>
        <w:jc w:val="left"/>
        <w:rPr/>
      </w:pPr>
      <w:r>
        <w:rPr/>
        <w:t> </w:t>
      </w:r>
    </w:p>
    <w:p>
      <w:pPr>
        <w:pStyle w:val="TextBody"/>
        <w:spacing w:lineRule="auto" w:line="285" w:before="0" w:after="0"/>
        <w:jc w:val="left"/>
        <w:rPr>
          <w:rFonts w:ascii="Times New Roman" w:hAnsi="Times New Roman"/>
          <w:sz w:val="20"/>
        </w:rPr>
      </w:pPr>
      <w:r>
        <w:rPr>
          <w:rFonts w:ascii="Times New Roman" w:hAnsi="Times New Roman"/>
          <w:b w:val="false"/>
          <w:sz w:val="20"/>
        </w:rPr>
        <w:t xml:space="preserve">We adopted Accounting Standards Update (“ASU”) 2016-02, </w:t>
      </w:r>
      <w:r>
        <w:rPr>
          <w:rFonts w:ascii="Times New Roman" w:hAnsi="Times New Roman"/>
          <w:b w:val="false"/>
          <w:i/>
          <w:sz w:val="20"/>
        </w:rPr>
        <w:t>Leases</w:t>
      </w:r>
      <w:r>
        <w:rPr>
          <w:rFonts w:ascii="Times New Roman" w:hAnsi="Times New Roman"/>
          <w:sz w:val="20"/>
        </w:rPr>
        <w:t xml:space="preserve"> </w:t>
      </w:r>
      <w:r>
        <w:rPr>
          <w:rFonts w:ascii="Times New Roman" w:hAnsi="Times New Roman"/>
          <w:b w:val="false"/>
          <w:sz w:val="20"/>
        </w:rPr>
        <w:t>(</w:t>
      </w:r>
      <w:r>
        <w:rPr>
          <w:rFonts w:ascii="Times New Roman" w:hAnsi="Times New Roman"/>
          <w:b w:val="false"/>
          <w:i/>
          <w:sz w:val="20"/>
        </w:rPr>
        <w:t>Topic 842</w:t>
      </w:r>
      <w:r>
        <w:rPr>
          <w:rFonts w:ascii="Times New Roman" w:hAnsi="Times New Roman"/>
          <w:b w:val="false"/>
          <w:sz w:val="20"/>
        </w:rPr>
        <w:t>) on January 1, 2021, using the modified retrospective transition approach. There was no cumulative-effect adjustment recorded to retained earnings upon adoption.</w:t>
      </w:r>
    </w:p>
    <w:p>
      <w:pPr>
        <w:pStyle w:val="TextBody"/>
        <w:spacing w:lineRule="auto" w:line="285" w:before="0" w:after="0"/>
        <w:jc w:val="left"/>
        <w:rPr/>
      </w:pPr>
      <w:r>
        <w:rPr/>
        <w:t> </w:t>
      </w:r>
    </w:p>
    <w:p>
      <w:pPr>
        <w:pStyle w:val="TextBody"/>
        <w:spacing w:lineRule="auto" w:line="285" w:before="0" w:after="0"/>
        <w:jc w:val="left"/>
        <w:rPr>
          <w:rFonts w:ascii="Times New Roman" w:hAnsi="Times New Roman"/>
          <w:sz w:val="20"/>
        </w:rPr>
      </w:pPr>
      <w:r>
        <w:rPr>
          <w:rFonts w:ascii="Times New Roman" w:hAnsi="Times New Roman"/>
          <w:b w:val="false"/>
          <w:sz w:val="20"/>
        </w:rPr>
        <w:t>Under ASC 842, we assess all arrangements that convey the right to control the use of property, plant and equipment, at inception, to determine if it is, or contains, a lease based on the unique facts and circumstances present in the arrangements. In addition, we determine whether leases meet the classification criteria of a finance or operating lease at the lease commencement date considering: (1) whether the lease transfers ownership of the underlying asset to the lessee at the end of the lease term, (2) whether the lease contains a bargain purchase option, (3) whether the lease term is for a major part of the remaining economic life of the underlying asset, (4) whether the present value of the sum of the lease payments and residual value guaranteed by the lessee equals or exceeds substantially all of the fair value of the underlying asset, and (5) whether the underlying asset is of such a specialized nature that it is expected to have no alternative use to the lessor at the end of the lease term. As of December 31, 2021, our lease population consisted only of operating real estate leases.</w:t>
      </w:r>
      <w:r>
        <w:rPr>
          <w:rFonts w:ascii="Times New Roman" w:hAnsi="Times New Roman"/>
          <w:sz w:val="20"/>
        </w:rPr>
        <w:t xml:space="preserve"> </w:t>
      </w:r>
    </w:p>
    <w:p>
      <w:pPr>
        <w:pStyle w:val="TextBody"/>
        <w:spacing w:lineRule="auto" w:line="285" w:before="0" w:after="0"/>
        <w:jc w:val="left"/>
        <w:rPr/>
      </w:pPr>
      <w:r>
        <w:rPr/>
        <w:t> </w:t>
      </w:r>
    </w:p>
    <w:p>
      <w:pPr>
        <w:pStyle w:val="TextBody"/>
        <w:spacing w:lineRule="auto" w:line="285" w:before="0" w:after="0"/>
        <w:jc w:val="left"/>
        <w:rPr>
          <w:rFonts w:ascii="Times New Roman" w:hAnsi="Times New Roman"/>
          <w:b w:val="false"/>
          <w:sz w:val="20"/>
        </w:rPr>
      </w:pPr>
      <w:r>
        <w:rPr>
          <w:rFonts w:ascii="Times New Roman" w:hAnsi="Times New Roman"/>
          <w:b w:val="false"/>
          <w:sz w:val="20"/>
        </w:rPr>
        <w:t>Once a lease is identified and its classification determined, we recognize a right-of-use, or ROU, asset and a corresponding lease liability. Lease liabilities are recorded based on the present value of lease payments over the expected least term. The corresponding ROU asset is measured from the initial lease liability, adjusted by (i) accrued or prepaid rents, (ii) remaining unamortized initial direct costs and lease incentives, and (iii) any impairments of the ROU asset.</w:t>
      </w:r>
    </w:p>
    <w:p>
      <w:pPr>
        <w:pStyle w:val="TextBody"/>
        <w:spacing w:lineRule="auto" w:line="285" w:before="0" w:after="0"/>
        <w:jc w:val="left"/>
        <w:rPr/>
      </w:pPr>
      <w:r>
        <w:rPr/>
        <w:t> </w:t>
      </w:r>
    </w:p>
    <w:p>
      <w:pPr>
        <w:pStyle w:val="TextBody"/>
        <w:spacing w:lineRule="auto" w:line="285" w:before="0" w:after="0"/>
        <w:jc w:val="left"/>
        <w:rPr>
          <w:rFonts w:ascii="Times New Roman" w:hAnsi="Times New Roman"/>
          <w:b w:val="false"/>
          <w:sz w:val="20"/>
        </w:rPr>
      </w:pPr>
      <w:r>
        <w:rPr>
          <w:rFonts w:ascii="Times New Roman" w:hAnsi="Times New Roman"/>
          <w:b w:val="false"/>
          <w:sz w:val="20"/>
        </w:rPr>
        <w:t>Significant assumptions utilized in recognizing the right-of-use assets and corresponding lease liabilities included the expected lease term and the incremental borrowing rate. The expected lease term includes both contractual lease periods and, as applicable, extensions of the lease term when we have determined the exercise of the option to extend is reasonably certain to occur. The incremental borrowing rate was utilized to discount lease payments over the expected term given our operating leases do not provide an implicit rate. We estimated the incremental borrowing rate based on an analysis of corporate bond yields with a credit rating similar to us. The determination of our incremental borrowing rate requires management judgment, including development of a synthetic credit rating and cost of debt, as we currently do not carry any debt. We believe that the estimates used in determining the incremental borrowing rate are reasonable based upon current facts and circumstances.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117</w:t>
      </w:r>
    </w:p>
    <w:p>
      <w:pPr>
        <w:pStyle w:val="HorizontalLine"/>
        <w:rPr/>
      </w:pPr>
      <w:r>
        <w:rPr/>
      </w:r>
    </w:p>
    <w:p>
      <w:pPr>
        <w:pStyle w:val="TextBody"/>
        <w:spacing w:lineRule="auto" w:line="273" w:before="0" w:after="0"/>
        <w:jc w:val="left"/>
        <w:rPr/>
      </w:pPr>
      <w:r>
        <w:rPr/>
        <w:t> </w:t>
      </w:r>
    </w:p>
    <w:p>
      <w:pPr>
        <w:pStyle w:val="TextBody"/>
        <w:spacing w:lineRule="auto" w:line="285" w:before="240" w:after="0"/>
        <w:jc w:val="left"/>
        <w:rPr>
          <w:rFonts w:ascii="Times New Roman" w:hAnsi="Times New Roman"/>
          <w:b w:val="false"/>
          <w:sz w:val="20"/>
        </w:rPr>
      </w:pPr>
      <w:r>
        <w:rPr>
          <w:rFonts w:ascii="Times New Roman" w:hAnsi="Times New Roman"/>
          <w:b w:val="false"/>
          <w:sz w:val="20"/>
        </w:rPr>
        <w:t>For additional details regarding the impact of adoption and disclosure, see Note 5, “Leases,” to our financial statements included in Part II, Item 8 of this Annual Report on Form 10-K.</w:t>
      </w:r>
    </w:p>
    <w:p>
      <w:pPr>
        <w:pStyle w:val="TextBody"/>
        <w:spacing w:lineRule="auto" w:line="273" w:before="240" w:after="0"/>
        <w:jc w:val="left"/>
        <w:rPr>
          <w:rFonts w:ascii="Times New Roman" w:hAnsi="Times New Roman"/>
          <w:sz w:val="20"/>
        </w:rPr>
      </w:pPr>
      <w:r>
        <w:rPr>
          <w:rFonts w:ascii="Times New Roman" w:hAnsi="Times New Roman"/>
          <w:b/>
          <w:sz w:val="20"/>
        </w:rPr>
        <w:t>Recently Adopted Accounting Pronouncements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See Note 2, “Basis of Presentation and Summary of Significant Accounting Policies,” to our financial statements for additional information.</w:t>
      </w:r>
    </w:p>
    <w:p>
      <w:pPr>
        <w:pStyle w:val="TextBody"/>
        <w:spacing w:lineRule="auto" w:line="273" w:before="240" w:after="0"/>
        <w:jc w:val="left"/>
        <w:rPr>
          <w:rFonts w:ascii="Times New Roman" w:hAnsi="Times New Roman"/>
          <w:b/>
          <w:sz w:val="20"/>
        </w:rPr>
      </w:pPr>
      <w:bookmarkStart w:id="12" w:name="item_7a_quantitative_qualitative_disclos"/>
      <w:bookmarkEnd w:id="12"/>
      <w:r>
        <w:rPr>
          <w:rFonts w:ascii="Times New Roman" w:hAnsi="Times New Roman"/>
          <w:b/>
          <w:sz w:val="20"/>
        </w:rPr>
        <w:t>Item 7A. Quantitative and Qualitative Disclosures About Market Risk.</w:t>
      </w:r>
    </w:p>
    <w:p>
      <w:pPr>
        <w:pStyle w:val="TextBody"/>
        <w:spacing w:lineRule="auto" w:line="273" w:before="240" w:after="0"/>
        <w:jc w:val="left"/>
        <w:rPr>
          <w:rFonts w:ascii="Times New Roman" w:hAnsi="Times New Roman"/>
          <w:sz w:val="20"/>
        </w:rPr>
      </w:pPr>
      <w:r>
        <w:rPr>
          <w:rFonts w:ascii="Times New Roman" w:hAnsi="Times New Roman"/>
          <w:b/>
          <w:i/>
          <w:sz w:val="20"/>
        </w:rPr>
        <w:t>Interest Rate Risk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cash and cash equivalents as of December 31, 2021 and December 31, 2020 consisted of readily available checking and money market funds. As of December 31, 2021, we also invested in U.S. Treasury securities, U.S. government agency securities, corporate debt, commercial paper and asset-backed securities. Our primary exposure to market risk is interest rate sensitivity, which is affected by changes in the general level of U.S. interest rates. However, because of the nature of the instruments in our portfolio, a sudden change in market interest rates would not be expected to have a material impact on our financial condition or results of operations. We believe that our exposure to interest rate risks is not significant and that a hypothetical 10% movement in market interest rates would not have a significant impact on the total value of our portfolio or our interest income. In addition, we do not believe that our cash and cash equivalents have significant risk of default or illiquidity.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Foreign Currency Risk</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are exposed to market risk related to changes in foreign currency exchange rates, mainly relating to our contract with Lonza, our CMO in Switzerland. We have also entered into a limited number of contracts with other parties with payments denominated in foreign currencies. Payments under these contracts are made in foreign currencies and are subject to fluctuations in foreign currency rates. We do not currently have a formal program in place to hedge foreign currency risks. However, from time to time, we buy Swiss Francs, or CHF, which is the majority of our foreign currency exposure, at market and are holding CHF in our bank accounts. As of December 31, 2021 and December 31, 2020, we had approximately $18.8 million and $4.3 million of cash and cash equivalents, respectively, held at one financial institution. As of December 31, 2021 and December 31, 2020, we had foreign currency denominated accounts payable and accrued expenses of $6.9 million and $41.2 million, respectively. To date, foreign currency transaction gains and losses have not been material to our financial statements. The following table shows the impact of a hypothetical 10% increase or decrease in current exchange rates on our net assets as of December 31, 2021 and our net loss for the three months ended December 31, 2021:</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3030"/>
        <w:gridCol w:w="146"/>
        <w:gridCol w:w="693"/>
        <w:gridCol w:w="2084"/>
        <w:gridCol w:w="166"/>
        <w:gridCol w:w="146"/>
        <w:gridCol w:w="1136"/>
        <w:gridCol w:w="2591"/>
        <w:gridCol w:w="213"/>
      </w:tblGrid>
      <w:tr>
        <w:trPr/>
        <w:tc>
          <w:tcPr>
            <w:tcW w:w="30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208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259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3030"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Impact on Net Assets as of December 31, 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2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Impact on Net Loss for Three Months Ended December 31, 2021</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030"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816"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(in thousands)</w:t>
            </w:r>
          </w:p>
        </w:tc>
        <w:tc>
          <w:tcPr>
            <w:tcW w:w="213" w:type="dxa"/>
            <w:tcBorders/>
            <w:shd w:fill="auto" w:val="clear"/>
            <w:vAlign w:val="center"/>
          </w:tcPr>
          <w:p>
            <w:pPr>
              <w:pStyle w:val="TableContents"/>
              <w:spacing w:lineRule="auto" w:line="252" w:before="0" w:after="0"/>
              <w:ind w:left="0" w:right="0" w:hanging="0"/>
              <w:jc w:val="center"/>
              <w:rPr/>
            </w:pPr>
            <w:r>
              <w:rPr/>
              <w:t> </w:t>
            </w:r>
          </w:p>
        </w:tc>
      </w:tr>
      <w:tr>
        <w:trPr/>
        <w:tc>
          <w:tcPr>
            <w:tcW w:w="30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Hypothetical Change in Currency Exchange Rates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77"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727" w:type="dxa"/>
            <w:gridSpan w:val="2"/>
            <w:tcBorders/>
            <w:shd w:fill="auto" w:val="clear"/>
            <w:vAlign w:val="center"/>
          </w:tcPr>
          <w:p>
            <w:pPr>
              <w:pStyle w:val="TableContents"/>
              <w:spacing w:lineRule="auto" w:line="252" w:before="0" w:after="0"/>
              <w:ind w:left="0" w:right="0" w:hanging="0"/>
              <w:jc w:val="center"/>
              <w:rPr/>
            </w:pPr>
            <w:r>
              <w:rPr/>
              <w:t> </w:t>
            </w:r>
          </w:p>
        </w:tc>
        <w:tc>
          <w:tcPr>
            <w:tcW w:w="213" w:type="dxa"/>
            <w:tcBorders/>
            <w:shd w:fill="auto" w:val="clear"/>
            <w:vAlign w:val="center"/>
          </w:tcPr>
          <w:p>
            <w:pPr>
              <w:pStyle w:val="TableContents"/>
              <w:spacing w:lineRule="auto" w:line="252" w:before="0" w:after="0"/>
              <w:ind w:left="0" w:right="0" w:hanging="0"/>
              <w:jc w:val="center"/>
              <w:rPr/>
            </w:pPr>
            <w:r>
              <w:rPr/>
              <w:t> </w:t>
            </w:r>
          </w:p>
        </w:tc>
      </w:tr>
      <w:tr>
        <w:trPr/>
        <w:tc>
          <w:tcPr>
            <w:tcW w:w="30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 increase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208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1,186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259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963</w:t>
            </w:r>
          </w:p>
        </w:tc>
        <w:tc>
          <w:tcPr>
            <w:tcW w:w="213" w:type="dxa"/>
            <w:tcBorders/>
            <w:shd w:fill="auto" w:val="clear"/>
            <w:vAlign w:val="center"/>
          </w:tcPr>
          <w:p>
            <w:pPr>
              <w:pStyle w:val="TableContents"/>
              <w:spacing w:lineRule="auto" w:line="252" w:before="0" w:after="0"/>
              <w:ind w:left="0" w:right="0" w:hanging="0"/>
              <w:jc w:val="left"/>
              <w:rPr/>
            </w:pPr>
            <w:r>
              <w:rPr/>
              <w:t> </w:t>
            </w:r>
          </w:p>
        </w:tc>
      </w:tr>
      <w:tr>
        <w:trPr/>
        <w:tc>
          <w:tcPr>
            <w:tcW w:w="30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 decrease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208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(1,186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259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(963</w:t>
            </w:r>
          </w:p>
        </w:tc>
        <w:tc>
          <w:tcPr>
            <w:tcW w:w="2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our foreign currency risk increases in the future, we will evaluate alternative strategies, including hedging, to mitigate our foreign currency exposure.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Effects of Inflation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Inflation generally affects us by increasing our cost of labor and research and development contract costs. We do not believe inflation had a material effect on our results of operations during the periods presented.</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bookmarkStart w:id="13" w:name="item_8_financial_statements_supplement"/>
      <w:bookmarkEnd w:id="13"/>
      <w:r>
        <w:rPr>
          <w:rFonts w:ascii="Times New Roman" w:hAnsi="Times New Roman"/>
          <w:b/>
          <w:sz w:val="20"/>
        </w:rPr>
        <w:t>Item 8. Financial Statements and Supplementary Data.</w:t>
      </w:r>
    </w:p>
    <w:p>
      <w:pPr>
        <w:pStyle w:val="TextBody"/>
        <w:spacing w:lineRule="auto" w:line="273" w:before="240" w:after="0"/>
        <w:jc w:val="center"/>
        <w:rPr>
          <w:rFonts w:ascii="Times New Roman" w:hAnsi="Times New Roman"/>
          <w:b/>
          <w:sz w:val="20"/>
        </w:rPr>
      </w:pPr>
      <w:r>
        <w:rPr>
          <w:rFonts w:ascii="Times New Roman" w:hAnsi="Times New Roman"/>
          <w:b/>
          <w:sz w:val="20"/>
        </w:rPr>
        <w:t>INDEX TO FINANCIAL STATEMENTS</w:t>
      </w:r>
    </w:p>
    <w:p>
      <w:pPr>
        <w:pStyle w:val="TextBody"/>
        <w:spacing w:lineRule="auto" w:line="273" w:before="40" w:after="0"/>
        <w:jc w:val="left"/>
        <w:rPr/>
      </w:pPr>
      <w:r>
        <w:rPr/>
        <w:t> </w:t>
      </w:r>
    </w:p>
    <w:tbl>
      <w:tblPr>
        <w:tblW w:w="7862" w:type="dxa"/>
        <w:jc w:val="left"/>
        <w:tblInd w:w="0" w:type="dxa"/>
        <w:tblCellMar>
          <w:top w:w="28" w:type="dxa"/>
          <w:left w:w="28" w:type="dxa"/>
          <w:bottom w:w="28" w:type="dxa"/>
          <w:right w:w="28" w:type="dxa"/>
        </w:tblCellMar>
      </w:tblPr>
      <w:tblGrid>
        <w:gridCol w:w="7396"/>
        <w:gridCol w:w="466"/>
      </w:tblGrid>
      <w:tr>
        <w:trPr/>
        <w:tc>
          <w:tcPr>
            <w:tcW w:w="73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r>
      <w:tr>
        <w:trPr/>
        <w:tc>
          <w:tcPr>
            <w:tcW w:w="73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report_independent_registered_public_acc">
              <w:r>
                <w:rPr>
                  <w:rStyle w:val="InternetLink"/>
                  <w:rFonts w:ascii="Times New Roman" w:hAnsi="Times New Roman"/>
                  <w:b w:val="false"/>
                  <w:sz w:val="20"/>
                  <w:u w:val="single"/>
                </w:rPr>
                <w:t>Report of Independent Registered Public Accounting Firm - PCAOB ID No. 34</w:t>
              </w:r>
            </w:hyperlink>
          </w:p>
        </w:tc>
        <w:tc>
          <w:tcPr>
            <w:tcW w:w="4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120</w:t>
            </w:r>
          </w:p>
        </w:tc>
      </w:tr>
      <w:tr>
        <w:trPr/>
        <w:tc>
          <w:tcPr>
            <w:tcW w:w="73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73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balance_sheets">
              <w:r>
                <w:rPr>
                  <w:rStyle w:val="InternetLink"/>
                  <w:rFonts w:ascii="Times New Roman" w:hAnsi="Times New Roman"/>
                  <w:b w:val="false"/>
                  <w:sz w:val="20"/>
                  <w:u w:val="single"/>
                </w:rPr>
                <w:t>Balance Sheets</w:t>
              </w:r>
            </w:hyperlink>
          </w:p>
        </w:tc>
        <w:tc>
          <w:tcPr>
            <w:tcW w:w="4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123</w:t>
            </w:r>
          </w:p>
        </w:tc>
      </w:tr>
      <w:tr>
        <w:trPr/>
        <w:tc>
          <w:tcPr>
            <w:tcW w:w="73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73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tatementsofoperations1">
              <w:r>
                <w:rPr>
                  <w:rStyle w:val="InternetLink"/>
                  <w:rFonts w:ascii="Times New Roman" w:hAnsi="Times New Roman"/>
                  <w:b w:val="false"/>
                  <w:sz w:val="20"/>
                  <w:u w:val="single"/>
                </w:rPr>
                <w:t>Statements of Operations</w:t>
              </w:r>
            </w:hyperlink>
          </w:p>
        </w:tc>
        <w:tc>
          <w:tcPr>
            <w:tcW w:w="4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124</w:t>
            </w:r>
          </w:p>
        </w:tc>
      </w:tr>
      <w:tr>
        <w:trPr/>
        <w:tc>
          <w:tcPr>
            <w:tcW w:w="73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73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tatements_of_comprehensive_loss_">
              <w:r>
                <w:rPr>
                  <w:rStyle w:val="InternetLink"/>
                  <w:rFonts w:ascii="Times New Roman" w:hAnsi="Times New Roman"/>
                  <w:b w:val="false"/>
                  <w:sz w:val="20"/>
                  <w:u w:val="single"/>
                </w:rPr>
                <w:t>Statements of Comprehensive Loss</w:t>
              </w:r>
            </w:hyperlink>
          </w:p>
        </w:tc>
        <w:tc>
          <w:tcPr>
            <w:tcW w:w="4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125</w:t>
            </w:r>
          </w:p>
        </w:tc>
      </w:tr>
      <w:tr>
        <w:trPr/>
        <w:tc>
          <w:tcPr>
            <w:tcW w:w="73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73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tatements_redeemable_convertible_prefer">
              <w:r>
                <w:rPr>
                  <w:rStyle w:val="InternetLink"/>
                  <w:rFonts w:ascii="Times New Roman" w:hAnsi="Times New Roman"/>
                  <w:b w:val="false"/>
                  <w:sz w:val="20"/>
                  <w:u w:val="single"/>
                </w:rPr>
                <w:t>Statements of Redeemable Convertible Preferred Stock and Stockholders’ Equity (Deficit</w:t>
              </w:r>
            </w:hyperlink>
            <w:r>
              <w:rPr>
                <w:rFonts w:ascii="Times New Roman" w:hAnsi="Times New Roman"/>
                <w:b w:val="false"/>
                <w:sz w:val="20"/>
                <w:u w:val="single"/>
              </w:rPr>
              <w:t>)</w:t>
            </w:r>
          </w:p>
        </w:tc>
        <w:tc>
          <w:tcPr>
            <w:tcW w:w="4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126</w:t>
            </w:r>
          </w:p>
        </w:tc>
      </w:tr>
      <w:tr>
        <w:trPr/>
        <w:tc>
          <w:tcPr>
            <w:tcW w:w="73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73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statements_cash_flows">
              <w:r>
                <w:rPr>
                  <w:rStyle w:val="InternetLink"/>
                  <w:rFonts w:ascii="Times New Roman" w:hAnsi="Times New Roman"/>
                  <w:b w:val="false"/>
                  <w:sz w:val="20"/>
                  <w:u w:val="single"/>
                </w:rPr>
                <w:t>Statements of Cash Flows</w:t>
              </w:r>
            </w:hyperlink>
          </w:p>
        </w:tc>
        <w:tc>
          <w:tcPr>
            <w:tcW w:w="4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127</w:t>
            </w:r>
          </w:p>
        </w:tc>
      </w:tr>
      <w:tr>
        <w:trPr/>
        <w:tc>
          <w:tcPr>
            <w:tcW w:w="73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73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notes_to_unaudited_interim_condensed_fin">
              <w:r>
                <w:rPr>
                  <w:rStyle w:val="InternetLink"/>
                  <w:rFonts w:ascii="Times New Roman" w:hAnsi="Times New Roman"/>
                  <w:b w:val="false"/>
                  <w:sz w:val="20"/>
                  <w:u w:val="single"/>
                </w:rPr>
                <w:t>Notes to Financial Statements</w:t>
              </w:r>
            </w:hyperlink>
          </w:p>
        </w:tc>
        <w:tc>
          <w:tcPr>
            <w:tcW w:w="4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128</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119</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14" w:name="report_independent_registered_public_acc"/>
      <w:bookmarkEnd w:id="14"/>
      <w:r>
        <w:rPr>
          <w:rFonts w:ascii="Times New Roman" w:hAnsi="Times New Roman"/>
          <w:b/>
          <w:sz w:val="20"/>
        </w:rPr>
        <w:t>Report of Independent Registered Public Accounting Firm</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To the stockholders and the Board of Directors of Vaxcyte, Inc.</w:t>
      </w:r>
    </w:p>
    <w:p>
      <w:pPr>
        <w:pStyle w:val="TextBody"/>
        <w:spacing w:lineRule="auto" w:line="273" w:before="240" w:after="0"/>
        <w:jc w:val="left"/>
        <w:rPr>
          <w:rFonts w:ascii="Times New Roman" w:hAnsi="Times New Roman"/>
          <w:b/>
          <w:sz w:val="20"/>
        </w:rPr>
      </w:pPr>
      <w:r>
        <w:rPr>
          <w:rFonts w:ascii="Times New Roman" w:hAnsi="Times New Roman"/>
          <w:b/>
          <w:sz w:val="20"/>
        </w:rPr>
        <w:t>Opinion on the Financial Statements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have audited the accompanying balance sheets of Vaxcyte, Inc. (the "Company") as of December 31, 2021 and 2020, the related statements of operations and comprehensive loss, redeemable convertible preferred stock and stockholders'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have also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28, 2022, expressed an unqualified opinion on the Company's internal control over financial reporting.</w:t>
      </w:r>
    </w:p>
    <w:p>
      <w:pPr>
        <w:pStyle w:val="TextBody"/>
        <w:spacing w:lineRule="auto" w:line="273" w:before="240" w:after="0"/>
        <w:jc w:val="left"/>
        <w:rPr>
          <w:rFonts w:ascii="Times New Roman" w:hAnsi="Times New Roman"/>
          <w:b/>
          <w:sz w:val="20"/>
        </w:rPr>
      </w:pPr>
      <w:r>
        <w:rPr>
          <w:rFonts w:ascii="Times New Roman" w:hAnsi="Times New Roman"/>
          <w:b/>
          <w:sz w:val="20"/>
        </w:rPr>
        <w:t>Change in Accounting Principle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As discussed in Note 2 to the financial statements, effective January 1, 2021, the Company adopted ASC No. 2016-02, Leases (Topic 842), using the modified retrospective transition approach.</w:t>
      </w:r>
    </w:p>
    <w:p>
      <w:pPr>
        <w:pStyle w:val="TextBody"/>
        <w:spacing w:lineRule="auto" w:line="273" w:before="240" w:after="0"/>
        <w:jc w:val="left"/>
        <w:rPr>
          <w:rFonts w:ascii="Times New Roman" w:hAnsi="Times New Roman"/>
          <w:b/>
          <w:sz w:val="20"/>
        </w:rPr>
      </w:pPr>
      <w:r>
        <w:rPr>
          <w:rFonts w:ascii="Times New Roman" w:hAnsi="Times New Roman"/>
          <w:b/>
          <w:sz w:val="20"/>
        </w:rPr>
        <w:t>Basis for Opinion</w:t>
      </w:r>
    </w:p>
    <w:p>
      <w:pPr>
        <w:pStyle w:val="TextBody"/>
        <w:spacing w:lineRule="auto" w:line="273" w:before="240" w:after="0"/>
        <w:jc w:val="left"/>
        <w:rPr>
          <w:rFonts w:ascii="Times New Roman" w:hAnsi="Times New Roman"/>
          <w:sz w:val="20"/>
        </w:rPr>
      </w:pPr>
      <w:r>
        <w:rPr>
          <w:rFonts w:ascii="Times New Roman" w:hAnsi="Times New Roman"/>
          <w:b w:val="false"/>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br/>
      </w:r>
      <w:r>
        <w:rPr>
          <w:rFonts w:ascii="Times New Roman" w:hAnsi="Times New Roman"/>
          <w:sz w:val="20"/>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73" w:before="240" w:after="0"/>
        <w:jc w:val="left"/>
        <w:rPr>
          <w:rFonts w:ascii="Times New Roman" w:hAnsi="Times New Roman"/>
          <w:b/>
          <w:sz w:val="20"/>
        </w:rPr>
      </w:pPr>
      <w:r>
        <w:rPr>
          <w:rFonts w:ascii="Times New Roman" w:hAnsi="Times New Roman"/>
          <w:b/>
          <w:sz w:val="20"/>
        </w:rPr>
        <w:t>Critical Audit Matter</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sz w:val="20"/>
        </w:rPr>
      </w:pPr>
      <w:r>
        <w:rPr>
          <w:rFonts w:ascii="Times New Roman" w:hAnsi="Times New Roman"/>
          <w:b/>
          <w:sz w:val="20"/>
        </w:rPr>
        <w:t>Accrued Manufacturing Expenses — Refer to Notes 2 and 6 to the financial statements</w:t>
      </w:r>
    </w:p>
    <w:p>
      <w:pPr>
        <w:pStyle w:val="TextBody"/>
        <w:spacing w:lineRule="auto" w:line="273" w:before="240" w:after="0"/>
        <w:jc w:val="left"/>
        <w:rPr>
          <w:rFonts w:ascii="Times New Roman" w:hAnsi="Times New Roman"/>
          <w:b w:val="false"/>
          <w:i/>
          <w:sz w:val="20"/>
        </w:rPr>
      </w:pPr>
      <w:r>
        <w:rPr>
          <w:rFonts w:ascii="Times New Roman" w:hAnsi="Times New Roman"/>
          <w:b w:val="false"/>
          <w:i/>
          <w:sz w:val="20"/>
        </w:rPr>
        <w:t>Critical Audit Matter Description</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Company incurs research and development expenses related to the costs of research and development activities, including those performed by Lonza, a contract manufacturing organization under a development and manufacturing services agreement, to provide research and development services related to preclinical vaccine development. At the end of each period, the Company accrues for costs related to manufacturing expenses based on their estimates of the services received for each phase and efforts expended pursuant to quotes and contracts with vendors that conduct research and development on their behalf. This estimation process involves reviewing open contracts and purchase orders, communicating with Company personnel and third parties to identify services that have been performed on their behalf, and estimating the level of service performed and the associated costs incurred for the services for each phase when the Company has not yet been invoiced or otherwise notified of the actual costs. As of December 31, 2021, the Company had $4.4 million of accrued manufacturing expenses.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identified the Company’s accrued manufacturing expenses as a critical audit matter primarily due to judgments necessary for management to estimate the cost of services provided but not yet invoiced and the significant volume of transactions. The amount of the accrual at period end is based on the terms and conditions per the agreements and is dependent on management’s gathering of information from various sources, including Lonza, regarding the progress of the uninvoiced services at the reporting date. Accordingly, this estimate is subjective as it involves management’s judgment to analyze the various sources of information. This required extensive audit effort due to the volume and nature of available information from various sources, including Lonza, and required a high degree of auditor judgment when performing audit procedures to audit management’s estimates of accrued manufacturing expenses and evaluating the results of those procedures.</w:t>
      </w:r>
    </w:p>
    <w:p>
      <w:pPr>
        <w:pStyle w:val="TextBody"/>
        <w:spacing w:lineRule="auto" w:line="273" w:before="240" w:after="0"/>
        <w:jc w:val="left"/>
        <w:rPr>
          <w:rFonts w:ascii="Times New Roman" w:hAnsi="Times New Roman"/>
          <w:b w:val="false"/>
          <w:i/>
          <w:sz w:val="20"/>
        </w:rPr>
      </w:pPr>
      <w:r>
        <w:rPr>
          <w:rFonts w:ascii="Times New Roman" w:hAnsi="Times New Roman"/>
          <w:b w:val="false"/>
          <w:i/>
          <w:sz w:val="20"/>
        </w:rPr>
        <w:t>How the Critical Audit Matter Was Addressed in the Audit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audit procedures related to the accrued manufacturing expenses included the following, among others:</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tested the effectiveness of controls over the Company’s accrued manufacturing expense process, including controls over the estimation of activities completed to date.</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met with internal research and development personnel and inspected Board of Directors materials to understand the status of contract manufacturing activities. We then compared this information to the judgment applied in management’s estimate of the recorded expenses and corresponding accrual.</w:t>
      </w:r>
    </w:p>
    <w:p>
      <w:pPr>
        <w:pStyle w:val="TextBody"/>
        <w:spacing w:lineRule="auto" w:line="273" w:before="240" w:after="0"/>
        <w:jc w:val="left"/>
        <w:rPr/>
      </w:pPr>
      <w:r>
        <w:rPr/>
        <w: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evaluated the completeness of phases used by the Company by comparing to the tracker obtained from Lonza, as Lonza is the most significant contract manufacturer.</w:t>
      </w:r>
    </w:p>
    <w:p>
      <w:pPr>
        <w:pStyle w:val="TextBody"/>
        <w:spacing w:lineRule="auto" w:line="273" w:before="240" w:after="0"/>
        <w:jc w:val="left"/>
        <w:rPr/>
      </w:pPr>
      <w:r>
        <w:rPr/>
        <w:t>•</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For a sample of phases, we evaluated the accrued manufacturing expenses by:</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 Sending written confirmations directly to the contract manufacturing organization to confirm the total budgeted amount and percentage of completion incurred as of year-end.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 Inspecting the development and manufacturing services agreement and related amendments, change orders, statements of work, and agreeing key provisions of the agreements including timeline, budget, and relevant rates, to the Company’s analysis of estimated expenses incurred to date.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 Obtaining invoices, if available, for each selection to substantiate when the transaction should have been recorded.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 Testing cash disbursements after period end to test the accuracy of the accrual.</w:t>
      </w:r>
    </w:p>
    <w:p>
      <w:pPr>
        <w:pStyle w:val="TextBody"/>
        <w:spacing w:lineRule="auto" w:line="273" w:before="24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 Deloitte &amp; Touche LLP</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San Francisco, California</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February 28, 2022</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have served as the Company's auditor since 2017.</w:t>
        <w:br/>
      </w:r>
      <w:r>
        <w:rPr>
          <w:rFonts w:ascii="Times New Roman" w:hAnsi="Times New Roman"/>
          <w:sz w:val="20"/>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122</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VAXCYTE, INC.</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bookmarkStart w:id="15" w:name="balance_sheets"/>
      <w:bookmarkEnd w:id="15"/>
      <w:r>
        <w:rPr>
          <w:rFonts w:ascii="Times New Roman" w:hAnsi="Times New Roman"/>
          <w:b/>
          <w:sz w:val="20"/>
        </w:rPr>
        <w:t>Balance Sheets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val="false"/>
          <w:i/>
          <w:sz w:val="20"/>
        </w:rPr>
        <w:t>(in thousands, except share and per share data)</w:t>
      </w:r>
      <w:r>
        <w:rPr>
          <w:rFonts w:ascii="Times New Roman" w:hAnsi="Times New Roman"/>
          <w:sz w:val="20"/>
        </w:rPr>
        <w:t xml:space="preserve"> </w:t>
      </w:r>
    </w:p>
    <w:p>
      <w:pPr>
        <w:pStyle w:val="TextBody"/>
        <w:spacing w:lineRule="auto" w:line="273" w:before="0" w:after="0"/>
        <w:jc w:val="left"/>
        <w:rPr/>
      </w:pPr>
      <w:r>
        <w:rPr/>
        <w:t> </w:t>
      </w:r>
    </w:p>
    <w:tbl>
      <w:tblPr>
        <w:tblW w:w="8319" w:type="dxa"/>
        <w:jc w:val="left"/>
        <w:tblInd w:w="0" w:type="dxa"/>
        <w:tblCellMar>
          <w:top w:w="28" w:type="dxa"/>
          <w:left w:w="28" w:type="dxa"/>
          <w:bottom w:w="28" w:type="dxa"/>
          <w:right w:w="28" w:type="dxa"/>
        </w:tblCellMar>
      </w:tblPr>
      <w:tblGrid>
        <w:gridCol w:w="5626"/>
        <w:gridCol w:w="146"/>
        <w:gridCol w:w="181"/>
        <w:gridCol w:w="646"/>
        <w:gridCol w:w="151"/>
        <w:gridCol w:w="146"/>
        <w:gridCol w:w="181"/>
        <w:gridCol w:w="646"/>
        <w:gridCol w:w="596"/>
      </w:tblGrid>
      <w:tr>
        <w:trPr/>
        <w:tc>
          <w:tcPr>
            <w:tcW w:w="56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r>
      <w:tr>
        <w:trPr/>
        <w:tc>
          <w:tcPr>
            <w:tcW w:w="56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5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December 31,</w:t>
            </w:r>
          </w:p>
        </w:tc>
        <w:tc>
          <w:tcPr>
            <w:tcW w:w="5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6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2021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2020</w:t>
            </w:r>
          </w:p>
        </w:tc>
        <w:tc>
          <w:tcPr>
            <w:tcW w:w="5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626" w:type="dxa"/>
            <w:tcBorders/>
            <w:shd w:fill="auto" w:val="clear"/>
            <w:vAlign w:val="center"/>
          </w:tcPr>
          <w:p>
            <w:pPr>
              <w:pStyle w:val="TableContents"/>
              <w:spacing w:lineRule="auto" w:line="252" w:before="0" w:after="0"/>
              <w:ind w:left="0" w:right="0" w:hanging="0"/>
              <w:jc w:val="left"/>
              <w:rPr>
                <w:rFonts w:ascii="Times New Roman" w:hAnsi="Times New Roman"/>
                <w:b/>
                <w:sz w:val="15"/>
              </w:rPr>
            </w:pPr>
            <w:r>
              <w:rPr>
                <w:rFonts w:ascii="Times New Roman" w:hAnsi="Times New Roman"/>
                <w:b/>
                <w:sz w:val="15"/>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hanging="0"/>
              <w:jc w:val="left"/>
              <w:rPr/>
            </w:pPr>
            <w:r>
              <w:rPr/>
              <w:t> </w:t>
            </w:r>
          </w:p>
        </w:tc>
      </w:tr>
      <w:tr>
        <w:trPr/>
        <w:tc>
          <w:tcPr>
            <w:tcW w:w="562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68,985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386,200</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Short-term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176,985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10,378</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2,804</w:t>
            </w:r>
          </w:p>
        </w:tc>
        <w:tc>
          <w:tcPr>
            <w:tcW w:w="5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5626" w:type="dxa"/>
            <w:tcBorders/>
            <w:shd w:fill="auto" w:val="clear"/>
            <w:vAlign w:val="center"/>
          </w:tcPr>
          <w:p>
            <w:pPr>
              <w:pStyle w:val="TableContents"/>
              <w:spacing w:lineRule="auto" w:line="252" w:before="0" w:after="0"/>
              <w:ind w:left="400" w:right="0" w:hanging="0"/>
              <w:jc w:val="left"/>
              <w:rPr>
                <w:rFonts w:ascii="Times New Roman" w:hAnsi="Times New Roman"/>
                <w:b w:val="false"/>
                <w:sz w:val="15"/>
              </w:rPr>
            </w:pPr>
            <w:r>
              <w:rPr>
                <w:rFonts w:ascii="Times New Roman" w:hAnsi="Times New Roman"/>
                <w:b w:val="false"/>
                <w:sz w:val="15"/>
              </w:rPr>
              <w:t>Total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256,348</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389,004</w:t>
            </w:r>
          </w:p>
        </w:tc>
        <w:tc>
          <w:tcPr>
            <w:tcW w:w="5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7,954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3,272</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Operating lease right-of-use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27,958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Long-term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27,117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871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Other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4,089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550</w:t>
            </w:r>
          </w:p>
        </w:tc>
        <w:tc>
          <w:tcPr>
            <w:tcW w:w="5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5626" w:type="dxa"/>
            <w:tcBorders/>
            <w:shd w:fill="auto" w:val="clear"/>
            <w:vAlign w:val="center"/>
          </w:tcPr>
          <w:p>
            <w:pPr>
              <w:pStyle w:val="TableContents"/>
              <w:spacing w:lineRule="auto" w:line="252" w:before="0" w:after="0"/>
              <w:ind w:left="400" w:right="0" w:hanging="0"/>
              <w:jc w:val="left"/>
              <w:rPr>
                <w:rFonts w:ascii="Times New Roman" w:hAnsi="Times New Roman"/>
                <w:b w:val="false"/>
                <w:sz w:val="15"/>
              </w:rPr>
            </w:pPr>
            <w:r>
              <w:rPr>
                <w:rFonts w:ascii="Times New Roman" w:hAnsi="Times New Roman"/>
                <w:b w:val="false"/>
                <w:sz w:val="15"/>
              </w:rPr>
              <w:t>Total noncurrent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67,989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3,822</w:t>
            </w:r>
          </w:p>
        </w:tc>
        <w:tc>
          <w:tcPr>
            <w:tcW w:w="5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62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Total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324,337</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392,826</w:t>
            </w:r>
          </w:p>
        </w:tc>
        <w:tc>
          <w:tcPr>
            <w:tcW w:w="5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6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hanging="0"/>
              <w:jc w:val="left"/>
              <w:rPr/>
            </w:pPr>
            <w:r>
              <w:rPr/>
              <w:t> </w:t>
            </w:r>
          </w:p>
        </w:tc>
      </w:tr>
      <w:tr>
        <w:trPr/>
        <w:tc>
          <w:tcPr>
            <w:tcW w:w="5626" w:type="dxa"/>
            <w:tcBorders/>
            <w:shd w:fill="auto" w:val="clear"/>
            <w:vAlign w:val="center"/>
          </w:tcPr>
          <w:p>
            <w:pPr>
              <w:pStyle w:val="TableContents"/>
              <w:spacing w:lineRule="auto" w:line="252" w:before="0" w:after="0"/>
              <w:ind w:left="0" w:right="0" w:hanging="0"/>
              <w:jc w:val="left"/>
              <w:rPr>
                <w:rFonts w:ascii="Times New Roman" w:hAnsi="Times New Roman"/>
                <w:b/>
                <w:sz w:val="15"/>
              </w:rPr>
            </w:pPr>
            <w:r>
              <w:rPr>
                <w:rFonts w:ascii="Times New Roman" w:hAnsi="Times New Roman"/>
                <w:b/>
                <w:sz w:val="15"/>
              </w:rPr>
              <w:t>Liabilities, Redeemable Convertible Preferred Stock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hanging="0"/>
              <w:jc w:val="left"/>
              <w:rPr/>
            </w:pPr>
            <w:r>
              <w:rPr/>
              <w:t> </w:t>
            </w:r>
          </w:p>
        </w:tc>
      </w:tr>
      <w:tr>
        <w:trPr/>
        <w:tc>
          <w:tcPr>
            <w:tcW w:w="562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6,758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29,785</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Accrued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3,455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284</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Accrued manufacturing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4,440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13,012</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15"/>
              </w:rPr>
              <w:t>Accrued expenses (including related party accrual of $0</w:t>
            </w:r>
            <w:r>
              <w:rPr>
                <w:rFonts w:ascii="Times New Roman" w:hAnsi="Times New Roman"/>
                <w:sz w:val="20"/>
              </w:rPr>
              <w:t> </w:t>
            </w:r>
            <w:r>
              <w:rPr>
                <w:rFonts w:ascii="Times New Roman" w:hAnsi="Times New Roman"/>
                <w:b w:val="false"/>
                <w:sz w:val="15"/>
              </w:rPr>
              <w:t>and $677</w:t>
            </w:r>
            <w:r>
              <w:rPr>
                <w:rFonts w:ascii="Times New Roman" w:hAnsi="Times New Roman"/>
                <w:sz w:val="20"/>
              </w:rPr>
              <w:t> </w:t>
            </w:r>
            <w:r>
              <w:rPr>
                <w:rFonts w:ascii="Times New Roman" w:hAnsi="Times New Roman"/>
                <w:b w:val="false"/>
                <w:sz w:val="15"/>
              </w:rPr>
              <w:t>as of</w:t>
              <w:br/>
              <w:t>   December 31, 2021 and December 31, 2020,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8,787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3,766</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Deferred rent — current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14</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Operating lease liabilities — current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5,276</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5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5626" w:type="dxa"/>
            <w:tcBorders/>
            <w:shd w:fill="auto" w:val="clear"/>
            <w:vAlign w:val="center"/>
          </w:tcPr>
          <w:p>
            <w:pPr>
              <w:pStyle w:val="TableContents"/>
              <w:spacing w:lineRule="auto" w:line="252" w:before="0" w:after="0"/>
              <w:ind w:left="400" w:right="0" w:hanging="0"/>
              <w:jc w:val="left"/>
              <w:rPr>
                <w:rFonts w:ascii="Times New Roman" w:hAnsi="Times New Roman"/>
                <w:b w:val="false"/>
                <w:sz w:val="15"/>
              </w:rPr>
            </w:pPr>
            <w:r>
              <w:rPr>
                <w:rFonts w:ascii="Times New Roman" w:hAnsi="Times New Roman"/>
                <w:b w:val="false"/>
                <w:sz w:val="15"/>
              </w:rPr>
              <w:t>Total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28,716</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46,861</w:t>
            </w:r>
          </w:p>
        </w:tc>
        <w:tc>
          <w:tcPr>
            <w:tcW w:w="5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Deferred rent — long-term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Operating lease liabilities — long-term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11,507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Other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96</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112</w:t>
            </w:r>
          </w:p>
        </w:tc>
        <w:tc>
          <w:tcPr>
            <w:tcW w:w="5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5626" w:type="dxa"/>
            <w:tcBorders/>
            <w:shd w:fill="auto" w:val="clear"/>
            <w:vAlign w:val="center"/>
          </w:tcPr>
          <w:p>
            <w:pPr>
              <w:pStyle w:val="TableContents"/>
              <w:spacing w:lineRule="auto" w:line="252" w:before="0" w:after="0"/>
              <w:ind w:left="400" w:right="0" w:hanging="0"/>
              <w:jc w:val="left"/>
              <w:rPr>
                <w:rFonts w:ascii="Times New Roman" w:hAnsi="Times New Roman"/>
                <w:b w:val="false"/>
                <w:sz w:val="15"/>
              </w:rPr>
            </w:pPr>
            <w:r>
              <w:rPr>
                <w:rFonts w:ascii="Times New Roman" w:hAnsi="Times New Roman"/>
                <w:b w:val="false"/>
                <w:sz w:val="15"/>
              </w:rPr>
              <w:t>Total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40,319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46,983</w:t>
            </w:r>
          </w:p>
        </w:tc>
        <w:tc>
          <w:tcPr>
            <w:tcW w:w="5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6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hanging="0"/>
              <w:jc w:val="left"/>
              <w:rPr/>
            </w:pPr>
            <w:r>
              <w:rPr/>
              <w:t> </w:t>
            </w:r>
          </w:p>
        </w:tc>
      </w:tr>
      <w:tr>
        <w:trPr/>
        <w:tc>
          <w:tcPr>
            <w:tcW w:w="562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Commitments and contingencies (Note 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hanging="0"/>
              <w:jc w:val="left"/>
              <w:rPr/>
            </w:pPr>
            <w:r>
              <w:rPr/>
              <w:t> </w:t>
            </w:r>
          </w:p>
        </w:tc>
      </w:tr>
      <w:tr>
        <w:trPr/>
        <w:tc>
          <w:tcPr>
            <w:tcW w:w="5626" w:type="dxa"/>
            <w:tcBorders/>
            <w:shd w:fill="auto" w:val="clear"/>
            <w:vAlign w:val="center"/>
          </w:tcPr>
          <w:p>
            <w:pPr>
              <w:pStyle w:val="TableContents"/>
              <w:spacing w:lineRule="auto" w:line="252" w:before="0" w:after="0"/>
              <w:ind w:left="0" w:right="0" w:hanging="0"/>
              <w:jc w:val="left"/>
              <w:rPr>
                <w:rFonts w:ascii="Times New Roman" w:hAnsi="Times New Roman"/>
                <w:b/>
                <w:sz w:val="15"/>
              </w:rPr>
            </w:pPr>
            <w:r>
              <w:rPr>
                <w:rFonts w:ascii="Times New Roman" w:hAnsi="Times New Roman"/>
                <w:b/>
                <w:sz w:val="15"/>
              </w:rPr>
              <w:t>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596" w:type="dxa"/>
            <w:tcBorders/>
            <w:shd w:fill="auto" w:val="clear"/>
            <w:vAlign w:val="center"/>
          </w:tcPr>
          <w:p>
            <w:pPr>
              <w:pStyle w:val="TableContents"/>
              <w:spacing w:lineRule="auto" w:line="252" w:before="0" w:after="0"/>
              <w:ind w:left="0" w:right="0" w:firstLine="200"/>
              <w:jc w:val="righ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15"/>
              </w:rPr>
              <w:t>Preferred stock, $0.001</w:t>
            </w:r>
            <w:r>
              <w:rPr>
                <w:rFonts w:ascii="Times New Roman" w:hAnsi="Times New Roman"/>
                <w:sz w:val="20"/>
              </w:rPr>
              <w:t> </w:t>
            </w:r>
            <w:r>
              <w:rPr>
                <w:rFonts w:ascii="Times New Roman" w:hAnsi="Times New Roman"/>
                <w:b w:val="false"/>
                <w:sz w:val="15"/>
              </w:rPr>
              <w:t>par value — 10,000,000</w:t>
            </w:r>
            <w:r>
              <w:rPr>
                <w:rFonts w:ascii="Times New Roman" w:hAnsi="Times New Roman"/>
                <w:sz w:val="20"/>
              </w:rPr>
              <w:t> </w:t>
            </w:r>
            <w:r>
              <w:rPr>
                <w:rFonts w:ascii="Times New Roman" w:hAnsi="Times New Roman"/>
                <w:b w:val="false"/>
                <w:sz w:val="15"/>
              </w:rPr>
              <w:t>authorized at December 31, 2021</w:t>
              <w:br/>
              <w:t>   and December 31, 2020; no</w:t>
            </w:r>
            <w:r>
              <w:rPr>
                <w:rFonts w:ascii="Times New Roman" w:hAnsi="Times New Roman"/>
                <w:sz w:val="20"/>
              </w:rPr>
              <w:t> </w:t>
            </w:r>
            <w:r>
              <w:rPr>
                <w:rFonts w:ascii="Times New Roman" w:hAnsi="Times New Roman"/>
                <w:b w:val="false"/>
                <w:sz w:val="15"/>
              </w:rPr>
              <w:t>shares issued and outstanding at December 31, 2021</w:t>
              <w:br/>
              <w:t>   and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15"/>
              </w:rPr>
              <w:t>Common stock, $0.001</w:t>
            </w:r>
            <w:r>
              <w:rPr>
                <w:rFonts w:ascii="Times New Roman" w:hAnsi="Times New Roman"/>
                <w:sz w:val="20"/>
              </w:rPr>
              <w:t> </w:t>
            </w:r>
            <w:r>
              <w:rPr>
                <w:rFonts w:ascii="Times New Roman" w:hAnsi="Times New Roman"/>
                <w:b w:val="false"/>
                <w:sz w:val="15"/>
              </w:rPr>
              <w:t>par value — 500,000,000</w:t>
            </w:r>
            <w:r>
              <w:rPr>
                <w:rFonts w:ascii="Times New Roman" w:hAnsi="Times New Roman"/>
                <w:sz w:val="20"/>
              </w:rPr>
              <w:t> </w:t>
            </w:r>
            <w:r>
              <w:rPr>
                <w:rFonts w:ascii="Times New Roman" w:hAnsi="Times New Roman"/>
                <w:b w:val="false"/>
                <w:sz w:val="15"/>
              </w:rPr>
              <w:t xml:space="preserve">shares authorized at December 31, 2021 </w:t>
              <w:br/>
              <w:t>   and December 31, 2020; 53,031,978</w:t>
            </w:r>
            <w:r>
              <w:rPr>
                <w:rFonts w:ascii="Times New Roman" w:hAnsi="Times New Roman"/>
                <w:sz w:val="20"/>
              </w:rPr>
              <w:t> </w:t>
            </w:r>
            <w:r>
              <w:rPr>
                <w:rFonts w:ascii="Times New Roman" w:hAnsi="Times New Roman"/>
                <w:b w:val="false"/>
                <w:sz w:val="15"/>
              </w:rPr>
              <w:t>and 51,071,593</w:t>
            </w:r>
            <w:r>
              <w:rPr>
                <w:rFonts w:ascii="Times New Roman" w:hAnsi="Times New Roman"/>
                <w:sz w:val="20"/>
              </w:rPr>
              <w:t> </w:t>
            </w:r>
            <w:r>
              <w:rPr>
                <w:rFonts w:ascii="Times New Roman" w:hAnsi="Times New Roman"/>
                <w:b w:val="false"/>
                <w:sz w:val="15"/>
              </w:rPr>
              <w:t>shares issued and outstanding</w:t>
              <w:br/>
              <w:t>   at December 31, 2021 and December 31, 2020,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54</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Additional paid-in capital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582,844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544,353</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Accumulated other 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(241</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596" w:type="dxa"/>
            <w:tcBorders/>
            <w:shd w:fill="auto" w:val="clear"/>
            <w:vAlign w:val="center"/>
          </w:tcPr>
          <w:p>
            <w:pPr>
              <w:pStyle w:val="TableContents"/>
              <w:spacing w:lineRule="auto" w:line="252" w:before="0" w:after="0"/>
              <w:ind w:left="0" w:right="0" w:firstLine="200"/>
              <w:jc w:val="left"/>
              <w:rPr/>
            </w:pPr>
            <w:r>
              <w:rPr/>
              <w:t> </w:t>
            </w:r>
          </w:p>
        </w:tc>
      </w:tr>
      <w:tr>
        <w:trPr/>
        <w:tc>
          <w:tcPr>
            <w:tcW w:w="562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Accumulated deficit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(298,641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(198,564</w:t>
            </w:r>
          </w:p>
        </w:tc>
        <w:tc>
          <w:tcPr>
            <w:tcW w:w="5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rFonts w:ascii="Times New Roman" w:hAnsi="Times New Roman"/>
                <w:b w:val="false"/>
                <w:sz w:val="15"/>
              </w:rPr>
            </w:pPr>
            <w:r>
              <w:rPr>
                <w:rFonts w:ascii="Times New Roman" w:hAnsi="Times New Roman"/>
                <w:b w:val="false"/>
                <w:sz w:val="15"/>
              </w:rPr>
              <w:t>)</w:t>
            </w:r>
          </w:p>
        </w:tc>
      </w:tr>
      <w:tr>
        <w:trPr/>
        <w:tc>
          <w:tcPr>
            <w:tcW w:w="5626" w:type="dxa"/>
            <w:tcBorders/>
            <w:shd w:fill="auto" w:val="clear"/>
            <w:vAlign w:val="center"/>
          </w:tcPr>
          <w:p>
            <w:pPr>
              <w:pStyle w:val="TableContents"/>
              <w:spacing w:lineRule="auto" w:line="252" w:before="0" w:after="0"/>
              <w:ind w:left="400" w:right="0" w:hanging="0"/>
              <w:jc w:val="left"/>
              <w:rPr>
                <w:rFonts w:ascii="Times New Roman" w:hAnsi="Times New Roman"/>
                <w:b w:val="false"/>
                <w:sz w:val="15"/>
              </w:rPr>
            </w:pPr>
            <w:r>
              <w:rPr>
                <w:rFonts w:ascii="Times New Roman" w:hAnsi="Times New Roman"/>
                <w:b w:val="false"/>
                <w:sz w:val="15"/>
              </w:rPr>
              <w:t>Total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284,018</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345,843</w:t>
            </w:r>
          </w:p>
        </w:tc>
        <w:tc>
          <w:tcPr>
            <w:tcW w:w="5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62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Total liabilities, redeemable convertible preferred stock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324,337</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392,826</w:t>
            </w:r>
          </w:p>
        </w:tc>
        <w:tc>
          <w:tcPr>
            <w:tcW w:w="5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val="false"/>
          <w:sz w:val="20"/>
        </w:rPr>
        <w:t>The accompanying notes are an integral part of these financial statements.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123</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VAXCYTE, INC.</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bookmarkStart w:id="16" w:name="statementsofoperations1"/>
      <w:bookmarkEnd w:id="16"/>
      <w:r>
        <w:rPr>
          <w:rFonts w:ascii="Times New Roman" w:hAnsi="Times New Roman"/>
          <w:b/>
          <w:sz w:val="20"/>
        </w:rPr>
        <w:t>Statements of Operations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val="false"/>
          <w:i/>
          <w:sz w:val="20"/>
        </w:rPr>
        <w:t>(in thousands, except share and per share data)</w:t>
      </w:r>
      <w:r>
        <w:rPr>
          <w:rFonts w:ascii="Times New Roman" w:hAnsi="Times New Roman"/>
          <w:sz w:val="20"/>
        </w:rPr>
        <w:t xml:space="preserve"> </w:t>
      </w:r>
    </w:p>
    <w:p>
      <w:pPr>
        <w:pStyle w:val="TextBody"/>
        <w:spacing w:lineRule="auto" w:line="273" w:before="0" w:after="0"/>
        <w:jc w:val="left"/>
        <w:rPr/>
      </w:pPr>
      <w:r>
        <w:rPr/>
        <w:t> </w:t>
      </w:r>
    </w:p>
    <w:tbl>
      <w:tblPr>
        <w:tblW w:w="9813" w:type="dxa"/>
        <w:jc w:val="left"/>
        <w:tblInd w:w="0" w:type="dxa"/>
        <w:tblCellMar>
          <w:top w:w="28" w:type="dxa"/>
          <w:left w:w="28" w:type="dxa"/>
          <w:bottom w:w="28" w:type="dxa"/>
          <w:right w:w="28" w:type="dxa"/>
        </w:tblCellMar>
      </w:tblPr>
      <w:tblGrid>
        <w:gridCol w:w="5206"/>
        <w:gridCol w:w="146"/>
        <w:gridCol w:w="196"/>
        <w:gridCol w:w="916"/>
        <w:gridCol w:w="166"/>
        <w:gridCol w:w="146"/>
        <w:gridCol w:w="196"/>
        <w:gridCol w:w="916"/>
        <w:gridCol w:w="166"/>
        <w:gridCol w:w="146"/>
        <w:gridCol w:w="196"/>
        <w:gridCol w:w="826"/>
        <w:gridCol w:w="591"/>
      </w:tblGrid>
      <w:tr>
        <w:trPr/>
        <w:tc>
          <w:tcPr>
            <w:tcW w:w="52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520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870"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 Ended December 31,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20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1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11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2019</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2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2"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5206"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18"/>
              </w:rPr>
              <w:t xml:space="preserve">Research and development (including related party expenses of $2,359, </w:t>
              <w:br/>
              <w:t>   $1,331</w:t>
            </w:r>
            <w:r>
              <w:rPr>
                <w:rFonts w:ascii="Times New Roman" w:hAnsi="Times New Roman"/>
                <w:sz w:val="20"/>
              </w:rPr>
              <w:t> </w:t>
            </w:r>
            <w:r>
              <w:rPr>
                <w:rFonts w:ascii="Times New Roman" w:hAnsi="Times New Roman"/>
                <w:b w:val="false"/>
                <w:sz w:val="18"/>
              </w:rPr>
              <w:t>and $1,137</w:t>
            </w:r>
            <w:r>
              <w:rPr>
                <w:rFonts w:ascii="Times New Roman" w:hAnsi="Times New Roman"/>
                <w:sz w:val="20"/>
              </w:rPr>
              <w:t> </w:t>
            </w:r>
            <w:r>
              <w:rPr>
                <w:rFonts w:ascii="Times New Roman" w:hAnsi="Times New Roman"/>
                <w:b w:val="false"/>
                <w:sz w:val="18"/>
              </w:rPr>
              <w:t>in 2021, 2020 and 2019,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78,411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73,564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45,607</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52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25,259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16,017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8,546</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5206" w:type="dxa"/>
            <w:tcBorders/>
            <w:shd w:fill="auto" w:val="clear"/>
            <w:vAlign w:val="center"/>
          </w:tcPr>
          <w:p>
            <w:pPr>
              <w:pStyle w:val="TableContents"/>
              <w:spacing w:lineRule="auto" w:line="252" w:before="0" w:after="0"/>
              <w:ind w:left="400" w:right="0" w:hanging="0"/>
              <w:jc w:val="left"/>
              <w:rPr>
                <w:rFonts w:ascii="Times New Roman" w:hAnsi="Times New Roman"/>
                <w:b w:val="false"/>
                <w:sz w:val="18"/>
              </w:rPr>
            </w:pPr>
            <w:r>
              <w:rPr>
                <w:rFonts w:ascii="Times New Roman" w:hAnsi="Times New Roman"/>
                <w:b w:val="false"/>
                <w:sz w:val="18"/>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103,670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89,581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54,153</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2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(103,670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(89,581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(54,153</w:t>
            </w:r>
          </w:p>
        </w:tc>
        <w:tc>
          <w:tcPr>
            <w:tcW w:w="5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2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022"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52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Interest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(40</w:t>
            </w:r>
          </w:p>
        </w:tc>
        <w:tc>
          <w:tcPr>
            <w:tcW w:w="59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52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Interest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344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632</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52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Grant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1,585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2,478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237</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52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Realized gains on 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52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Foreign currency transaction gains (losses)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1,669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(2,351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(135</w:t>
            </w:r>
          </w:p>
        </w:tc>
        <w:tc>
          <w:tcPr>
            <w:tcW w:w="59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52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Change in fair value of the redeemable</w:t>
              <w:br/>
              <w:t>   convertible preferred stock tranche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3,185</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5206" w:type="dxa"/>
            <w:tcBorders/>
            <w:shd w:fill="auto" w:val="clear"/>
            <w:vAlign w:val="center"/>
          </w:tcPr>
          <w:p>
            <w:pPr>
              <w:pStyle w:val="TableContents"/>
              <w:spacing w:lineRule="auto" w:line="252" w:before="0" w:after="0"/>
              <w:ind w:left="400" w:right="0" w:hanging="0"/>
              <w:jc w:val="left"/>
              <w:rPr>
                <w:rFonts w:ascii="Times New Roman" w:hAnsi="Times New Roman"/>
                <w:b w:val="false"/>
                <w:sz w:val="18"/>
              </w:rPr>
            </w:pPr>
            <w:r>
              <w:rPr>
                <w:rFonts w:ascii="Times New Roman" w:hAnsi="Times New Roman"/>
                <w:b w:val="false"/>
                <w:sz w:val="18"/>
              </w:rPr>
              <w:t>Total 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3,593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364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3,879</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2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(100,077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(89,217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(50,274</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2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loss per share,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(13.25</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2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Weighted-average shares outstanding,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51,922,108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29,545,810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3,795,090</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val="false"/>
          <w:sz w:val="20"/>
        </w:rPr>
        <w:t>The accompanying notes are an integral part of these financial statements.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124</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VAXCYTE, INC.</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bookmarkStart w:id="17" w:name="statements_of_comprehensive_loss_"/>
      <w:bookmarkEnd w:id="17"/>
      <w:r>
        <w:rPr>
          <w:rFonts w:ascii="Times New Roman" w:hAnsi="Times New Roman"/>
          <w:b/>
          <w:sz w:val="20"/>
        </w:rPr>
        <w:t>Statements of Comprehensive Loss</w:t>
      </w:r>
      <w:r>
        <w:rPr>
          <w:rFonts w:ascii="Times New Roman" w:hAnsi="Times New Roman"/>
          <w:sz w:val="20"/>
        </w:rPr>
        <w:t xml:space="preserve"> </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(in thousands, except share and per share data)</w:t>
      </w:r>
    </w:p>
    <w:p>
      <w:pPr>
        <w:pStyle w:val="TextBody"/>
        <w:spacing w:lineRule="auto" w:line="273" w:before="0" w:after="0"/>
        <w:jc w:val="center"/>
        <w:rPr/>
      </w:pPr>
      <w:r>
        <w:rPr/>
        <w:t> </w:t>
      </w:r>
    </w:p>
    <w:p>
      <w:pPr>
        <w:pStyle w:val="TextBody"/>
        <w:spacing w:lineRule="auto" w:line="273" w:before="0" w:after="0"/>
        <w:jc w:val="center"/>
        <w:rPr/>
      </w:pPr>
      <w:r>
        <w:rPr/>
        <w:t> </w:t>
      </w:r>
    </w:p>
    <w:tbl>
      <w:tblPr>
        <w:tblW w:w="6298" w:type="dxa"/>
        <w:jc w:val="left"/>
        <w:tblInd w:w="0" w:type="dxa"/>
        <w:tblCellMar>
          <w:top w:w="28" w:type="dxa"/>
          <w:left w:w="28" w:type="dxa"/>
          <w:bottom w:w="28" w:type="dxa"/>
          <w:right w:w="28" w:type="dxa"/>
        </w:tblCellMar>
      </w:tblPr>
      <w:tblGrid>
        <w:gridCol w:w="2476"/>
        <w:gridCol w:w="146"/>
        <w:gridCol w:w="196"/>
        <w:gridCol w:w="751"/>
        <w:gridCol w:w="166"/>
        <w:gridCol w:w="146"/>
        <w:gridCol w:w="196"/>
        <w:gridCol w:w="661"/>
        <w:gridCol w:w="166"/>
        <w:gridCol w:w="146"/>
        <w:gridCol w:w="196"/>
        <w:gridCol w:w="661"/>
        <w:gridCol w:w="391"/>
      </w:tblGrid>
      <w:tr>
        <w:trPr/>
        <w:tc>
          <w:tcPr>
            <w:tcW w:w="24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285"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 Ended December 31,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7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2019</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76"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(100,077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(89,217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(50,274</w:t>
            </w:r>
          </w:p>
        </w:tc>
        <w:tc>
          <w:tcPr>
            <w:tcW w:w="3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4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Other 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247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Unrealized losses on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476"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(100,318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(89,217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(50,274</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125</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17"/>
        </w:rPr>
        <w:t>VAXCYTE, INC.</w:t>
      </w:r>
      <w:r>
        <w:rPr>
          <w:rFonts w:ascii="Times New Roman" w:hAnsi="Times New Roman"/>
          <w:sz w:val="20"/>
        </w:rPr>
        <w:t xml:space="preserve"> </w:t>
      </w:r>
    </w:p>
    <w:p>
      <w:pPr>
        <w:pStyle w:val="TextBody"/>
        <w:spacing w:lineRule="auto" w:line="273" w:before="0" w:after="0"/>
        <w:jc w:val="center"/>
        <w:rPr>
          <w:rFonts w:ascii="Times New Roman" w:hAnsi="Times New Roman"/>
          <w:b/>
          <w:sz w:val="17"/>
        </w:rPr>
      </w:pPr>
      <w:bookmarkStart w:id="18" w:name="statements_redeemable_convertible_prefer"/>
      <w:bookmarkEnd w:id="18"/>
      <w:r>
        <w:rPr>
          <w:rFonts w:ascii="Times New Roman" w:hAnsi="Times New Roman"/>
          <w:b/>
          <w:sz w:val="17"/>
        </w:rPr>
        <w:t>Statements of Redeemable Convertible Preferred Stock and Stockholders’ Equity (Deficit)</w:t>
      </w:r>
    </w:p>
    <w:p>
      <w:pPr>
        <w:pStyle w:val="TextBody"/>
        <w:spacing w:lineRule="auto" w:line="273" w:before="0" w:after="0"/>
        <w:jc w:val="center"/>
        <w:rPr>
          <w:rFonts w:ascii="Times New Roman" w:hAnsi="Times New Roman"/>
          <w:sz w:val="20"/>
        </w:rPr>
      </w:pPr>
      <w:r>
        <w:rPr>
          <w:rFonts w:ascii="Times New Roman" w:hAnsi="Times New Roman"/>
          <w:b w:val="false"/>
          <w:i/>
          <w:sz w:val="17"/>
        </w:rPr>
        <w:t>(in thousands, except share data)</w:t>
      </w:r>
      <w:r>
        <w:rPr>
          <w:rFonts w:ascii="Times New Roman" w:hAnsi="Times New Roman"/>
          <w:sz w:val="20"/>
        </w:rPr>
        <w:t xml:space="preserve"> </w:t>
      </w:r>
    </w:p>
    <w:p>
      <w:pPr>
        <w:pStyle w:val="TextBody"/>
        <w:spacing w:lineRule="auto" w:line="273" w:before="0" w:after="0"/>
        <w:jc w:val="left"/>
        <w:rPr/>
      </w:pPr>
      <w:r>
        <w:rPr/>
        <w:t> </w:t>
      </w:r>
    </w:p>
    <w:tbl>
      <w:tblPr>
        <w:tblW w:w="15534" w:type="dxa"/>
        <w:jc w:val="left"/>
        <w:tblInd w:w="0" w:type="dxa"/>
        <w:tblCellMar>
          <w:top w:w="28" w:type="dxa"/>
          <w:left w:w="28" w:type="dxa"/>
          <w:bottom w:w="28" w:type="dxa"/>
          <w:right w:w="28" w:type="dxa"/>
        </w:tblCellMar>
      </w:tblPr>
      <w:tblGrid>
        <w:gridCol w:w="826"/>
        <w:gridCol w:w="146"/>
        <w:gridCol w:w="146"/>
        <w:gridCol w:w="631"/>
        <w:gridCol w:w="151"/>
        <w:gridCol w:w="146"/>
        <w:gridCol w:w="166"/>
        <w:gridCol w:w="481"/>
        <w:gridCol w:w="151"/>
        <w:gridCol w:w="146"/>
        <w:gridCol w:w="146"/>
        <w:gridCol w:w="631"/>
        <w:gridCol w:w="151"/>
        <w:gridCol w:w="146"/>
        <w:gridCol w:w="166"/>
        <w:gridCol w:w="481"/>
        <w:gridCol w:w="151"/>
        <w:gridCol w:w="146"/>
        <w:gridCol w:w="146"/>
        <w:gridCol w:w="631"/>
        <w:gridCol w:w="151"/>
        <w:gridCol w:w="146"/>
        <w:gridCol w:w="166"/>
        <w:gridCol w:w="481"/>
        <w:gridCol w:w="151"/>
        <w:gridCol w:w="146"/>
        <w:gridCol w:w="146"/>
        <w:gridCol w:w="631"/>
        <w:gridCol w:w="151"/>
        <w:gridCol w:w="146"/>
        <w:gridCol w:w="166"/>
        <w:gridCol w:w="541"/>
        <w:gridCol w:w="151"/>
        <w:gridCol w:w="146"/>
        <w:gridCol w:w="146"/>
        <w:gridCol w:w="146"/>
        <w:gridCol w:w="646"/>
        <w:gridCol w:w="146"/>
        <w:gridCol w:w="146"/>
        <w:gridCol w:w="170"/>
        <w:gridCol w:w="356"/>
        <w:gridCol w:w="146"/>
        <w:gridCol w:w="146"/>
        <w:gridCol w:w="166"/>
        <w:gridCol w:w="496"/>
        <w:gridCol w:w="146"/>
        <w:gridCol w:w="146"/>
        <w:gridCol w:w="186"/>
        <w:gridCol w:w="610"/>
        <w:gridCol w:w="151"/>
        <w:gridCol w:w="146"/>
        <w:gridCol w:w="296"/>
        <w:gridCol w:w="620"/>
        <w:gridCol w:w="151"/>
        <w:gridCol w:w="146"/>
        <w:gridCol w:w="179"/>
        <w:gridCol w:w="587"/>
        <w:gridCol w:w="356"/>
      </w:tblGrid>
      <w:tr>
        <w:trPr/>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8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21"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Series A</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21"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Series B</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21"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Series C</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81"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Series D</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10" w:type="dxa"/>
            <w:gridSpan w:val="6"/>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6"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1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Accumulated</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6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Total</w:t>
            </w:r>
          </w:p>
        </w:tc>
        <w:tc>
          <w:tcPr>
            <w:tcW w:w="356" w:type="dxa"/>
            <w:tcBorders/>
            <w:shd w:fill="auto" w:val="clear"/>
            <w:vAlign w:val="center"/>
          </w:tcPr>
          <w:p>
            <w:pPr>
              <w:pStyle w:val="TableContents"/>
              <w:spacing w:lineRule="auto" w:line="252" w:before="0" w:after="0"/>
              <w:ind w:left="0" w:right="0" w:hanging="0"/>
              <w:jc w:val="center"/>
              <w:rPr/>
            </w:pPr>
            <w:r>
              <w:rPr/>
              <w:t> </w:t>
            </w:r>
          </w:p>
        </w:tc>
      </w:tr>
      <w:tr>
        <w:trPr/>
        <w:tc>
          <w:tcPr>
            <w:tcW w:w="8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21"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Redeemable Convertible</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21"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Redeemable Convertible</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21"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Redeemable Convertible</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81"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Redeemable Convertible</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26"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Additional</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6"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1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Other</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6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Stockholders’</w:t>
            </w:r>
          </w:p>
        </w:tc>
        <w:tc>
          <w:tcPr>
            <w:tcW w:w="356" w:type="dxa"/>
            <w:tcBorders/>
            <w:shd w:fill="auto" w:val="clear"/>
            <w:vAlign w:val="center"/>
          </w:tcPr>
          <w:p>
            <w:pPr>
              <w:pStyle w:val="TableContents"/>
              <w:spacing w:lineRule="auto" w:line="252" w:before="0" w:after="0"/>
              <w:ind w:left="0" w:right="0" w:hanging="0"/>
              <w:jc w:val="center"/>
              <w:rPr/>
            </w:pPr>
            <w:r>
              <w:rPr/>
              <w:t> </w:t>
            </w:r>
          </w:p>
        </w:tc>
      </w:tr>
      <w:tr>
        <w:trPr/>
        <w:tc>
          <w:tcPr>
            <w:tcW w:w="8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2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Preferred Stock</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2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Preferred Stock</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2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Preferred Stock</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8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Preferred Stock</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10"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Paid-in</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Accumulated</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1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Comprehensive</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6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Equity</w:t>
            </w:r>
          </w:p>
        </w:tc>
        <w:tc>
          <w:tcPr>
            <w:tcW w:w="356" w:type="dxa"/>
            <w:tcBorders/>
            <w:shd w:fill="auto" w:val="clear"/>
            <w:vAlign w:val="center"/>
          </w:tcPr>
          <w:p>
            <w:pPr>
              <w:pStyle w:val="TableContents"/>
              <w:spacing w:lineRule="auto" w:line="252" w:before="0" w:after="0"/>
              <w:ind w:left="0" w:right="0" w:hanging="0"/>
              <w:jc w:val="center"/>
              <w:rPr/>
            </w:pPr>
            <w:r>
              <w:rPr/>
              <w:t> </w:t>
            </w:r>
          </w:p>
        </w:tc>
      </w:tr>
      <w:tr>
        <w:trPr/>
        <w:tc>
          <w:tcPr>
            <w:tcW w:w="8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Loss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6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(Deficit)</w:t>
            </w:r>
          </w:p>
        </w:tc>
        <w:tc>
          <w:tcPr>
            <w:tcW w:w="3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826" w:type="dxa"/>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Balance — December 31, 2018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6,225,719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8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24,967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6,786,896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8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55,151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3,688,740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8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37,692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3,757,403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35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1,339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1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(59,073</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(57,728</w:t>
            </w:r>
          </w:p>
        </w:tc>
        <w:tc>
          <w:tcPr>
            <w:tcW w:w="356" w:type="dxa"/>
            <w:tcBorders/>
            <w:shd w:fill="auto" w:val="clear"/>
            <w:vAlign w:val="center"/>
          </w:tcPr>
          <w:p>
            <w:pPr>
              <w:pStyle w:val="TableContents"/>
              <w:spacing w:lineRule="auto" w:line="252" w:before="0" w:after="0"/>
              <w:ind w:left="0" w:right="0" w:firstLine="160"/>
              <w:jc w:val="left"/>
              <w:rPr>
                <w:rFonts w:ascii="Times New Roman" w:hAnsi="Times New Roman"/>
                <w:b w:val="false"/>
                <w:sz w:val="12"/>
              </w:rPr>
            </w:pPr>
            <w:r>
              <w:rPr>
                <w:rFonts w:ascii="Times New Roman" w:hAnsi="Times New Roman"/>
                <w:b w:val="false"/>
                <w:sz w:val="12"/>
              </w:rPr>
              <w:t>)</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Issuance of Series C redeemable</w:t>
              <w:br/>
              <w:t>   convertible preferred stock, net</w:t>
              <w:br/>
              <w:t>   of issuance costs of $0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3,688,740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42,500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pPr>
            <w:r>
              <w:rPr/>
              <w:t>—</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Exercise of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243,230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916"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322</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Issuance of common stock related</w:t>
              <w:br/>
              <w:t>   to early exercised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59,276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pPr>
            <w:r>
              <w:rPr/>
              <w:t>—</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Vesting of early exercised</w:t>
              <w:br/>
              <w:t>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122</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1,185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1,185</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(50,274</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(50,274</w:t>
            </w:r>
          </w:p>
        </w:tc>
        <w:tc>
          <w:tcPr>
            <w:tcW w:w="3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r>
      <w:tr>
        <w:trPr/>
        <w:tc>
          <w:tcPr>
            <w:tcW w:w="826" w:type="dxa"/>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Balance — December 31, 2019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6,225,719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8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24,967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6,786,896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8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55,151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7,377,480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8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80,192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4,059,909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35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2,967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1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(109,347</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(106,373</w:t>
            </w:r>
          </w:p>
        </w:tc>
        <w:tc>
          <w:tcPr>
            <w:tcW w:w="356" w:type="dxa"/>
            <w:tcBorders/>
            <w:shd w:fill="auto" w:val="clear"/>
            <w:vAlign w:val="center"/>
          </w:tcPr>
          <w:p>
            <w:pPr>
              <w:pStyle w:val="TableContents"/>
              <w:spacing w:lineRule="auto" w:line="252" w:before="0" w:after="0"/>
              <w:ind w:left="0" w:right="0" w:firstLine="160"/>
              <w:jc w:val="left"/>
              <w:rPr>
                <w:rFonts w:ascii="Times New Roman" w:hAnsi="Times New Roman"/>
                <w:b w:val="false"/>
                <w:sz w:val="12"/>
              </w:rPr>
            </w:pPr>
            <w:r>
              <w:rPr>
                <w:rFonts w:ascii="Times New Roman" w:hAnsi="Times New Roman"/>
                <w:b w:val="false"/>
                <w:sz w:val="12"/>
              </w:rPr>
              <w:t>)</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Issuance of Series D redeemable</w:t>
              <w:br/>
              <w:t>   convertible preferred stock, net</w:t>
              <w:br/>
              <w:t>   of issuance costs of $121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8,220,242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109,879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pPr>
            <w:r>
              <w:rPr/>
              <w:t>—</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Conversion of preferred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(6,225,719</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(24,967</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(6,786,896</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(55,151</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(7,377,480</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(80,192</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(8,220,242</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(109,879</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28,610,337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270,161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270,190</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Conversion of common</w:t>
              <w:br/>
              <w:t>   stock warrant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30,278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pPr>
            <w:r>
              <w:rPr/>
              <w:t>—</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Conversion of preferred</w:t>
              <w:br/>
              <w:t>   stock warrant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16,591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pPr>
            <w:r>
              <w:rPr/>
              <w:t>—</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Warrant liability write-off</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629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629</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Issuance of common stock upon</w:t>
              <w:br/>
              <w:t>   initial public offering, net of</w:t>
              <w:br/>
              <w:t>   issuance costs of $3,368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17,968,750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263,989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264,007</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Exercise of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343,444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635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635</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Issuance of common stock related</w:t>
              <w:br/>
              <w:t>   to early exercised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14,819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pPr>
            <w:r>
              <w:rPr/>
              <w:t>—</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Issuance of common stock under</w:t>
              <w:br/>
              <w:t>   Employee Stock Purchase Plan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27,465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374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374</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Vesting of early exercised</w:t>
              <w:br/>
              <w:t>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164</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Issuance of preferred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pPr>
            <w:r>
              <w:rPr/>
              <w:t>—</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5,434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5,434</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(89,217</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(89,217</w:t>
            </w:r>
          </w:p>
        </w:tc>
        <w:tc>
          <w:tcPr>
            <w:tcW w:w="3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r>
      <w:tr>
        <w:trPr/>
        <w:tc>
          <w:tcPr>
            <w:tcW w:w="826" w:type="dxa"/>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Balance —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51,071,593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35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544,353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1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(198,564</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345,843</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Exercise of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931,114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3,012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3,012</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Issuance of common stock to</w:t>
              <w:br/>
              <w:t>   Lonza Ltd.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399,680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10,001</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Issuance of common stock in</w:t>
              <w:br/>
              <w:t>   connection with at-the market</w:t>
              <w:br/>
              <w:t>   offering, net of issuance costs</w:t>
              <w:br/>
              <w:t>   of $479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567,045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13,846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13,847</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Issuance of common stock under</w:t>
              <w:br/>
              <w:t>   Employee Stock Purchase Plan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62,546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888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888</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Vesting of early exercised</w:t>
              <w:br/>
              <w:t>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16</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10,729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10,729</w:t>
            </w:r>
          </w:p>
        </w:tc>
        <w:tc>
          <w:tcPr>
            <w:tcW w:w="356" w:type="dxa"/>
            <w:tcBorders/>
            <w:shd w:fill="auto" w:val="clear"/>
            <w:vAlign w:val="center"/>
          </w:tcPr>
          <w:p>
            <w:pPr>
              <w:pStyle w:val="TableContents"/>
              <w:spacing w:lineRule="auto" w:line="252" w:before="0" w:after="0"/>
              <w:ind w:left="0" w:right="0" w:firstLine="160"/>
              <w:jc w:val="left"/>
              <w:rPr/>
            </w:pPr>
            <w:r>
              <w:rPr/>
              <w:t> </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Unrealized losses on investment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shd w:fill="auto" w:val="clear"/>
            <w:vAlign w:val="center"/>
          </w:tcPr>
          <w:p>
            <w:pPr>
              <w:pStyle w:val="TableContents"/>
              <w:spacing w:lineRule="auto" w:line="252" w:before="0" w:after="0"/>
              <w:ind w:left="0" w:right="0" w:hanging="0"/>
              <w:jc w:val="left"/>
              <w:rPr/>
            </w:pPr>
            <w:r>
              <w:rPr/>
              <w:t> </w:t>
            </w:r>
          </w:p>
        </w:tc>
        <w:tc>
          <w:tcPr>
            <w:tcW w:w="620"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(241</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587" w:type="dxa"/>
            <w:tcBorders/>
            <w:shd w:fill="auto" w:val="cle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(241</w:t>
            </w:r>
          </w:p>
        </w:tc>
        <w:tc>
          <w:tcPr>
            <w:tcW w:w="356" w:type="dxa"/>
            <w:tcBorders/>
            <w:shd w:fill="auto" w:val="clear"/>
            <w:vAlign w:val="center"/>
          </w:tcPr>
          <w:p>
            <w:pPr>
              <w:pStyle w:val="TableContents"/>
              <w:spacing w:lineRule="auto" w:line="252" w:before="0" w:after="0"/>
              <w:ind w:left="0" w:right="0" w:firstLine="160"/>
              <w:jc w:val="left"/>
              <w:rPr>
                <w:rFonts w:ascii="Times New Roman" w:hAnsi="Times New Roman"/>
                <w:b w:val="false"/>
                <w:sz w:val="12"/>
              </w:rPr>
            </w:pPr>
            <w:r>
              <w:rPr>
                <w:rFonts w:ascii="Times New Roman" w:hAnsi="Times New Roman"/>
                <w:b w:val="false"/>
                <w:sz w:val="12"/>
              </w:rPr>
              <w:t>)</w:t>
            </w:r>
          </w:p>
        </w:tc>
      </w:tr>
      <w:tr>
        <w:trPr/>
        <w:tc>
          <w:tcPr>
            <w:tcW w:w="826" w:type="dxa"/>
            <w:tcBorders/>
            <w:shd w:fill="auto" w:val="clear"/>
            <w:vAlign w:val="center"/>
          </w:tcPr>
          <w:p>
            <w:pPr>
              <w:pStyle w:val="TableContents"/>
              <w:spacing w:lineRule="auto" w:line="252" w:before="0" w:after="0"/>
              <w:ind w:left="160" w:right="0" w:hanging="0"/>
              <w:jc w:val="left"/>
              <w:rPr>
                <w:rFonts w:ascii="Times New Roman" w:hAnsi="Times New Roman"/>
                <w:b w:val="false"/>
                <w:sz w:val="12"/>
              </w:rPr>
            </w:pPr>
            <w:r>
              <w:rPr>
                <w:rFonts w:ascii="Times New Roman" w:hAnsi="Times New Roman"/>
                <w:b w:val="false"/>
                <w:sz w:val="12"/>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(100,077</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(100,077</w:t>
            </w:r>
          </w:p>
        </w:tc>
        <w:tc>
          <w:tcPr>
            <w:tcW w:w="3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r>
      <w:tr>
        <w:trPr/>
        <w:tc>
          <w:tcPr>
            <w:tcW w:w="826" w:type="dxa"/>
            <w:tcBorders/>
            <w:shd w:fill="auto" w:val="clear"/>
            <w:vAlign w:val="center"/>
          </w:tcPr>
          <w:p>
            <w:pPr>
              <w:pStyle w:val="TableContents"/>
              <w:spacing w:lineRule="auto" w:line="252" w:before="0" w:after="0"/>
              <w:ind w:left="0" w:right="0" w:hanging="0"/>
              <w:jc w:val="left"/>
              <w:rPr>
                <w:rFonts w:ascii="Times New Roman" w:hAnsi="Times New Roman"/>
                <w:b/>
                <w:sz w:val="12"/>
              </w:rPr>
            </w:pPr>
            <w:r>
              <w:rPr>
                <w:rFonts w:ascii="Times New Roman" w:hAnsi="Times New Roman"/>
                <w:b/>
                <w:sz w:val="12"/>
              </w:rPr>
              <w:t>Balance —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53,031,978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3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582,844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1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(298,641</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62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(241</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2"/>
              </w:rPr>
            </w:pPr>
            <w:r>
              <w:rPr>
                <w:rFonts w:ascii="Times New Roman" w:hAnsi="Times New Roman"/>
                <w:b w:val="false"/>
                <w:sz w:val="12"/>
              </w:rPr>
              <w:t>$</w:t>
            </w:r>
          </w:p>
        </w:tc>
        <w:tc>
          <w:tcPr>
            <w:tcW w:w="58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2"/>
              </w:rPr>
            </w:pPr>
            <w:r>
              <w:rPr>
                <w:rFonts w:ascii="Times New Roman" w:hAnsi="Times New Roman"/>
                <w:b w:val="false"/>
                <w:sz w:val="12"/>
              </w:rPr>
              <w:t>284,018</w:t>
            </w:r>
          </w:p>
        </w:tc>
        <w:tc>
          <w:tcPr>
            <w:tcW w:w="3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val="false"/>
          <w:sz w:val="20"/>
        </w:rPr>
        <w:t>The accompanying notes are an integral part of these financial statements.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126</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VAXCYTE, INC.</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bookmarkStart w:id="19" w:name="condensed_statements_cash_flows"/>
      <w:bookmarkEnd w:id="19"/>
      <w:r>
        <w:rPr>
          <w:rFonts w:ascii="Times New Roman" w:hAnsi="Times New Roman"/>
          <w:b/>
          <w:sz w:val="20"/>
        </w:rPr>
        <w:t>Statements of Cash Flows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val="false"/>
          <w:i/>
          <w:sz w:val="20"/>
        </w:rPr>
        <w:t>(in thousands)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val="false"/>
          <w:i/>
          <w:sz w:val="20"/>
        </w:rPr>
        <w:t>(unaudited)</w:t>
      </w:r>
      <w:r>
        <w:rPr>
          <w:rFonts w:ascii="Times New Roman" w:hAnsi="Times New Roman"/>
          <w:sz w:val="20"/>
        </w:rPr>
        <w:t xml:space="preserve"> </w:t>
      </w:r>
    </w:p>
    <w:p>
      <w:pPr>
        <w:pStyle w:val="TextBody"/>
        <w:spacing w:lineRule="auto" w:line="273" w:before="0" w:after="0"/>
        <w:jc w:val="left"/>
        <w:rPr/>
      </w:pPr>
      <w:r>
        <w:rPr/>
        <w:t> </w:t>
      </w:r>
    </w:p>
    <w:tbl>
      <w:tblPr>
        <w:tblW w:w="10143" w:type="dxa"/>
        <w:jc w:val="left"/>
        <w:tblInd w:w="0" w:type="dxa"/>
        <w:tblCellMar>
          <w:top w:w="28" w:type="dxa"/>
          <w:left w:w="28" w:type="dxa"/>
          <w:bottom w:w="28" w:type="dxa"/>
          <w:right w:w="28" w:type="dxa"/>
        </w:tblCellMar>
      </w:tblPr>
      <w:tblGrid>
        <w:gridCol w:w="5671"/>
        <w:gridCol w:w="146"/>
        <w:gridCol w:w="196"/>
        <w:gridCol w:w="751"/>
        <w:gridCol w:w="166"/>
        <w:gridCol w:w="146"/>
        <w:gridCol w:w="196"/>
        <w:gridCol w:w="691"/>
        <w:gridCol w:w="166"/>
        <w:gridCol w:w="146"/>
        <w:gridCol w:w="196"/>
        <w:gridCol w:w="661"/>
        <w:gridCol w:w="1011"/>
      </w:tblGrid>
      <w:tr>
        <w:trPr/>
        <w:tc>
          <w:tcPr>
            <w:tcW w:w="56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r>
      <w:tr>
        <w:trPr/>
        <w:tc>
          <w:tcPr>
            <w:tcW w:w="56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15"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Year Ended December 31,</w:t>
            </w:r>
          </w:p>
        </w:tc>
        <w:tc>
          <w:tcPr>
            <w:tcW w:w="10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6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2019</w:t>
            </w:r>
          </w:p>
        </w:tc>
        <w:tc>
          <w:tcPr>
            <w:tcW w:w="10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67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Cash flows from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011" w:type="dxa"/>
            <w:tcBorders/>
            <w:shd w:fill="auto" w:val="clear"/>
            <w:vAlign w:val="center"/>
          </w:tcPr>
          <w:p>
            <w:pPr>
              <w:pStyle w:val="TableContents"/>
              <w:spacing w:lineRule="auto" w:line="252" w:before="0" w:after="0"/>
              <w:ind w:left="0" w:right="0" w:firstLine="200"/>
              <w:jc w:val="righ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(100,077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(89,217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(50,274</w:t>
            </w:r>
          </w:p>
        </w:tc>
        <w:tc>
          <w:tcPr>
            <w:tcW w:w="10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Adjustments to reconcile net loss to 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011" w:type="dxa"/>
            <w:tcBorders/>
            <w:shd w:fill="auto" w:val="clear"/>
            <w:vAlign w:val="center"/>
          </w:tcPr>
          <w:p>
            <w:pPr>
              <w:pStyle w:val="TableContents"/>
              <w:spacing w:lineRule="auto" w:line="252" w:before="0" w:after="0"/>
              <w:ind w:left="0" w:right="0" w:firstLine="400"/>
              <w:jc w:val="right"/>
              <w:rPr/>
            </w:pPr>
            <w:r>
              <w:rPr/>
              <w:t> </w:t>
            </w:r>
          </w:p>
        </w:tc>
      </w:tr>
      <w:tr>
        <w:trPr/>
        <w:tc>
          <w:tcPr>
            <w:tcW w:w="5671" w:type="dxa"/>
            <w:tcBorders/>
            <w:shd w:fill="auto" w:val="clear"/>
            <w:vAlign w:val="center"/>
          </w:tcPr>
          <w:p>
            <w:pPr>
              <w:pStyle w:val="TableContents"/>
              <w:spacing w:lineRule="auto" w:line="252" w:before="0" w:after="0"/>
              <w:ind w:left="400" w:right="0" w:hanging="0"/>
              <w:jc w:val="left"/>
              <w:rPr>
                <w:rFonts w:ascii="Times New Roman" w:hAnsi="Times New Roman"/>
                <w:b w:val="false"/>
                <w:sz w:val="16"/>
              </w:rPr>
            </w:pPr>
            <w:r>
              <w:rPr>
                <w:rFonts w:ascii="Times New Roman" w:hAnsi="Times New Roman"/>
                <w:b w:val="false"/>
                <w:sz w:val="16"/>
              </w:rPr>
              <w:t>Depreciation and amortization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1,800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1,405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1,232</w:t>
            </w:r>
          </w:p>
        </w:tc>
        <w:tc>
          <w:tcPr>
            <w:tcW w:w="1011" w:type="dxa"/>
            <w:tcBorders/>
            <w:shd w:fill="auto" w:val="clear"/>
            <w:vAlign w:val="center"/>
          </w:tcPr>
          <w:p>
            <w:pPr>
              <w:pStyle w:val="TableContents"/>
              <w:spacing w:lineRule="auto" w:line="252" w:before="0" w:after="0"/>
              <w:ind w:left="0" w:right="0" w:firstLine="400"/>
              <w:jc w:val="left"/>
              <w:rPr/>
            </w:pPr>
            <w:r>
              <w:rPr/>
              <w:t> </w:t>
            </w:r>
          </w:p>
        </w:tc>
      </w:tr>
      <w:tr>
        <w:trPr/>
        <w:tc>
          <w:tcPr>
            <w:tcW w:w="5671" w:type="dxa"/>
            <w:tcBorders/>
            <w:shd w:fill="auto" w:val="clear"/>
            <w:vAlign w:val="center"/>
          </w:tcPr>
          <w:p>
            <w:pPr>
              <w:pStyle w:val="TableContents"/>
              <w:spacing w:lineRule="auto" w:line="252" w:before="0" w:after="0"/>
              <w:ind w:left="400" w:right="0" w:hanging="0"/>
              <w:jc w:val="left"/>
              <w:rPr>
                <w:rFonts w:ascii="Times New Roman" w:hAnsi="Times New Roman"/>
                <w:b w:val="false"/>
                <w:sz w:val="16"/>
              </w:rPr>
            </w:pPr>
            <w:r>
              <w:rPr>
                <w:rFonts w:ascii="Times New Roman" w:hAnsi="Times New Roman"/>
                <w:b w:val="false"/>
                <w:sz w:val="16"/>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10,729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5,434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1,185</w:t>
            </w:r>
          </w:p>
        </w:tc>
        <w:tc>
          <w:tcPr>
            <w:tcW w:w="1011" w:type="dxa"/>
            <w:tcBorders/>
            <w:shd w:fill="auto" w:val="clear"/>
            <w:vAlign w:val="center"/>
          </w:tcPr>
          <w:p>
            <w:pPr>
              <w:pStyle w:val="TableContents"/>
              <w:spacing w:lineRule="auto" w:line="252" w:before="0" w:after="0"/>
              <w:ind w:left="0" w:right="0" w:firstLine="400"/>
              <w:jc w:val="left"/>
              <w:rPr/>
            </w:pPr>
            <w:r>
              <w:rPr/>
              <w:t> </w:t>
            </w:r>
          </w:p>
        </w:tc>
      </w:tr>
      <w:tr>
        <w:trPr/>
        <w:tc>
          <w:tcPr>
            <w:tcW w:w="5671" w:type="dxa"/>
            <w:tcBorders/>
            <w:shd w:fill="auto" w:val="clear"/>
            <w:vAlign w:val="center"/>
          </w:tcPr>
          <w:p>
            <w:pPr>
              <w:pStyle w:val="TableContents"/>
              <w:spacing w:lineRule="auto" w:line="252" w:before="0" w:after="0"/>
              <w:ind w:left="400" w:right="0" w:hanging="0"/>
              <w:jc w:val="left"/>
              <w:rPr>
                <w:rFonts w:ascii="Times New Roman" w:hAnsi="Times New Roman"/>
                <w:b w:val="false"/>
                <w:sz w:val="16"/>
              </w:rPr>
            </w:pPr>
            <w:r>
              <w:rPr>
                <w:rFonts w:ascii="Times New Roman" w:hAnsi="Times New Roman"/>
                <w:b w:val="false"/>
                <w:sz w:val="16"/>
              </w:rPr>
              <w:t>Change in fair value of redeemable convertible preferred stock warrant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179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w:t>
            </w:r>
          </w:p>
        </w:tc>
        <w:tc>
          <w:tcPr>
            <w:tcW w:w="10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16"/>
              </w:rPr>
            </w:pPr>
            <w:r>
              <w:rPr>
                <w:rFonts w:ascii="Times New Roman" w:hAnsi="Times New Roman"/>
                <w:b w:val="false"/>
                <w:sz w:val="16"/>
              </w:rPr>
              <w:t>)</w:t>
            </w:r>
          </w:p>
        </w:tc>
      </w:tr>
      <w:tr>
        <w:trPr/>
        <w:tc>
          <w:tcPr>
            <w:tcW w:w="5671" w:type="dxa"/>
            <w:tcBorders/>
            <w:shd w:fill="auto" w:val="clear"/>
            <w:vAlign w:val="center"/>
          </w:tcPr>
          <w:p>
            <w:pPr>
              <w:pStyle w:val="TableContents"/>
              <w:spacing w:lineRule="auto" w:line="252" w:before="0" w:after="0"/>
              <w:ind w:left="400" w:right="0" w:hanging="0"/>
              <w:jc w:val="left"/>
              <w:rPr>
                <w:rFonts w:ascii="Times New Roman" w:hAnsi="Times New Roman"/>
                <w:b w:val="false"/>
                <w:sz w:val="16"/>
              </w:rPr>
            </w:pPr>
            <w:r>
              <w:rPr>
                <w:rFonts w:ascii="Times New Roman" w:hAnsi="Times New Roman"/>
                <w:b w:val="false"/>
                <w:sz w:val="16"/>
              </w:rPr>
              <w:t>Change in fair value of redeemable convertible preferred stock tranche</w:t>
              <w:br/>
              <w: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(3,185</w:t>
            </w:r>
          </w:p>
        </w:tc>
        <w:tc>
          <w:tcPr>
            <w:tcW w:w="10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16"/>
              </w:rPr>
            </w:pPr>
            <w:r>
              <w:rPr>
                <w:rFonts w:ascii="Times New Roman" w:hAnsi="Times New Roman"/>
                <w:b w:val="false"/>
                <w:sz w:val="16"/>
              </w:rPr>
              <w:t>)</w:t>
            </w:r>
          </w:p>
        </w:tc>
      </w:tr>
      <w:tr>
        <w:trPr/>
        <w:tc>
          <w:tcPr>
            <w:tcW w:w="5671" w:type="dxa"/>
            <w:tcBorders/>
            <w:shd w:fill="auto" w:val="clear"/>
            <w:vAlign w:val="center"/>
          </w:tcPr>
          <w:p>
            <w:pPr>
              <w:pStyle w:val="TableContents"/>
              <w:spacing w:lineRule="auto" w:line="252" w:before="0" w:after="0"/>
              <w:ind w:left="400" w:right="0" w:hanging="0"/>
              <w:jc w:val="left"/>
              <w:rPr>
                <w:rFonts w:ascii="Times New Roman" w:hAnsi="Times New Roman"/>
                <w:b w:val="false"/>
                <w:sz w:val="16"/>
              </w:rPr>
            </w:pPr>
            <w:r>
              <w:rPr>
                <w:rFonts w:ascii="Times New Roman" w:hAnsi="Times New Roman"/>
                <w:b w:val="false"/>
                <w:sz w:val="16"/>
              </w:rPr>
              <w:t>Loss on disposal of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w:t>
            </w:r>
          </w:p>
        </w:tc>
        <w:tc>
          <w:tcPr>
            <w:tcW w:w="1011" w:type="dxa"/>
            <w:tcBorders/>
            <w:shd w:fill="auto" w:val="clear"/>
            <w:vAlign w:val="center"/>
          </w:tcPr>
          <w:p>
            <w:pPr>
              <w:pStyle w:val="TableContents"/>
              <w:spacing w:lineRule="auto" w:line="252" w:before="0" w:after="0"/>
              <w:ind w:left="0" w:right="0" w:firstLine="400"/>
              <w:jc w:val="left"/>
              <w:rPr/>
            </w:pPr>
            <w:r>
              <w:rPr/>
              <w:t> </w:t>
            </w:r>
          </w:p>
        </w:tc>
      </w:tr>
      <w:tr>
        <w:trPr/>
        <w:tc>
          <w:tcPr>
            <w:tcW w:w="5671" w:type="dxa"/>
            <w:tcBorders/>
            <w:shd w:fill="auto" w:val="clear"/>
            <w:vAlign w:val="center"/>
          </w:tcPr>
          <w:p>
            <w:pPr>
              <w:pStyle w:val="TableContents"/>
              <w:spacing w:lineRule="auto" w:line="252" w:before="0" w:after="0"/>
              <w:ind w:left="400" w:right="0" w:hanging="0"/>
              <w:jc w:val="left"/>
              <w:rPr>
                <w:rFonts w:ascii="Times New Roman" w:hAnsi="Times New Roman"/>
                <w:b w:val="false"/>
                <w:sz w:val="16"/>
              </w:rPr>
            </w:pPr>
            <w:r>
              <w:rPr>
                <w:rFonts w:ascii="Times New Roman" w:hAnsi="Times New Roman"/>
                <w:b w:val="false"/>
                <w:sz w:val="16"/>
              </w:rPr>
              <w:t>Asset impairment charges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267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011" w:type="dxa"/>
            <w:tcBorders/>
            <w:shd w:fill="auto" w:val="clear"/>
            <w:vAlign w:val="center"/>
          </w:tcPr>
          <w:p>
            <w:pPr>
              <w:pStyle w:val="TableContents"/>
              <w:spacing w:lineRule="auto" w:line="252" w:before="0" w:after="0"/>
              <w:ind w:left="0" w:right="0" w:firstLine="400"/>
              <w:jc w:val="left"/>
              <w:rPr/>
            </w:pPr>
            <w:r>
              <w:rPr/>
              <w:t> </w:t>
            </w:r>
          </w:p>
        </w:tc>
      </w:tr>
      <w:tr>
        <w:trPr/>
        <w:tc>
          <w:tcPr>
            <w:tcW w:w="5671" w:type="dxa"/>
            <w:tcBorders/>
            <w:shd w:fill="auto" w:val="clear"/>
            <w:vAlign w:val="center"/>
          </w:tcPr>
          <w:p>
            <w:pPr>
              <w:pStyle w:val="TableContents"/>
              <w:spacing w:lineRule="auto" w:line="252" w:before="0" w:after="0"/>
              <w:ind w:left="400" w:right="0" w:hanging="0"/>
              <w:jc w:val="left"/>
              <w:rPr>
                <w:rFonts w:ascii="Times New Roman" w:hAnsi="Times New Roman"/>
                <w:b w:val="false"/>
                <w:sz w:val="16"/>
              </w:rPr>
            </w:pPr>
            <w:r>
              <w:rPr>
                <w:rFonts w:ascii="Times New Roman" w:hAnsi="Times New Roman"/>
                <w:b w:val="false"/>
                <w:sz w:val="16"/>
              </w:rPr>
              <w:t>Amortization of operating lease right-of-use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1,657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011" w:type="dxa"/>
            <w:tcBorders/>
            <w:shd w:fill="auto" w:val="clear"/>
            <w:vAlign w:val="center"/>
          </w:tcPr>
          <w:p>
            <w:pPr>
              <w:pStyle w:val="TableContents"/>
              <w:spacing w:lineRule="auto" w:line="252" w:before="0" w:after="0"/>
              <w:ind w:left="0" w:right="0" w:firstLine="400"/>
              <w:jc w:val="left"/>
              <w:rPr/>
            </w:pPr>
            <w:r>
              <w:rPr/>
              <w:t> </w:t>
            </w:r>
          </w:p>
        </w:tc>
      </w:tr>
      <w:tr>
        <w:trPr/>
        <w:tc>
          <w:tcPr>
            <w:tcW w:w="5671" w:type="dxa"/>
            <w:tcBorders/>
            <w:shd w:fill="auto" w:val="clear"/>
            <w:vAlign w:val="center"/>
          </w:tcPr>
          <w:p>
            <w:pPr>
              <w:pStyle w:val="TableContents"/>
              <w:spacing w:lineRule="auto" w:line="252" w:before="0" w:after="0"/>
              <w:ind w:left="400" w:right="0" w:hanging="0"/>
              <w:jc w:val="left"/>
              <w:rPr>
                <w:rFonts w:ascii="Times New Roman" w:hAnsi="Times New Roman"/>
                <w:b w:val="false"/>
                <w:sz w:val="16"/>
              </w:rPr>
            </w:pPr>
            <w:r>
              <w:rPr>
                <w:rFonts w:ascii="Times New Roman" w:hAnsi="Times New Roman"/>
                <w:b w:val="false"/>
                <w:sz w:val="16"/>
              </w:rPr>
              <w:t>Net amortization of premiums on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1,406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011" w:type="dxa"/>
            <w:tcBorders/>
            <w:shd w:fill="auto" w:val="clear"/>
            <w:vAlign w:val="center"/>
          </w:tcPr>
          <w:p>
            <w:pPr>
              <w:pStyle w:val="TableContents"/>
              <w:spacing w:lineRule="auto" w:line="252" w:before="0" w:after="0"/>
              <w:ind w:left="0" w:right="0" w:firstLine="200"/>
              <w:jc w:val="lef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Changes in operating assets and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011" w:type="dxa"/>
            <w:tcBorders/>
            <w:shd w:fill="auto" w:val="clear"/>
            <w:vAlign w:val="center"/>
          </w:tcPr>
          <w:p>
            <w:pPr>
              <w:pStyle w:val="TableContents"/>
              <w:spacing w:lineRule="auto" w:line="252" w:before="0" w:after="0"/>
              <w:ind w:left="0" w:right="0" w:firstLine="400"/>
              <w:jc w:val="right"/>
              <w:rPr/>
            </w:pPr>
            <w:r>
              <w:rPr/>
              <w:t> </w:t>
            </w:r>
          </w:p>
        </w:tc>
      </w:tr>
      <w:tr>
        <w:trPr/>
        <w:tc>
          <w:tcPr>
            <w:tcW w:w="5671" w:type="dxa"/>
            <w:tcBorders/>
            <w:shd w:fill="auto" w:val="clear"/>
            <w:vAlign w:val="center"/>
          </w:tcPr>
          <w:p>
            <w:pPr>
              <w:pStyle w:val="TableContents"/>
              <w:spacing w:lineRule="auto" w:line="252" w:before="0" w:after="0"/>
              <w:ind w:left="400" w:right="0" w:hanging="0"/>
              <w:jc w:val="left"/>
              <w:rPr>
                <w:rFonts w:ascii="Times New Roman" w:hAnsi="Times New Roman"/>
                <w:b w:val="false"/>
                <w:sz w:val="16"/>
              </w:rPr>
            </w:pPr>
            <w:r>
              <w:rPr>
                <w:rFonts w:ascii="Times New Roman" w:hAnsi="Times New Roman"/>
                <w:b w:val="false"/>
                <w:sz w:val="16"/>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(7,369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(1,070</w:t>
            </w:r>
          </w:p>
        </w:tc>
        <w:tc>
          <w:tcPr>
            <w:tcW w:w="10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16"/>
              </w:rPr>
            </w:pPr>
            <w:r>
              <w:rPr>
                <w:rFonts w:ascii="Times New Roman" w:hAnsi="Times New Roman"/>
                <w:b w:val="false"/>
                <w:sz w:val="16"/>
              </w:rPr>
              <w:t>)</w:t>
            </w:r>
          </w:p>
        </w:tc>
      </w:tr>
      <w:tr>
        <w:trPr/>
        <w:tc>
          <w:tcPr>
            <w:tcW w:w="5671" w:type="dxa"/>
            <w:tcBorders/>
            <w:shd w:fill="auto" w:val="clear"/>
            <w:vAlign w:val="center"/>
          </w:tcPr>
          <w:p>
            <w:pPr>
              <w:pStyle w:val="TableContents"/>
              <w:spacing w:lineRule="auto" w:line="252" w:before="0" w:after="0"/>
              <w:ind w:left="400" w:right="0" w:hanging="0"/>
              <w:jc w:val="left"/>
              <w:rPr>
                <w:rFonts w:ascii="Times New Roman" w:hAnsi="Times New Roman"/>
                <w:b w:val="false"/>
                <w:sz w:val="16"/>
              </w:rPr>
            </w:pPr>
            <w:r>
              <w:rPr>
                <w:rFonts w:ascii="Times New Roman" w:hAnsi="Times New Roman"/>
                <w:b w:val="false"/>
                <w:sz w:val="16"/>
              </w:rPr>
              <w:t>Other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(3,539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120</w:t>
            </w:r>
          </w:p>
        </w:tc>
        <w:tc>
          <w:tcPr>
            <w:tcW w:w="1011" w:type="dxa"/>
            <w:tcBorders/>
            <w:shd w:fill="auto" w:val="clear"/>
            <w:vAlign w:val="center"/>
          </w:tcPr>
          <w:p>
            <w:pPr>
              <w:pStyle w:val="TableContents"/>
              <w:spacing w:lineRule="auto" w:line="252" w:before="0" w:after="0"/>
              <w:ind w:left="0" w:right="0" w:firstLine="400"/>
              <w:jc w:val="left"/>
              <w:rPr/>
            </w:pPr>
            <w:r>
              <w:rPr/>
              <w:t> </w:t>
            </w:r>
          </w:p>
        </w:tc>
      </w:tr>
      <w:tr>
        <w:trPr/>
        <w:tc>
          <w:tcPr>
            <w:tcW w:w="5671" w:type="dxa"/>
            <w:tcBorders/>
            <w:shd w:fill="auto" w:val="clear"/>
            <w:vAlign w:val="center"/>
          </w:tcPr>
          <w:p>
            <w:pPr>
              <w:pStyle w:val="TableContents"/>
              <w:spacing w:lineRule="auto" w:line="252" w:before="0" w:after="0"/>
              <w:ind w:left="400" w:right="0" w:hanging="0"/>
              <w:jc w:val="left"/>
              <w:rPr>
                <w:rFonts w:ascii="Times New Roman" w:hAnsi="Times New Roman"/>
                <w:b w:val="false"/>
                <w:sz w:val="16"/>
              </w:rPr>
            </w:pPr>
            <w:r>
              <w:rPr>
                <w:rFonts w:ascii="Times New Roman" w:hAnsi="Times New Roman"/>
                <w:b w:val="false"/>
                <w:sz w:val="16"/>
              </w:rPr>
              <w:t>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(12,856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011" w:type="dxa"/>
            <w:tcBorders/>
            <w:shd w:fill="auto" w:val="clear"/>
            <w:vAlign w:val="center"/>
          </w:tcPr>
          <w:p>
            <w:pPr>
              <w:pStyle w:val="TableContents"/>
              <w:spacing w:lineRule="auto" w:line="252" w:before="0" w:after="0"/>
              <w:ind w:left="0" w:right="0" w:firstLine="400"/>
              <w:jc w:val="left"/>
              <w:rPr/>
            </w:pPr>
            <w:r>
              <w:rPr/>
              <w:t> </w:t>
            </w:r>
          </w:p>
        </w:tc>
      </w:tr>
      <w:tr>
        <w:trPr/>
        <w:tc>
          <w:tcPr>
            <w:tcW w:w="5671" w:type="dxa"/>
            <w:tcBorders/>
            <w:shd w:fill="auto" w:val="clear"/>
            <w:vAlign w:val="center"/>
          </w:tcPr>
          <w:p>
            <w:pPr>
              <w:pStyle w:val="TableContents"/>
              <w:spacing w:lineRule="auto" w:line="252" w:before="0" w:after="0"/>
              <w:ind w:left="400" w:right="0" w:hanging="0"/>
              <w:jc w:val="left"/>
              <w:rPr>
                <w:rFonts w:ascii="Times New Roman" w:hAnsi="Times New Roman"/>
                <w:b w:val="false"/>
                <w:sz w:val="16"/>
              </w:rPr>
            </w:pPr>
            <w:r>
              <w:rPr>
                <w:rFonts w:ascii="Times New Roman" w:hAnsi="Times New Roman"/>
                <w:b w:val="false"/>
                <w:sz w:val="16"/>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(12,470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26,102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868</w:t>
            </w:r>
          </w:p>
        </w:tc>
        <w:tc>
          <w:tcPr>
            <w:tcW w:w="1011" w:type="dxa"/>
            <w:tcBorders/>
            <w:shd w:fill="auto" w:val="clear"/>
            <w:vAlign w:val="center"/>
          </w:tcPr>
          <w:p>
            <w:pPr>
              <w:pStyle w:val="TableContents"/>
              <w:spacing w:lineRule="auto" w:line="252" w:before="0" w:after="0"/>
              <w:ind w:left="0" w:right="0" w:firstLine="400"/>
              <w:jc w:val="left"/>
              <w:rPr/>
            </w:pPr>
            <w:r>
              <w:rPr/>
              <w:t> </w:t>
            </w:r>
          </w:p>
        </w:tc>
      </w:tr>
      <w:tr>
        <w:trPr/>
        <w:tc>
          <w:tcPr>
            <w:tcW w:w="5671" w:type="dxa"/>
            <w:tcBorders/>
            <w:shd w:fill="auto" w:val="clear"/>
            <w:vAlign w:val="center"/>
          </w:tcPr>
          <w:p>
            <w:pPr>
              <w:pStyle w:val="TableContents"/>
              <w:spacing w:lineRule="auto" w:line="252" w:before="0" w:after="0"/>
              <w:ind w:left="400" w:right="0" w:hanging="0"/>
              <w:jc w:val="left"/>
              <w:rPr>
                <w:rFonts w:ascii="Times New Roman" w:hAnsi="Times New Roman"/>
                <w:b w:val="false"/>
                <w:sz w:val="16"/>
              </w:rPr>
            </w:pPr>
            <w:r>
              <w:rPr>
                <w:rFonts w:ascii="Times New Roman" w:hAnsi="Times New Roman"/>
                <w:b w:val="false"/>
                <w:sz w:val="16"/>
              </w:rPr>
              <w:t>Accrued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3,170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(775</w:t>
            </w:r>
          </w:p>
        </w:tc>
        <w:tc>
          <w:tcPr>
            <w:tcW w:w="10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16"/>
              </w:rPr>
            </w:pPr>
            <w:r>
              <w:rPr>
                <w:rFonts w:ascii="Times New Roman" w:hAnsi="Times New Roman"/>
                <w:b w:val="false"/>
                <w:sz w:val="16"/>
              </w:rPr>
              <w:t>)</w:t>
            </w:r>
          </w:p>
        </w:tc>
      </w:tr>
      <w:tr>
        <w:trPr/>
        <w:tc>
          <w:tcPr>
            <w:tcW w:w="5671" w:type="dxa"/>
            <w:tcBorders/>
            <w:shd w:fill="auto" w:val="clear"/>
            <w:vAlign w:val="center"/>
          </w:tcPr>
          <w:p>
            <w:pPr>
              <w:pStyle w:val="TableContents"/>
              <w:spacing w:lineRule="auto" w:line="252" w:before="0" w:after="0"/>
              <w:ind w:left="400" w:right="0" w:hanging="0"/>
              <w:jc w:val="left"/>
              <w:rPr>
                <w:rFonts w:ascii="Times New Roman" w:hAnsi="Times New Roman"/>
                <w:b w:val="false"/>
                <w:sz w:val="16"/>
              </w:rPr>
            </w:pPr>
            <w:r>
              <w:rPr>
                <w:rFonts w:ascii="Times New Roman" w:hAnsi="Times New Roman"/>
                <w:b w:val="false"/>
                <w:sz w:val="16"/>
              </w:rPr>
              <w:t>Accrued manufacturing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(8,572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7,235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3,970</w:t>
            </w:r>
          </w:p>
        </w:tc>
        <w:tc>
          <w:tcPr>
            <w:tcW w:w="1011" w:type="dxa"/>
            <w:tcBorders/>
            <w:shd w:fill="auto" w:val="clear"/>
            <w:vAlign w:val="center"/>
          </w:tcPr>
          <w:p>
            <w:pPr>
              <w:pStyle w:val="TableContents"/>
              <w:spacing w:lineRule="auto" w:line="252" w:before="0" w:after="0"/>
              <w:ind w:left="0" w:right="0" w:firstLine="400"/>
              <w:jc w:val="left"/>
              <w:rPr/>
            </w:pPr>
            <w:r>
              <w:rPr/>
              <w:t> </w:t>
            </w:r>
          </w:p>
        </w:tc>
      </w:tr>
      <w:tr>
        <w:trPr/>
        <w:tc>
          <w:tcPr>
            <w:tcW w:w="5671" w:type="dxa"/>
            <w:tcBorders/>
            <w:shd w:fill="auto" w:val="clear"/>
            <w:vAlign w:val="center"/>
          </w:tcPr>
          <w:p>
            <w:pPr>
              <w:pStyle w:val="TableContents"/>
              <w:spacing w:lineRule="auto" w:line="252" w:before="0" w:after="0"/>
              <w:ind w:left="400" w:right="0" w:hanging="0"/>
              <w:jc w:val="left"/>
              <w:rPr>
                <w:rFonts w:ascii="Times New Roman" w:hAnsi="Times New Roman"/>
                <w:b w:val="false"/>
                <w:sz w:val="16"/>
              </w:rPr>
            </w:pPr>
            <w:r>
              <w:rPr>
                <w:rFonts w:ascii="Times New Roman" w:hAnsi="Times New Roman"/>
                <w:b w:val="false"/>
                <w:sz w:val="16"/>
              </w:rPr>
              <w:t>Accrued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4,631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2,207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718</w:t>
            </w:r>
          </w:p>
        </w:tc>
        <w:tc>
          <w:tcPr>
            <w:tcW w:w="1011" w:type="dxa"/>
            <w:tcBorders/>
            <w:shd w:fill="auto" w:val="clear"/>
            <w:vAlign w:val="center"/>
          </w:tcPr>
          <w:p>
            <w:pPr>
              <w:pStyle w:val="TableContents"/>
              <w:spacing w:lineRule="auto" w:line="252" w:before="0" w:after="0"/>
              <w:ind w:left="0" w:right="0" w:firstLine="400"/>
              <w:jc w:val="left"/>
              <w:rPr/>
            </w:pPr>
            <w:r>
              <w:rPr/>
              <w:t> </w:t>
            </w:r>
          </w:p>
        </w:tc>
      </w:tr>
      <w:tr>
        <w:trPr/>
        <w:tc>
          <w:tcPr>
            <w:tcW w:w="5671" w:type="dxa"/>
            <w:tcBorders/>
            <w:shd w:fill="auto" w:val="clear"/>
            <w:vAlign w:val="center"/>
          </w:tcPr>
          <w:p>
            <w:pPr>
              <w:pStyle w:val="TableContents"/>
              <w:spacing w:lineRule="auto" w:line="252" w:before="0" w:after="0"/>
              <w:ind w:left="400" w:right="0" w:hanging="0"/>
              <w:jc w:val="left"/>
              <w:rPr>
                <w:rFonts w:ascii="Times New Roman" w:hAnsi="Times New Roman"/>
                <w:b w:val="false"/>
                <w:sz w:val="16"/>
              </w:rPr>
            </w:pPr>
            <w:r>
              <w:rPr>
                <w:rFonts w:ascii="Times New Roman" w:hAnsi="Times New Roman"/>
                <w:b w:val="false"/>
                <w:sz w:val="16"/>
              </w:rPr>
              <w:t>Deferred rent and other long-term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77</w:t>
            </w:r>
          </w:p>
        </w:tc>
        <w:tc>
          <w:tcPr>
            <w:tcW w:w="10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800"/>
              <w:jc w:val="left"/>
              <w:rPr/>
            </w:pPr>
            <w:r>
              <w:rPr/>
              <w:t> </w:t>
            </w:r>
          </w:p>
        </w:tc>
      </w:tr>
      <w:tr>
        <w:trPr/>
        <w:tc>
          <w:tcPr>
            <w:tcW w:w="5671" w:type="dxa"/>
            <w:tcBorders/>
            <w:shd w:fill="auto" w:val="clear"/>
            <w:vAlign w:val="center"/>
          </w:tcPr>
          <w:p>
            <w:pPr>
              <w:pStyle w:val="TableContents"/>
              <w:spacing w:lineRule="auto" w:line="252" w:before="0" w:after="0"/>
              <w:ind w:left="800" w:right="0" w:hanging="0"/>
              <w:jc w:val="left"/>
              <w:rPr>
                <w:rFonts w:ascii="Times New Roman" w:hAnsi="Times New Roman"/>
                <w:b w:val="false"/>
                <w:sz w:val="16"/>
              </w:rPr>
            </w:pPr>
            <w:r>
              <w:rPr>
                <w:rFonts w:ascii="Times New Roman" w:hAnsi="Times New Roman"/>
                <w:b w:val="false"/>
                <w:sz w:val="16"/>
              </w:rPr>
              <w:t>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(121,393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(46,628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(47,145</w:t>
            </w:r>
          </w:p>
        </w:tc>
        <w:tc>
          <w:tcPr>
            <w:tcW w:w="10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567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Cash flows from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011" w:type="dxa"/>
            <w:tcBorders/>
            <w:shd w:fill="auto" w:val="clear"/>
            <w:vAlign w:val="center"/>
          </w:tcPr>
          <w:p>
            <w:pPr>
              <w:pStyle w:val="TableContents"/>
              <w:spacing w:lineRule="auto" w:line="252" w:before="0" w:after="0"/>
              <w:ind w:left="0" w:right="0" w:firstLine="200"/>
              <w:jc w:val="righ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Purchases of property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(6,555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(1,155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(1,195</w:t>
            </w:r>
          </w:p>
        </w:tc>
        <w:tc>
          <w:tcPr>
            <w:tcW w:w="10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Purchases of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(336,341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011" w:type="dxa"/>
            <w:tcBorders/>
            <w:shd w:fill="auto" w:val="clear"/>
            <w:vAlign w:val="center"/>
          </w:tcPr>
          <w:p>
            <w:pPr>
              <w:pStyle w:val="TableContents"/>
              <w:spacing w:lineRule="auto" w:line="252" w:before="0" w:after="0"/>
              <w:ind w:left="0" w:right="0" w:firstLine="200"/>
              <w:jc w:val="lef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Maturities of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100,500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011" w:type="dxa"/>
            <w:tcBorders/>
            <w:shd w:fill="auto" w:val="clear"/>
            <w:vAlign w:val="center"/>
          </w:tcPr>
          <w:p>
            <w:pPr>
              <w:pStyle w:val="TableContents"/>
              <w:spacing w:lineRule="auto" w:line="252" w:before="0" w:after="0"/>
              <w:ind w:left="0" w:right="0" w:firstLine="200"/>
              <w:jc w:val="lef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Sales of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30,062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011" w:type="dxa"/>
            <w:tcBorders/>
            <w:shd w:fill="auto" w:val="clear"/>
            <w:vAlign w:val="center"/>
          </w:tcPr>
          <w:p>
            <w:pPr>
              <w:pStyle w:val="TableContents"/>
              <w:spacing w:lineRule="auto" w:line="252" w:before="0" w:after="0"/>
              <w:ind w:left="0" w:right="0" w:firstLine="200"/>
              <w:jc w:val="lef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Proceeds from sales of property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0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800"/>
              <w:jc w:val="left"/>
              <w:rPr/>
            </w:pPr>
            <w:r>
              <w:rPr/>
              <w:t> </w:t>
            </w:r>
          </w:p>
        </w:tc>
      </w:tr>
      <w:tr>
        <w:trPr/>
        <w:tc>
          <w:tcPr>
            <w:tcW w:w="5671" w:type="dxa"/>
            <w:tcBorders/>
            <w:shd w:fill="auto" w:val="clear"/>
            <w:vAlign w:val="center"/>
          </w:tcPr>
          <w:p>
            <w:pPr>
              <w:pStyle w:val="TableContents"/>
              <w:spacing w:lineRule="auto" w:line="252" w:before="0" w:after="0"/>
              <w:ind w:left="800" w:right="0" w:hanging="0"/>
              <w:jc w:val="left"/>
              <w:rPr>
                <w:rFonts w:ascii="Times New Roman" w:hAnsi="Times New Roman"/>
                <w:b w:val="false"/>
                <w:sz w:val="16"/>
              </w:rPr>
            </w:pPr>
            <w:r>
              <w:rPr>
                <w:rFonts w:ascii="Times New Roman" w:hAnsi="Times New Roman"/>
                <w:b w:val="false"/>
                <w:sz w:val="16"/>
              </w:rPr>
              <w:t>Net cash used in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(212,308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(1,105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(1,195</w:t>
            </w:r>
          </w:p>
        </w:tc>
        <w:tc>
          <w:tcPr>
            <w:tcW w:w="10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567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Cash flows from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011" w:type="dxa"/>
            <w:tcBorders/>
            <w:shd w:fill="auto" w:val="clear"/>
            <w:vAlign w:val="center"/>
          </w:tcPr>
          <w:p>
            <w:pPr>
              <w:pStyle w:val="TableContents"/>
              <w:spacing w:lineRule="auto" w:line="252" w:before="0" w:after="0"/>
              <w:ind w:left="0" w:right="0" w:firstLine="200"/>
              <w:jc w:val="righ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Payments of capital lease obligations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(278</w:t>
            </w:r>
          </w:p>
        </w:tc>
        <w:tc>
          <w:tcPr>
            <w:tcW w:w="10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Proceeds from initial public offering, net of underwriters' commissions and</w:t>
              <w:br/>
              <w:t>   discounts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267,375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011" w:type="dxa"/>
            <w:tcBorders/>
            <w:shd w:fill="auto" w:val="clear"/>
            <w:vAlign w:val="center"/>
          </w:tcPr>
          <w:p>
            <w:pPr>
              <w:pStyle w:val="TableContents"/>
              <w:spacing w:lineRule="auto" w:line="252" w:before="0" w:after="0"/>
              <w:ind w:left="0" w:right="0" w:firstLine="200"/>
              <w:jc w:val="lef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Payment of issuance costs for initial public offering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(3,368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011" w:type="dxa"/>
            <w:tcBorders/>
            <w:shd w:fill="auto" w:val="clear"/>
            <w:vAlign w:val="center"/>
          </w:tcPr>
          <w:p>
            <w:pPr>
              <w:pStyle w:val="TableContents"/>
              <w:spacing w:lineRule="auto" w:line="252" w:before="0" w:after="0"/>
              <w:ind w:left="0" w:right="0" w:firstLine="200"/>
              <w:jc w:val="lef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Proceeds from issuance of redeemable convertible preferred stock, net of</w:t>
              <w:br/>
              <w:t>   issuance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109,879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42,500</w:t>
            </w:r>
          </w:p>
        </w:tc>
        <w:tc>
          <w:tcPr>
            <w:tcW w:w="1011" w:type="dxa"/>
            <w:tcBorders/>
            <w:shd w:fill="auto" w:val="clear"/>
            <w:vAlign w:val="center"/>
          </w:tcPr>
          <w:p>
            <w:pPr>
              <w:pStyle w:val="TableContents"/>
              <w:spacing w:lineRule="auto" w:line="252" w:before="0" w:after="0"/>
              <w:ind w:left="0" w:right="0" w:firstLine="200"/>
              <w:jc w:val="lef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Proceeds from exercise of common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3,012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635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322</w:t>
            </w:r>
          </w:p>
        </w:tc>
        <w:tc>
          <w:tcPr>
            <w:tcW w:w="1011" w:type="dxa"/>
            <w:tcBorders/>
            <w:shd w:fill="auto" w:val="clear"/>
            <w:vAlign w:val="center"/>
          </w:tcPr>
          <w:p>
            <w:pPr>
              <w:pStyle w:val="TableContents"/>
              <w:spacing w:lineRule="auto" w:line="252" w:before="0" w:after="0"/>
              <w:ind w:left="0" w:right="0" w:firstLine="200"/>
              <w:jc w:val="lef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Proceeds from issuance of common stock under ATM Sales Program, net</w:t>
              <w:br/>
              <w:t>   of issuance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13,896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011" w:type="dxa"/>
            <w:tcBorders/>
            <w:shd w:fill="auto" w:val="clear"/>
            <w:vAlign w:val="center"/>
          </w:tcPr>
          <w:p>
            <w:pPr>
              <w:pStyle w:val="TableContents"/>
              <w:spacing w:lineRule="auto" w:line="252" w:before="0" w:after="0"/>
              <w:ind w:left="0" w:right="0" w:firstLine="200"/>
              <w:jc w:val="lef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Proceeds from issuance of common stock related to early exercised stock</w:t>
              <w:br/>
              <w:t>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120</w:t>
            </w:r>
          </w:p>
        </w:tc>
        <w:tc>
          <w:tcPr>
            <w:tcW w:w="1011" w:type="dxa"/>
            <w:tcBorders/>
            <w:shd w:fill="auto" w:val="clear"/>
            <w:vAlign w:val="center"/>
          </w:tcPr>
          <w:p>
            <w:pPr>
              <w:pStyle w:val="TableContents"/>
              <w:spacing w:lineRule="auto" w:line="252" w:before="0" w:after="0"/>
              <w:ind w:left="0" w:right="0" w:firstLine="200"/>
              <w:jc w:val="lef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 xml:space="preserve">Proceeds from issuance of common stock under the Employee Stock Purchase </w:t>
              <w:br/>
              <w:t>   Plan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888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374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011" w:type="dxa"/>
            <w:tcBorders/>
            <w:shd w:fill="auto" w:val="clear"/>
            <w:vAlign w:val="center"/>
          </w:tcPr>
          <w:p>
            <w:pPr>
              <w:pStyle w:val="TableContents"/>
              <w:spacing w:lineRule="auto" w:line="252" w:before="0" w:after="0"/>
              <w:ind w:left="0" w:right="0" w:firstLine="200"/>
              <w:jc w:val="lef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Payments of deferred offering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(1,097</w:t>
            </w:r>
          </w:p>
        </w:tc>
        <w:tc>
          <w:tcPr>
            <w:tcW w:w="10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800"/>
              <w:jc w:val="left"/>
              <w:rPr>
                <w:rFonts w:ascii="Times New Roman" w:hAnsi="Times New Roman"/>
                <w:b w:val="false"/>
                <w:sz w:val="16"/>
              </w:rPr>
            </w:pPr>
            <w:r>
              <w:rPr>
                <w:rFonts w:ascii="Times New Roman" w:hAnsi="Times New Roman"/>
                <w:b w:val="false"/>
                <w:sz w:val="16"/>
              </w:rPr>
              <w:t>)</w:t>
            </w:r>
          </w:p>
        </w:tc>
      </w:tr>
      <w:tr>
        <w:trPr/>
        <w:tc>
          <w:tcPr>
            <w:tcW w:w="5671" w:type="dxa"/>
            <w:tcBorders/>
            <w:shd w:fill="auto" w:val="clear"/>
            <w:vAlign w:val="center"/>
          </w:tcPr>
          <w:p>
            <w:pPr>
              <w:pStyle w:val="TableContents"/>
              <w:spacing w:lineRule="auto" w:line="252" w:before="0" w:after="0"/>
              <w:ind w:left="800" w:right="0" w:hanging="0"/>
              <w:jc w:val="left"/>
              <w:rPr>
                <w:rFonts w:ascii="Times New Roman" w:hAnsi="Times New Roman"/>
                <w:b w:val="false"/>
                <w:sz w:val="16"/>
              </w:rPr>
            </w:pPr>
            <w:r>
              <w:rPr>
                <w:rFonts w:ascii="Times New Roman" w:hAnsi="Times New Roman"/>
                <w:b w:val="false"/>
                <w:sz w:val="16"/>
              </w:rPr>
              <w:t>Net cash provided by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17,796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374,870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41,567</w:t>
            </w:r>
          </w:p>
        </w:tc>
        <w:tc>
          <w:tcPr>
            <w:tcW w:w="10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67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Effect of exchange rate changes on 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(439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(341</w:t>
            </w:r>
          </w:p>
        </w:tc>
        <w:tc>
          <w:tcPr>
            <w:tcW w:w="10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600"/>
              <w:jc w:val="left"/>
              <w:rPr>
                <w:rFonts w:ascii="Times New Roman" w:hAnsi="Times New Roman"/>
                <w:b w:val="false"/>
                <w:sz w:val="16"/>
              </w:rPr>
            </w:pPr>
            <w:r>
              <w:rPr>
                <w:rFonts w:ascii="Times New Roman" w:hAnsi="Times New Roman"/>
                <w:b w:val="false"/>
                <w:sz w:val="16"/>
              </w:rPr>
              <w:t>)</w:t>
            </w:r>
          </w:p>
        </w:tc>
      </w:tr>
      <w:tr>
        <w:trPr/>
        <w:tc>
          <w:tcPr>
            <w:tcW w:w="5671" w:type="dxa"/>
            <w:tcBorders/>
            <w:shd w:fill="auto" w:val="clear"/>
            <w:vAlign w:val="center"/>
          </w:tcPr>
          <w:p>
            <w:pPr>
              <w:pStyle w:val="TableContents"/>
              <w:spacing w:lineRule="auto" w:line="252" w:before="0" w:after="0"/>
              <w:ind w:left="600" w:right="0" w:hanging="0"/>
              <w:jc w:val="left"/>
              <w:rPr>
                <w:rFonts w:ascii="Times New Roman" w:hAnsi="Times New Roman"/>
                <w:b w:val="false"/>
                <w:sz w:val="16"/>
              </w:rPr>
            </w:pPr>
            <w:r>
              <w:rPr>
                <w:rFonts w:ascii="Times New Roman" w:hAnsi="Times New Roman"/>
                <w:b w:val="false"/>
                <w:sz w:val="16"/>
              </w:rPr>
              <w:t>Net (decrease) increase in cash,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(316,344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327,224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(7,114</w:t>
            </w:r>
          </w:p>
        </w:tc>
        <w:tc>
          <w:tcPr>
            <w:tcW w:w="1011" w:type="dxa"/>
            <w:tcBorders/>
            <w:shd w:fill="auto" w:val="clear"/>
            <w:vAlign w:val="center"/>
          </w:tcPr>
          <w:p>
            <w:pPr>
              <w:pStyle w:val="TableContents"/>
              <w:spacing w:lineRule="auto" w:line="252" w:before="0" w:after="0"/>
              <w:ind w:left="0" w:right="0" w:firstLine="600"/>
              <w:jc w:val="left"/>
              <w:rPr>
                <w:rFonts w:ascii="Times New Roman" w:hAnsi="Times New Roman"/>
                <w:b w:val="false"/>
                <w:sz w:val="16"/>
              </w:rPr>
            </w:pPr>
            <w:r>
              <w:rPr>
                <w:rFonts w:ascii="Times New Roman" w:hAnsi="Times New Roman"/>
                <w:b w:val="false"/>
                <w:sz w:val="16"/>
              </w:rPr>
              <w:t>)</w:t>
            </w:r>
          </w:p>
        </w:tc>
      </w:tr>
      <w:tr>
        <w:trPr/>
        <w:tc>
          <w:tcPr>
            <w:tcW w:w="5671" w:type="dxa"/>
            <w:tcBorders/>
            <w:shd w:fill="auto" w:val="clear"/>
            <w:vAlign w:val="center"/>
          </w:tcPr>
          <w:p>
            <w:pPr>
              <w:pStyle w:val="TableContents"/>
              <w:spacing w:lineRule="auto" w:line="252" w:before="0" w:after="0"/>
              <w:ind w:left="600" w:right="0" w:hanging="0"/>
              <w:jc w:val="left"/>
              <w:rPr>
                <w:rFonts w:ascii="Times New Roman" w:hAnsi="Times New Roman"/>
                <w:b w:val="false"/>
                <w:sz w:val="16"/>
              </w:rPr>
            </w:pPr>
            <w:r>
              <w:rPr>
                <w:rFonts w:ascii="Times New Roman" w:hAnsi="Times New Roman"/>
                <w:b w:val="false"/>
                <w:sz w:val="16"/>
              </w:rPr>
              <w:t>Cash, cash equivalents and restricted cash, beginning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386,200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58,976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66,090</w:t>
            </w:r>
          </w:p>
        </w:tc>
        <w:tc>
          <w:tcPr>
            <w:tcW w:w="10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600"/>
              <w:jc w:val="left"/>
              <w:rPr/>
            </w:pPr>
            <w:r>
              <w:rPr/>
              <w:t> </w:t>
            </w:r>
          </w:p>
        </w:tc>
      </w:tr>
      <w:tr>
        <w:trPr/>
        <w:tc>
          <w:tcPr>
            <w:tcW w:w="5671" w:type="dxa"/>
            <w:tcBorders/>
            <w:shd w:fill="auto" w:val="clear"/>
            <w:vAlign w:val="center"/>
          </w:tcPr>
          <w:p>
            <w:pPr>
              <w:pStyle w:val="TableContents"/>
              <w:spacing w:lineRule="auto" w:line="252" w:before="0" w:after="0"/>
              <w:ind w:left="600" w:right="0" w:hanging="0"/>
              <w:jc w:val="left"/>
              <w:rPr>
                <w:rFonts w:ascii="Times New Roman" w:hAnsi="Times New Roman"/>
                <w:b w:val="false"/>
                <w:sz w:val="16"/>
              </w:rPr>
            </w:pPr>
            <w:r>
              <w:rPr>
                <w:rFonts w:ascii="Times New Roman" w:hAnsi="Times New Roman"/>
                <w:b w:val="false"/>
                <w:sz w:val="16"/>
              </w:rPr>
              <w:t>Cash, cash equivalents and restricted cash, end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69,856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386,200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58,976</w:t>
            </w:r>
          </w:p>
        </w:tc>
        <w:tc>
          <w:tcPr>
            <w:tcW w:w="10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67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Supplemental disclosure of cash flow information: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011" w:type="dxa"/>
            <w:tcBorders/>
            <w:shd w:fill="auto" w:val="clear"/>
            <w:vAlign w:val="center"/>
          </w:tcPr>
          <w:p>
            <w:pPr>
              <w:pStyle w:val="TableContents"/>
              <w:spacing w:lineRule="auto" w:line="252" w:before="0" w:after="0"/>
              <w:ind w:left="0" w:right="0" w:firstLine="200"/>
              <w:jc w:val="righ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Cash paid for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40</w:t>
            </w:r>
          </w:p>
        </w:tc>
        <w:tc>
          <w:tcPr>
            <w:tcW w:w="10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67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Supplemental disclosures of non-cash investing and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011" w:type="dxa"/>
            <w:tcBorders/>
            <w:shd w:fill="auto" w:val="clear"/>
            <w:vAlign w:val="center"/>
          </w:tcPr>
          <w:p>
            <w:pPr>
              <w:pStyle w:val="TableContents"/>
              <w:spacing w:lineRule="auto" w:line="252" w:before="0" w:after="0"/>
              <w:ind w:left="0" w:right="0" w:firstLine="200"/>
              <w:jc w:val="righ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Purchases of property and equipment recorded in accounts payable and accrued</w:t>
              <w:br/>
              <w: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766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494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21</w:t>
            </w:r>
          </w:p>
        </w:tc>
        <w:tc>
          <w:tcPr>
            <w:tcW w:w="10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Conversion of convertible preferred stock into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270,190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0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Stock issued for payment of 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10,001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0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5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Deferred offering costs included in accounts payable and accrued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w:t>
            </w:r>
          </w:p>
        </w:tc>
        <w:tc>
          <w:tcPr>
            <w:tcW w:w="10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val="false"/>
          <w:sz w:val="20"/>
        </w:rPr>
        <w:t>The accompanying notes are an integral part of these unaudited financial statements.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127</w:t>
      </w:r>
    </w:p>
    <w:p>
      <w:pPr>
        <w:pStyle w:val="HorizontalLine"/>
        <w:rPr/>
      </w:pPr>
      <w:r>
        <w:rPr/>
      </w:r>
    </w:p>
    <w:p>
      <w:pPr>
        <w:pStyle w:val="TextBody"/>
        <w:spacing w:lineRule="auto" w:line="273" w:before="0" w:after="0"/>
        <w:jc w:val="left"/>
        <w:rPr/>
      </w:pPr>
      <w:r>
        <w:rPr/>
        <w:t> </w:t>
      </w:r>
    </w:p>
    <w:p>
      <w:pPr>
        <w:pStyle w:val="TextBody"/>
        <w:spacing w:lineRule="auto" w:line="252" w:before="0" w:after="0"/>
        <w:jc w:val="center"/>
        <w:rPr>
          <w:rFonts w:ascii="Times New Roman" w:hAnsi="Times New Roman"/>
          <w:sz w:val="20"/>
        </w:rPr>
      </w:pPr>
      <w:r>
        <w:rPr>
          <w:rFonts w:ascii="Times New Roman" w:hAnsi="Times New Roman"/>
          <w:b/>
          <w:sz w:val="20"/>
        </w:rPr>
        <w:t>VAXCYTE, INC.</w:t>
      </w:r>
      <w:r>
        <w:rPr>
          <w:rFonts w:ascii="Times New Roman" w:hAnsi="Times New Roman"/>
          <w:sz w:val="20"/>
        </w:rPr>
        <w:t xml:space="preserve"> </w:t>
      </w:r>
    </w:p>
    <w:p>
      <w:pPr>
        <w:pStyle w:val="TextBody"/>
        <w:spacing w:lineRule="auto" w:line="252" w:before="0" w:after="0"/>
        <w:jc w:val="center"/>
        <w:rPr>
          <w:rFonts w:ascii="Times New Roman" w:hAnsi="Times New Roman"/>
          <w:sz w:val="20"/>
        </w:rPr>
      </w:pPr>
      <w:bookmarkStart w:id="20" w:name="notes_to_unaudited_interim_condensed_fin"/>
      <w:bookmarkEnd w:id="20"/>
      <w:r>
        <w:rPr>
          <w:rFonts w:ascii="Times New Roman" w:hAnsi="Times New Roman"/>
          <w:b/>
          <w:sz w:val="20"/>
        </w:rPr>
        <w:t>Notes to Financial Statements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1. Company Organization and Nature of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Vaxcyte, Inc. (“we,” “us,” “the Company,” or “Vaxcyte”), headquartered in San Carlos, California, was incorporated in the state of Delaware on November 27, 2013 as SutroVax, Inc. and we changed our name to Vaxcyte, Inc. on May 15, 2020. We are a clinical-stage vaccine innovation company engineering high-fidelity vaccines to protect humankind from the consequences of bacterial diseases. We are developing broad-spectrum conjugate and novel protein vaccines to prevent or treat bacterial infectious diseases. We are re-engineering the way highly complex vaccines are made through modern synthetic techniques, including advanced chemistry and the XpressCF cell-free protein synthesis platform, exclusively licensed from Sutro Biopharma, Inc. Unlike conventional cell-based approaches, our system for producing difficult-to-make proteins and antigens is intended to accelerate our ability to efficiently create and deliver high-fidelity vaccines with enhanced immunological benefits. Our pipeline includes pneumococcal conjugate vaccine (“PCV”) candidates that we believe are among the most broad-spectrum PCV candidates currently in development, targeting the approximately $7</w:t>
      </w:r>
      <w:r>
        <w:rPr>
          <w:rFonts w:ascii="Times New Roman" w:hAnsi="Times New Roman"/>
          <w:sz w:val="20"/>
        </w:rPr>
        <w:t xml:space="preserve"> </w:t>
      </w:r>
      <w:r>
        <w:rPr>
          <w:rFonts w:ascii="Times New Roman" w:hAnsi="Times New Roman"/>
          <w:b w:val="false"/>
          <w:sz w:val="20"/>
        </w:rPr>
        <w:t>billion global pneumococcal vaccine market. Our lead vaccine candidate, VAX-24, is a 24-valent broad-spectrum investigational PCV being developed for the prevention of invasive pneumococcal disease, or IPD, and pneumonia. On January 6, 2022, we announced that the U.S. Food and Drug Administration, or FDA, cleared our investigational new drug, or IND, application for VAX-24 in adults. On February 23, 2022, we announced the initiation of our Phase 1/2 clinical proof-of-concept study in adults 18 to 64 years of age. We expect to announce topline safety, tolerability and immunogenicity results from this study by the end of 2022. Pending the successful completion of the Phase 1 portion of this study, we expect to begin enrollment in a separate Phase 2 study in healthy adults aged 65 and older and to announce topline safety, tolerability and immunogenicity results from this study in the first half of 2023. Subject to a pre-IND meeting with the FDA and the successful topline results of the Phase 1/2 proof-of-concept study in adults 18-64 years of age, we anticipate submitting a pediatric IND application to the FDA for VAX-24 in the first half of 2023. Our second PCV candidate, VAX-XP, leverages our scalable and modular platform and builds on the technical proof of concept established by VAX-24 and is designed to expand the breadth of coverage to greater than 30 strains without compromising immunogenicity due to carrier suppression. In addition to our PCV franchise, our pipeline includes VAX-A1, a novel conjugate vaccine candidate designed to prevent Group A Strep; VAX-PG, a novel protein vaccine candidate targeting the keystone pathogen responsible for periodontitis; and other discovery-stage programs. Our primary activities since incorporation have been to perform research and development, undertake preclinical studies and conduct manufacturing activities in support of our product development efforts; organize and staff the Company; establish our intellectual property portfolio; and raise capital to support and expand such activities.</w:t>
      </w:r>
      <w:r>
        <w:rPr>
          <w:rFonts w:ascii="Times New Roman" w:hAnsi="Times New Roman"/>
          <w:sz w:val="20"/>
        </w:rPr>
        <w:t xml:space="preserve"> </w:t>
      </w:r>
    </w:p>
    <w:p>
      <w:pPr>
        <w:pStyle w:val="TextBody"/>
        <w:spacing w:lineRule="auto" w:line="273" w:before="240" w:after="0"/>
        <w:jc w:val="left"/>
        <w:rPr>
          <w:rFonts w:ascii="Times New Roman" w:hAnsi="Times New Roman"/>
          <w:b/>
          <w:i/>
          <w:sz w:val="20"/>
        </w:rPr>
      </w:pPr>
      <w:r>
        <w:rPr>
          <w:rFonts w:ascii="Times New Roman" w:hAnsi="Times New Roman"/>
          <w:b/>
          <w:i/>
          <w:sz w:val="20"/>
        </w:rPr>
        <w:t>Reverse Stock Split</w:t>
      </w:r>
    </w:p>
    <w:p>
      <w:pPr>
        <w:pStyle w:val="TextBody"/>
        <w:spacing w:lineRule="auto" w:line="273" w:before="240" w:after="0"/>
        <w:jc w:val="left"/>
        <w:rPr>
          <w:rFonts w:ascii="Times New Roman" w:hAnsi="Times New Roman"/>
          <w:sz w:val="20"/>
        </w:rPr>
      </w:pPr>
      <w:r>
        <w:rPr>
          <w:rFonts w:ascii="Times New Roman" w:hAnsi="Times New Roman"/>
          <w:b w:val="false"/>
          <w:sz w:val="20"/>
        </w:rPr>
        <w:t>On June 5, 2020, we filed a certificate of amendment to our amended and restated certificate of incorporation to effect a one-for-1.6870</w:t>
      </w:r>
      <w:r>
        <w:rPr>
          <w:rFonts w:ascii="Times New Roman" w:hAnsi="Times New Roman"/>
          <w:sz w:val="20"/>
        </w:rPr>
        <w:t xml:space="preserve"> </w:t>
      </w:r>
      <w:r>
        <w:rPr>
          <w:rFonts w:ascii="Times New Roman" w:hAnsi="Times New Roman"/>
          <w:b w:val="false"/>
          <w:sz w:val="20"/>
        </w:rPr>
        <w:t>reverse stock split of our issued and outstanding common stock, preferred stock, stock options and warrants effective on June 5, 2020. Accordingly, all share and per share amounts for all periods presented in the financial statements and notes thereto have been retroactively adjusted.</w:t>
      </w:r>
    </w:p>
    <w:p>
      <w:pPr>
        <w:pStyle w:val="TextBody"/>
        <w:spacing w:lineRule="auto" w:line="273" w:before="240" w:after="0"/>
        <w:jc w:val="left"/>
        <w:rPr>
          <w:rFonts w:ascii="Times New Roman" w:hAnsi="Times New Roman"/>
          <w:b/>
          <w:i/>
          <w:sz w:val="20"/>
        </w:rPr>
      </w:pPr>
      <w:r>
        <w:rPr>
          <w:rFonts w:ascii="Times New Roman" w:hAnsi="Times New Roman"/>
          <w:b/>
          <w:i/>
          <w:sz w:val="20"/>
        </w:rPr>
        <w:t>Initial Public Offering</w:t>
      </w:r>
    </w:p>
    <w:p>
      <w:pPr>
        <w:pStyle w:val="TextBody"/>
        <w:spacing w:lineRule="auto" w:line="273" w:before="240" w:after="0"/>
        <w:jc w:val="left"/>
        <w:rPr>
          <w:rFonts w:ascii="Times New Roman" w:hAnsi="Times New Roman"/>
          <w:sz w:val="20"/>
        </w:rPr>
      </w:pPr>
      <w:r>
        <w:rPr>
          <w:rFonts w:ascii="Times New Roman" w:hAnsi="Times New Roman"/>
          <w:b w:val="false"/>
          <w:sz w:val="20"/>
        </w:rPr>
        <w:t>In June 2020, we completed an initial public offering (“IPO”) in which we issued and sold 17,968,750</w:t>
      </w:r>
      <w:r>
        <w:rPr>
          <w:rFonts w:ascii="Times New Roman" w:hAnsi="Times New Roman"/>
          <w:sz w:val="20"/>
        </w:rPr>
        <w:t xml:space="preserve"> </w:t>
      </w:r>
      <w:r>
        <w:rPr>
          <w:rFonts w:ascii="Times New Roman" w:hAnsi="Times New Roman"/>
          <w:b w:val="false"/>
          <w:sz w:val="20"/>
        </w:rPr>
        <w:t>shares of common stock, including shares issued upon the exercise in full of the underwriters’ option to purchase 2,343,750</w:t>
      </w:r>
      <w:r>
        <w:rPr>
          <w:rFonts w:ascii="Times New Roman" w:hAnsi="Times New Roman"/>
          <w:sz w:val="20"/>
        </w:rPr>
        <w:t xml:space="preserve"> </w:t>
      </w:r>
      <w:r>
        <w:rPr>
          <w:rFonts w:ascii="Times New Roman" w:hAnsi="Times New Roman"/>
          <w:b w:val="false"/>
          <w:sz w:val="20"/>
        </w:rPr>
        <w:t>additional shares of common stock, at a public offering price of $16.00</w:t>
      </w:r>
      <w:r>
        <w:rPr>
          <w:rFonts w:ascii="Times New Roman" w:hAnsi="Times New Roman"/>
          <w:sz w:val="20"/>
        </w:rPr>
        <w:t xml:space="preserve"> </w:t>
      </w:r>
      <w:r>
        <w:rPr>
          <w:rFonts w:ascii="Times New Roman" w:hAnsi="Times New Roman"/>
          <w:b w:val="false"/>
          <w:sz w:val="20"/>
        </w:rPr>
        <w:t>per share. We received $264.0</w:t>
      </w:r>
      <w:r>
        <w:rPr>
          <w:rFonts w:ascii="Times New Roman" w:hAnsi="Times New Roman"/>
          <w:sz w:val="20"/>
        </w:rPr>
        <w:t xml:space="preserve"> </w:t>
      </w:r>
      <w:r>
        <w:rPr>
          <w:rFonts w:ascii="Times New Roman" w:hAnsi="Times New Roman"/>
          <w:b w:val="false"/>
          <w:sz w:val="20"/>
        </w:rPr>
        <w:t>million in net proceeds, after deducting underwriting discounts and commissions of $20.1</w:t>
      </w:r>
      <w:r>
        <w:rPr>
          <w:rFonts w:ascii="Times New Roman" w:hAnsi="Times New Roman"/>
          <w:sz w:val="20"/>
        </w:rPr>
        <w:t xml:space="preserve"> </w:t>
      </w:r>
      <w:r>
        <w:rPr>
          <w:rFonts w:ascii="Times New Roman" w:hAnsi="Times New Roman"/>
          <w:b w:val="false"/>
          <w:sz w:val="20"/>
        </w:rPr>
        <w:t>million and offering expenses of $3.4</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Immediately prior to the completion of our IPO, all outstanding shares of redeemable convertible preferred stock were converted into 28,610,337</w:t>
      </w:r>
      <w:r>
        <w:rPr>
          <w:rFonts w:ascii="Times New Roman" w:hAnsi="Times New Roman"/>
          <w:sz w:val="20"/>
        </w:rPr>
        <w:t xml:space="preserve"> </w:t>
      </w:r>
      <w:r>
        <w:rPr>
          <w:rFonts w:ascii="Times New Roman" w:hAnsi="Times New Roman"/>
          <w:b w:val="false"/>
          <w:sz w:val="20"/>
        </w:rPr>
        <w:t>shares of common stock. Subsequent to the completion of the IPO, there were no</w:t>
      </w:r>
      <w:r>
        <w:rPr>
          <w:rFonts w:ascii="Times New Roman" w:hAnsi="Times New Roman"/>
          <w:sz w:val="20"/>
        </w:rPr>
        <w:t xml:space="preserve"> </w:t>
      </w:r>
      <w:r>
        <w:rPr>
          <w:rFonts w:ascii="Times New Roman" w:hAnsi="Times New Roman"/>
          <w:b w:val="false"/>
          <w:sz w:val="20"/>
        </w:rPr>
        <w:t>shares of redeemable convertible preferred stock outstanding.</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128</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caps/>
          <w:sz w:val="20"/>
        </w:rPr>
        <w:t xml:space="preserve">2. </w:t>
      </w:r>
      <w:r>
        <w:rPr>
          <w:rFonts w:ascii="Times New Roman" w:hAnsi="Times New Roman"/>
          <w:b/>
          <w:sz w:val="20"/>
        </w:rPr>
        <w:t>Basis of Presentation and Summary of Significant Accounting Policies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Basis of Presentation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These financial statements have been prepared in accordance with accounting principles generally accepted in the United States of America (“U.S. GAAP”) and applicable rules and regulations of the Securities and Exchange Commission (“SEC”) regarding annual reporting. Certain changes in presentation were made in these financial statements as of and for the year ended December 31, 2019 to conform to the presentation as of and for the years ended December 31, 2021 and 2020.</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Use of Estimates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preparation of financial statements in conformity with U.S. GAAP requires management to make estimates and assumptions that affect the reported amounts of assets, liabilities and expenses and the disclosure of contingent assets and liabilities at the date of the financial statements. On an ongoing basis, we evaluate our estimates and assumptions, including those related to stock-based compensation expense, accruals for certain research and development costs, the incremental borrowing rate, the valuation of deferred tax assets and income taxes. Management bases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r>
        <w:rPr>
          <w:rFonts w:ascii="Times New Roman" w:hAnsi="Times New Roman"/>
          <w:sz w:val="20"/>
        </w:rPr>
        <w:t xml:space="preserve"> </w:t>
      </w:r>
    </w:p>
    <w:p>
      <w:pPr>
        <w:pStyle w:val="TextBody"/>
        <w:spacing w:lineRule="auto" w:line="273" w:before="240" w:after="0"/>
        <w:jc w:val="left"/>
        <w:rPr>
          <w:rFonts w:ascii="Times New Roman" w:hAnsi="Times New Roman"/>
          <w:b/>
          <w:i/>
          <w:sz w:val="20"/>
        </w:rPr>
      </w:pPr>
      <w:r>
        <w:rPr>
          <w:rFonts w:ascii="Times New Roman" w:hAnsi="Times New Roman"/>
          <w:b/>
          <w:i/>
          <w:sz w:val="20"/>
        </w:rPr>
        <w:t>Concentration of Credit Risk and Other Risks and Uncertainties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Financial instruments that potentially subject us to a concentration of credit risk consist primarily of cash and cash equivalents and investments. We invest in money market funds, U.S. Treasury securities, U.S. government agency securities, corporate debt, commercial paper and asset-backed securities. We maintain bank deposits in federally insured financial institutions and these deposits may exceed federally insured limits. We are exposed to credit risk in the event of a default by the financial institutions holding our cash and issuers of investments to the extent recorded on the balance sheets. Our investment policy limits investments to money market funds, certain types of debt securities issued by the U.S. Government and its agencies, corporate debt, commercial paper and asset-backed securities, and places restrictions on the credit ratings, maturities and concentration by type and issuer. We have not experienced any significant losses on our deposits of cash, cash equivalents or investments.</w:t>
      </w:r>
    </w:p>
    <w:p>
      <w:pPr>
        <w:pStyle w:val="TextBody"/>
        <w:spacing w:lineRule="auto" w:line="273" w:before="240" w:after="0"/>
        <w:jc w:val="left"/>
        <w:rPr>
          <w:rFonts w:ascii="Times New Roman" w:hAnsi="Times New Roman"/>
          <w:sz w:val="20"/>
        </w:rPr>
      </w:pPr>
      <w:r>
        <w:rPr>
          <w:rFonts w:ascii="Times New Roman" w:hAnsi="Times New Roman"/>
          <w:b w:val="false"/>
          <w:sz w:val="20"/>
        </w:rPr>
        <w:t>We are subject to supplier concentration risk from our suppliers. We source our critical raw materials from a sole source supplier, Sutro Biopharma, Inc. (“Sutro Biopharma”). We also use one contract manufacturing organization (“CMO”), Lonza Ltd. (“Lonza”), to handle most of our manufacturing activities. If we were to experience disruptions in raw materials supplied by Sutro Biopharma, or in manufacturing activities at Lonza, we may experience significant delays in our product development timelines and may incur substantial costs to secure alternative sources of raw materials or manufacturing.</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future results of operations involve a number of other risks and uncertainties. Factors that could affect our future operating results and cause actual results to vary materially from expectations include, but are not limited to: our early stages of clinical vaccine development; our ability to advance vaccine candidates into, and successfully complete, clinical trials on the timelines we project; our ability to adequately demonstrate sufficient safety and efficacy of our vaccine candidates; our ability to enroll subjects in our ongoing and future clinical trials; our ability to successfully manufacture and supply our vaccine candidates for clinical trials; our ability to obtain additional capital to finance our operations; our ability to obtain, maintain and protect our intellectual property rights; developments relating to our competitors and our industry, including competing vaccine candidates; general and market conditions; and other risks and uncertainties, including those more fully described in the “Risk Factors” section of this Annual Report on Form 10-K.</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i/>
          <w:sz w:val="20"/>
        </w:rPr>
        <w:t>Segment and Geographical Information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operate and manage our business as one</w:t>
      </w:r>
      <w:r>
        <w:rPr>
          <w:rFonts w:ascii="Times New Roman" w:hAnsi="Times New Roman"/>
          <w:sz w:val="20"/>
        </w:rPr>
        <w:t xml:space="preserve"> </w:t>
      </w:r>
      <w:r>
        <w:rPr>
          <w:rFonts w:ascii="Times New Roman" w:hAnsi="Times New Roman"/>
          <w:b w:val="false"/>
          <w:sz w:val="20"/>
        </w:rPr>
        <w:t>reportable and operating segment. Our chief executive officer, who is the chief operating decision maker, reviews financial information on an aggregate basis for purposes of allocating resources and evaluating financial performance. All of our long-lived assets are based in the United States. Long-lived assets are comprised of property and equipment.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Cash, Cash Equivalents and Restricted Cash</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consider all highly liquid investments purchased with original maturities of three months or less from the date of purchase to be cash and cash equivalents. Cash equivalents consist primarily of amounts invested in money market accounts and commercial paper and are stated at their fair values. Restricted cash consists of a standby letter of credit, which was issued in the first quarter of 2021, that serves as collateral for the lease agreement for our new corporate headquarters. Cash, cash equivalents and restricted cash as reported within the statement of cash flows consisted of the following:</w:t>
      </w:r>
    </w:p>
    <w:p>
      <w:pPr>
        <w:pStyle w:val="TextBody"/>
        <w:spacing w:lineRule="auto" w:line="273" w:before="0" w:after="0"/>
        <w:jc w:val="left"/>
        <w:rPr/>
      </w:pPr>
      <w:r>
        <w:rPr/>
        <w:t> </w:t>
      </w:r>
    </w:p>
    <w:tbl>
      <w:tblPr>
        <w:tblW w:w="7198" w:type="dxa"/>
        <w:jc w:val="left"/>
        <w:tblInd w:w="0" w:type="dxa"/>
        <w:tblCellMar>
          <w:top w:w="28" w:type="dxa"/>
          <w:left w:w="28" w:type="dxa"/>
          <w:bottom w:w="28" w:type="dxa"/>
          <w:right w:w="28" w:type="dxa"/>
        </w:tblCellMar>
      </w:tblPr>
      <w:tblGrid>
        <w:gridCol w:w="3511"/>
        <w:gridCol w:w="146"/>
        <w:gridCol w:w="211"/>
        <w:gridCol w:w="676"/>
        <w:gridCol w:w="146"/>
        <w:gridCol w:w="146"/>
        <w:gridCol w:w="211"/>
        <w:gridCol w:w="781"/>
        <w:gridCol w:w="146"/>
        <w:gridCol w:w="146"/>
        <w:gridCol w:w="211"/>
        <w:gridCol w:w="676"/>
        <w:gridCol w:w="191"/>
      </w:tblGrid>
      <w:tr>
        <w:trPr/>
        <w:tc>
          <w:tcPr>
            <w:tcW w:w="3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50"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Years Ended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2019</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50" w:type="dxa"/>
            <w:gridSpan w:val="10"/>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(in thousands)</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68,985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386,200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58,976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69,856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386,200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58,976</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40" w:after="0"/>
        <w:jc w:val="left"/>
        <w:rPr>
          <w:rFonts w:ascii="Times New Roman" w:hAnsi="Times New Roman"/>
          <w:sz w:val="20"/>
        </w:rPr>
      </w:pPr>
      <w:r>
        <w:rPr>
          <w:rFonts w:ascii="Times New Roman" w:hAnsi="Times New Roman"/>
          <w:b/>
          <w:i/>
          <w:sz w:val="20"/>
        </w:rPr>
        <w:t>Investments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investments have been classified and accounted for as available-for-sale securities. Our investments consist of U.S. Treasury securities, U.S. government agency securities, corporate debt, commercial paper and asset-backed securities. These securities are recorded on the balance sheets at fair value. Unrealized gains and losses on these securities are included as a separate component of accumulated other comprehensive loss. The cost of investment securities is adjusted for amortization of premiums and accretion of discounts to maturity. Such amortization and accretion are included in other income (expense), net. Realized gains and losses and declines in fair value judged to be other-than-temporary, if any, are also included in other income (expense), net. We evaluate securities for other-than-temporary impairment at the balance sheet date. Declines in fair value determined to be other-than-temporary are included in other income (expense), net. We classify our investments as short or long term primarily based on the remaining contractual maturity of the securities.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Deferred Offering Costs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Deferred offering costs consist of fees and expenses incurred in connection with the sale of our common stock in equity transactions, including legal, accounting, printing and other issuance-related costs. Prior to the completion of equity transactions, deferred offering costs are included in Other assets on the balance sheet. In connection with and as of the closing of equity transactions, these costs are reclassified to Additional paid-in capital, representing a reduction to the gross proceeds. As of December 31, 2020, $3.4</w:t>
      </w:r>
      <w:r>
        <w:rPr>
          <w:rFonts w:ascii="Times New Roman" w:hAnsi="Times New Roman"/>
          <w:sz w:val="20"/>
        </w:rPr>
        <w:t xml:space="preserve"> </w:t>
      </w:r>
      <w:r>
        <w:rPr>
          <w:rFonts w:ascii="Times New Roman" w:hAnsi="Times New Roman"/>
          <w:b w:val="false"/>
          <w:sz w:val="20"/>
        </w:rPr>
        <w:t>million of IPO-related costs were included in the Additional paid-in capital line item on the balance sheet. As of December 31, 2021 and 2020, $0.5</w:t>
      </w:r>
      <w:r>
        <w:rPr>
          <w:rFonts w:ascii="Times New Roman" w:hAnsi="Times New Roman"/>
          <w:sz w:val="20"/>
        </w:rPr>
        <w:t xml:space="preserve"> </w:t>
      </w:r>
      <w:r>
        <w:rPr>
          <w:rFonts w:ascii="Times New Roman" w:hAnsi="Times New Roman"/>
          <w:b w:val="false"/>
          <w:sz w:val="20"/>
        </w:rPr>
        <w:t>million and $0.1</w:t>
      </w:r>
      <w:r>
        <w:rPr>
          <w:rFonts w:ascii="Times New Roman" w:hAnsi="Times New Roman"/>
          <w:sz w:val="20"/>
        </w:rPr>
        <w:t xml:space="preserve"> </w:t>
      </w:r>
      <w:r>
        <w:rPr>
          <w:rFonts w:ascii="Times New Roman" w:hAnsi="Times New Roman"/>
          <w:b w:val="false"/>
          <w:sz w:val="20"/>
        </w:rPr>
        <w:t>million of deferred offering costs, respectively, were included in Other assets on the balance sheet.</w:t>
      </w:r>
    </w:p>
    <w:p>
      <w:pPr>
        <w:pStyle w:val="TextBody"/>
        <w:spacing w:lineRule="auto" w:line="273" w:before="240" w:after="0"/>
        <w:jc w:val="left"/>
        <w:rPr>
          <w:rFonts w:ascii="Times New Roman" w:hAnsi="Times New Roman"/>
          <w:sz w:val="20"/>
        </w:rPr>
      </w:pPr>
      <w:r>
        <w:rPr>
          <w:rFonts w:ascii="Times New Roman" w:hAnsi="Times New Roman"/>
          <w:b/>
          <w:i/>
          <w:sz w:val="20"/>
        </w:rPr>
        <w:t>Property and Equipment, Net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Property and equipment are stated at cost, less accumulated depreciation and amortization. Depreciation is computed using the straight-line method over the estimated useful lives of the assets, generally three</w:t>
      </w:r>
      <w:r>
        <w:rPr>
          <w:rFonts w:ascii="Times New Roman" w:hAnsi="Times New Roman"/>
          <w:sz w:val="20"/>
        </w:rPr>
        <w:t xml:space="preserve"> </w:t>
      </w:r>
      <w:r>
        <w:rPr>
          <w:rFonts w:ascii="Times New Roman" w:hAnsi="Times New Roman"/>
          <w:b w:val="false"/>
          <w:sz w:val="20"/>
        </w:rPr>
        <w:t>to five years. Leasehold improvements are amortized over the shorter of the expected life or lease term. Repairs and maintenance expenditures, which are not considered improvements and do not extend the useful life of property and equipment, are expensed as incurred. When assets are retired or otherwise disposed of, the cost and related accumulated depreciation and amortization are removed from the balance sheet and the resulting gain or loss is reflected in the statements of operations in the period realized.</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130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i/>
          <w:sz w:val="20"/>
        </w:rPr>
      </w:pPr>
      <w:r>
        <w:rPr>
          <w:rFonts w:ascii="Times New Roman" w:hAnsi="Times New Roman"/>
          <w:b/>
          <w:i/>
          <w:sz w:val="20"/>
        </w:rPr>
        <w:t>Leases</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Under Financial Accounting Standards Board (FASB) Accounting Standards Update (“ASU”) No. 2016-02, </w:t>
      </w:r>
      <w:r>
        <w:rPr>
          <w:rFonts w:ascii="Times New Roman" w:hAnsi="Times New Roman"/>
          <w:b w:val="false"/>
          <w:i/>
          <w:sz w:val="20"/>
        </w:rPr>
        <w:t>Leases (Topic 842)</w:t>
      </w:r>
      <w:r>
        <w:rPr>
          <w:rFonts w:ascii="Times New Roman" w:hAnsi="Times New Roman"/>
          <w:sz w:val="20"/>
        </w:rPr>
        <w:t xml:space="preserve"> </w:t>
      </w:r>
      <w:r>
        <w:rPr>
          <w:rFonts w:ascii="Times New Roman" w:hAnsi="Times New Roman"/>
          <w:b w:val="false"/>
          <w:sz w:val="20"/>
        </w:rPr>
        <w:t>and its associated amendments (“ASC 842”), we determine if an arrangement is a lease at inception. In addition, we determine whether a lease meets the classification criteria of a finance or operating lease at the lease commencement date considering whether: (i) the lease transfers ownership of the underlying asset to the lessee at the end of the lease term; (ii) the lease grants the lessee an option to purchase the underlying asset that the lessee is reasonably certain to exercise; (iii) the lease term is for a major part of the remaining economic life of the underlying asset; (iv) the present value of the sum of the lease payments and residual value guaranteed by the lessee equals or exceeds substantially all of the fair value of the underlying asset; and (v) the underlying asset is such a specialized nature that it is expected to have no alternative use to the lessor at the end of the lease term. As of December 31, 2021, our lease population consisted of real estate operating leases. As of December 31, 2021, we did not have any finance leases.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Operating leases are included in Operating lease right-of-use (ROU) assets, Operating lease liabilities — current and Operating lease liabilities — long term in our balance sheet. ROU assets represent our right to use the underlying assets for the lease term and lease liabilities represent our obligation to make lease payments arising from the leases. Operating lease ROU assets and liabilities are recognized at the lease commencement date based on the present value of lease payments over the lease term. In determining the present value of lease payments, if the rate implicit in the lease is not readily determinable, we use our incremental borrowing rate based on the information available at the lease commencement date. We determine the incremental borrowing rate based on an analysis of corporate bond yields with a credit rating similar to us. The determination of our incremental borrowing rate requires management judgment, including development of a synthetic credit rating and cost of debt, as we currently do not carry any debt. We believe that the estimates used in determining the incremental borrowing rate are reasonable based upon current facts and circumstances. Applying different judgment to the same facts and circumstances could yield a different incremental borrowing rate. The operating lease ROU assets also include adjustments for prepayments and accrued lease payments and exclude lease incentives. ROU assets and lease liabilities may include options to extend or terminate leases if it is reasonably certain that we will exercise such options. Lease payments which are fixed and determinable are amortized as rent and lease expense on a straight-line basis over the expected lease term. Variable lease costs, which are dependent on usage, a rate or index, including common area maintenance charges, are expensed as incurred. Lease agreements that include lease and non-lease components are accounted for as a single lease component. Lease agreements with non-cancelable terms of less than 12 months are not recorded on our balance sheets.</w:t>
      </w:r>
    </w:p>
    <w:p>
      <w:pPr>
        <w:pStyle w:val="TextBody"/>
        <w:spacing w:lineRule="auto" w:line="273" w:before="240" w:after="0"/>
        <w:jc w:val="left"/>
        <w:rPr>
          <w:rFonts w:ascii="Times New Roman" w:hAnsi="Times New Roman"/>
          <w:sz w:val="20"/>
        </w:rPr>
      </w:pPr>
      <w:r>
        <w:rPr>
          <w:rFonts w:ascii="Times New Roman" w:hAnsi="Times New Roman"/>
          <w:b/>
          <w:i/>
          <w:sz w:val="20"/>
        </w:rPr>
        <w:t>Impairment of Long-Lived Assets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review long-lived assets for impairment whenever events or changes in circumstances indicate that the carrying amount of an asset may not be recoverable. Recoverability is measured by comparing the carrying amount to the future undiscounted net cash flows which the assets are expected to generate. If such assets are considered to be impaired, the impairment to be recognized is measured as the amount by which the carrying amount of the assets exceeds the projected discounted future net cash flows generated by the assets. There were $0, $0.3</w:t>
      </w:r>
      <w:r>
        <w:rPr>
          <w:rFonts w:ascii="Times New Roman" w:hAnsi="Times New Roman"/>
          <w:sz w:val="20"/>
        </w:rPr>
        <w:t xml:space="preserve"> </w:t>
      </w:r>
      <w:r>
        <w:rPr>
          <w:rFonts w:ascii="Times New Roman" w:hAnsi="Times New Roman"/>
          <w:b w:val="false"/>
          <w:sz w:val="20"/>
        </w:rPr>
        <w:t>million, and $0</w:t>
      </w:r>
      <w:r>
        <w:rPr>
          <w:rFonts w:ascii="Times New Roman" w:hAnsi="Times New Roman"/>
          <w:sz w:val="20"/>
        </w:rPr>
        <w:t xml:space="preserve"> </w:t>
      </w:r>
      <w:r>
        <w:rPr>
          <w:rFonts w:ascii="Times New Roman" w:hAnsi="Times New Roman"/>
          <w:b w:val="false"/>
          <w:sz w:val="20"/>
        </w:rPr>
        <w:t>of impairments of long-lived assets during the years ended December 31, 2021, 2020 and 2019, respectively.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Fair Value Measurements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Fair value is defined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The carrying amounts of our financial instruments, including cash and cash equivalents, prepaid and other current assets, accounts payable, accrued expenses, and other liabilities, approximate fair value due to their short-term maturities. Prior to their automatic conversion upon our IPO in June 2020, the redeemable convertible preferred stock tranche liability and redeemable convertible preferred stock warrant were carried at fair value (see Note 3).</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131</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i/>
          <w:sz w:val="20"/>
        </w:rPr>
        <w:t>Research and Development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Research and development costs are expensed as incurred. Research and development costs include salaries, stock-based compensation and benefits for employees performing research and development activities, an allocation of facility and overhead expenses, expenses incurred under agreements with consultants, CMOs, contract research organizations (“CROs”) and investigative sites that conduct preclinical studies, other supplies and costs associated with product development efforts, preclinical activities and regulatory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Accrued Research and Development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entered into various agreements with CROs and CMOs. Our research and development accruals, which include accrued manufacturing expenses, are estimated based on the level of services performed, progress of the studies, including the phase or completion of events, and contracted costs. The estimated costs of research and development services provided, but not yet invoiced, are included in accrued expenses on the balance sheet. If the actual timing of the performance of services or the level of effort varies from the original estimates, we will adjust the accrual accordingly. Payments made to CROs or CMOs under these arrangements in advance of the performance of the related services are recorded as prepaid expenses and other current assets until the services are rendered. To date, there have been no material differences between our estimates of such expenses and the amounts actually incurred.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Income Taxes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account for income taxes using the asset and liability method. We recognize deferred tax assets and liabilities for the expected future tax consequences of events that have been included in the financial statements or tax returns. Deferred tax assets and liabilities are determined based on the difference between the financial statements and tax basis of assets and liabilities using enacted tax rates in effect for the year in which the differences are expected to reverse.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evaluating the ability to recover our deferred income tax assets, we consider all available positive and negative evidence, including our operating results, ongoing tax planning and forecasts of future taxable income on a jurisdiction-by-jurisdiction basis. In the event we determine that we would be able to realize our deferred income tax assets in the future in excess of their net recorded amount, we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2021 and 2020, we have recorded a full valuation allowance on our deferred tax assets.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Tax benefits related to uncertain tax positions are recognized when it is more likely than not that a tax position will be sustained during an audit. Interest and penalties related to unrecognized tax benefits are included within the provision for income tax.</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Stock-Based Compensation Expense</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For options granted to employees, non-employees, and directors, stock-based compensation is measured at grant date based on the fair value of the award. We determine the grant-date fair value of the options using the Black-Scholes option-pricing model. The grant-date fair value of awards is amortized over the employees’ requisite service period or the non-employees’ vesting period as the services are rendered. Forfeitures are accounted for as they occur. Additionally, our 2020 Employee Stock Purchase Plan is deemed to be a compensatory plan and is therefore included in stock-based compensation expense.</w:t>
      </w:r>
    </w:p>
    <w:p>
      <w:pPr>
        <w:pStyle w:val="TextBody"/>
        <w:spacing w:lineRule="auto" w:line="273" w:before="240" w:after="0"/>
        <w:jc w:val="left"/>
        <w:rPr>
          <w:rFonts w:ascii="Times New Roman" w:hAnsi="Times New Roman"/>
          <w:sz w:val="20"/>
        </w:rPr>
      </w:pPr>
      <w:r>
        <w:rPr>
          <w:rFonts w:ascii="Times New Roman" w:hAnsi="Times New Roman"/>
          <w:b/>
          <w:i/>
          <w:sz w:val="20"/>
        </w:rPr>
        <w:t>Comprehensive Loss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Comprehensive loss includes net loss and other comprehensive loss for the period. Other comprehensive loss consists of unrealized loss on investments.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132</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i/>
          <w:sz w:val="20"/>
        </w:rPr>
        <w:t>Foreign Currency Transactions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Transactions denominated in foreign currencies are initially measured in U.S. dollars using the exchange rate on the date of the transaction. Foreign currency denominated monetary assets and liabilities are subsequently re-measured at the end of each reporting period using the exchange rate at that date, with the corresponding foreign currency transaction gain or loss recorded in the statements of operations and statements of cash flows. Nonmonetary assets and liabilities are not subsequently re-measured.</w:t>
      </w:r>
    </w:p>
    <w:p>
      <w:pPr>
        <w:pStyle w:val="TextBody"/>
        <w:spacing w:lineRule="auto" w:line="273" w:before="240" w:after="0"/>
        <w:jc w:val="left"/>
        <w:rPr>
          <w:rFonts w:ascii="Times New Roman" w:hAnsi="Times New Roman"/>
          <w:sz w:val="20"/>
        </w:rPr>
      </w:pPr>
      <w:r>
        <w:rPr>
          <w:rFonts w:ascii="Times New Roman" w:hAnsi="Times New Roman"/>
          <w:b/>
          <w:i/>
          <w:sz w:val="20"/>
        </w:rPr>
        <w:t>Net Loss Per Share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redeemable convertible preferred stock warrant, common stock subject to repurchase, and stock options are considered to be potentially dilutive securities.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Basic and diluted net loss attributable to common stockholders per share is presented in conformity with the two-class method required for participating securities as the redeemable convertible preferred stock is considered a participating security. Our participating securities do not have a contractual obligation to share in our losses. As such, the net loss was attributed entirely to common stockholders. Because we have reported a net loss for all periods presented, diluted net loss per common share is the same as basic net loss per common share for those periods.</w:t>
      </w:r>
    </w:p>
    <w:p>
      <w:pPr>
        <w:pStyle w:val="TextBody"/>
        <w:spacing w:lineRule="auto" w:line="273" w:before="240" w:after="0"/>
        <w:jc w:val="left"/>
        <w:rPr>
          <w:rFonts w:ascii="Times New Roman" w:hAnsi="Times New Roman"/>
          <w:b/>
          <w:i/>
          <w:sz w:val="20"/>
        </w:rPr>
      </w:pPr>
      <w:r>
        <w:rPr>
          <w:rFonts w:ascii="Times New Roman" w:hAnsi="Times New Roman"/>
          <w:b/>
          <w:i/>
          <w:sz w:val="20"/>
        </w:rPr>
        <w:t>Recently Adopted Accounting Pronouncements</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In February 2016, the FASB issued ASU 2016-02, </w:t>
      </w:r>
      <w:r>
        <w:rPr>
          <w:rFonts w:ascii="Times New Roman" w:hAnsi="Times New Roman"/>
          <w:b w:val="false"/>
          <w:i/>
          <w:sz w:val="20"/>
        </w:rPr>
        <w:t>Leases (Topic 842)</w:t>
      </w:r>
      <w:r>
        <w:rPr>
          <w:rFonts w:ascii="Times New Roman" w:hAnsi="Times New Roman"/>
          <w:b w:val="false"/>
          <w:sz w:val="20"/>
        </w:rPr>
        <w:t>. ASU 2016-02 was subsequently amended by ASU 2018-01, ASU 2018-10, ASU 2018-11, ASU 2018-20, ASU 2019-01, ASU 2019-10 and ASU 2020-05, which the FASB issued in January 2018, July 2018, July 2018, December 2018, March 2019, November 2019 and June 2020, respectively (collectively, “ASC 842”). ASC 842 requires lessees to recognize leases on the balance sheet and disclose key information about leasing arrangements. The new standard establishes a ROU model that requires a lessee to recognize a ROU asset and a lease liability on the balance sheet for all leases with a term longer than 12 months. Under ASC 842, leases are classified as either finance leases or operating leases, with classification affecting the pattern and classification of expense recognition in the income statement.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early adopted</w:t>
      </w:r>
      <w:r>
        <w:rPr>
          <w:rFonts w:ascii="Times New Roman" w:hAnsi="Times New Roman"/>
          <w:sz w:val="20"/>
        </w:rPr>
        <w:t xml:space="preserve"> </w:t>
      </w:r>
      <w:r>
        <w:rPr>
          <w:rFonts w:ascii="Times New Roman" w:hAnsi="Times New Roman"/>
          <w:b w:val="false"/>
          <w:sz w:val="20"/>
        </w:rPr>
        <w:t>the new standard effective January 1, 2021</w:t>
      </w:r>
      <w:r>
        <w:rPr>
          <w:rFonts w:ascii="Times New Roman" w:hAnsi="Times New Roman"/>
          <w:sz w:val="20"/>
        </w:rPr>
        <w:t xml:space="preserve"> </w:t>
      </w:r>
      <w:r>
        <w:rPr>
          <w:rFonts w:ascii="Times New Roman" w:hAnsi="Times New Roman"/>
          <w:b w:val="false"/>
          <w:sz w:val="20"/>
        </w:rPr>
        <w:t>using the modified retrospective transition approach. Upon adoption on January 1, 2021, we recognized ROU assets and lease liabilities totaling $0.9</w:t>
      </w:r>
      <w:r>
        <w:rPr>
          <w:rFonts w:ascii="Times New Roman" w:hAnsi="Times New Roman"/>
          <w:sz w:val="20"/>
        </w:rPr>
        <w:t xml:space="preserve"> </w:t>
      </w:r>
      <w:r>
        <w:rPr>
          <w:rFonts w:ascii="Times New Roman" w:hAnsi="Times New Roman"/>
          <w:b w:val="false"/>
          <w:sz w:val="20"/>
        </w:rPr>
        <w:t>million and $0.9</w:t>
      </w:r>
      <w:r>
        <w:rPr>
          <w:rFonts w:ascii="Times New Roman" w:hAnsi="Times New Roman"/>
          <w:sz w:val="20"/>
        </w:rPr>
        <w:t xml:space="preserve"> </w:t>
      </w:r>
      <w:r>
        <w:rPr>
          <w:rFonts w:ascii="Times New Roman" w:hAnsi="Times New Roman"/>
          <w:b w:val="false"/>
          <w:sz w:val="20"/>
        </w:rPr>
        <w:t>million, respectively, to reflect the present value of remaining lease payments under existing lease arrangements. The difference between the leased assets and lease liabilities represents the existing deferred rent liabilities balance resulting from historical straight-lining of operating leases for our facilities, which was reclassified upon adoption to reduce the measurement of the leased assets. The balance of our deferred rent liabilities, which was reclassified to reduce the ROU assets upon adoption, was immaterial. We applied the modified retrospective transition approach and did not recast prior periods. Although we applied this approach, we did not have a cumulative effect adjustment to the opening balance of our retained deficit upon adoption. As permitted by the standard, we elected the transition practical expedient package, which among other things, allowed the carryforward of historical lease classifications. For additional details regarding the impact of adoption and disclosure, see Note 5, “Leases," to our financial statements included in Part II, Item 8 of this Annual Report on Form 10-K.</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In December 2019, the FASB issued ASU No. 2019-12, </w:t>
      </w:r>
      <w:r>
        <w:rPr>
          <w:rFonts w:ascii="Times New Roman" w:hAnsi="Times New Roman"/>
          <w:b w:val="false"/>
          <w:i/>
          <w:sz w:val="20"/>
        </w:rPr>
        <w:t>Income Taxes (Topic 740)</w:t>
      </w:r>
      <w:r>
        <w:rPr>
          <w:rFonts w:ascii="Times New Roman" w:hAnsi="Times New Roman"/>
          <w:b w:val="false"/>
          <w:sz w:val="20"/>
        </w:rPr>
        <w:t>. The amendments in ASU 2019-12 simplify the accounting for income taxes by removing certain exceptions to the general principles in Topic 740. The amendments also improve consistent application of and simplify U.S. GAAP or other areas of Topic 740 by clarifying and amending existing guidance. The new standard was effective</w:t>
      </w:r>
      <w:r>
        <w:rPr>
          <w:rFonts w:ascii="Times New Roman" w:hAnsi="Times New Roman"/>
          <w:sz w:val="20"/>
        </w:rPr>
        <w:t xml:space="preserve"> </w:t>
      </w:r>
      <w:r>
        <w:rPr>
          <w:rFonts w:ascii="Times New Roman" w:hAnsi="Times New Roman"/>
          <w:b w:val="false"/>
          <w:sz w:val="20"/>
        </w:rPr>
        <w:t>for us on January 1, 2021</w:t>
      </w:r>
      <w:r>
        <w:rPr>
          <w:rFonts w:ascii="Times New Roman" w:hAnsi="Times New Roman"/>
          <w:sz w:val="20"/>
        </w:rPr>
        <w:t xml:space="preserve"> </w:t>
      </w:r>
      <w:r>
        <w:rPr>
          <w:rFonts w:ascii="Times New Roman" w:hAnsi="Times New Roman"/>
          <w:b w:val="false"/>
          <w:sz w:val="20"/>
        </w:rPr>
        <w:t>and for interim periods within 2021. The adoption of ASU 2019-12 did not</w:t>
      </w:r>
      <w:r>
        <w:rPr>
          <w:rFonts w:ascii="Times New Roman" w:hAnsi="Times New Roman"/>
          <w:sz w:val="20"/>
        </w:rPr>
        <w:t xml:space="preserve"> </w:t>
      </w:r>
      <w:r>
        <w:rPr>
          <w:rFonts w:ascii="Times New Roman" w:hAnsi="Times New Roman"/>
          <w:b w:val="false"/>
          <w:sz w:val="20"/>
        </w:rPr>
        <w:t>have a material impact on our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133</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i/>
          <w:sz w:val="20"/>
        </w:rPr>
        <w:t>Recently Issued Accounting Pronouncements—Not Yet Adopted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In June 2016, the FASB issued ASU 2016-13, </w:t>
      </w:r>
      <w:r>
        <w:rPr>
          <w:rFonts w:ascii="Times New Roman" w:hAnsi="Times New Roman"/>
          <w:b w:val="false"/>
          <w:i/>
          <w:sz w:val="20"/>
        </w:rPr>
        <w:t>Financial Instruments – Credit Losses (Topic 326):</w:t>
      </w:r>
      <w:r>
        <w:rPr>
          <w:rFonts w:ascii="Times New Roman" w:hAnsi="Times New Roman"/>
          <w:sz w:val="20"/>
        </w:rPr>
        <w:t xml:space="preserve"> </w:t>
      </w:r>
      <w:r>
        <w:rPr>
          <w:rFonts w:ascii="Times New Roman" w:hAnsi="Times New Roman"/>
          <w:b w:val="false"/>
          <w:i/>
          <w:sz w:val="20"/>
        </w:rPr>
        <w:t>Measurement of Credit Losses on Financial Instruments</w:t>
      </w:r>
      <w:r>
        <w:rPr>
          <w:rFonts w:ascii="Times New Roman" w:hAnsi="Times New Roman"/>
          <w:sz w:val="20"/>
        </w:rPr>
        <w:t xml:space="preserve"> </w:t>
      </w:r>
      <w:r>
        <w:rPr>
          <w:rFonts w:ascii="Times New Roman" w:hAnsi="Times New Roman"/>
          <w:b w:val="false"/>
          <w:sz w:val="20"/>
        </w:rPr>
        <w:t>and has subsequently issued related amendments, collectively referred to as “Topic 326.” Topic 326 requires that financial assets measured at amortized cost be presented at the net amount expected to be collected. The measurement of expected credit losses is based on historical experience, current conditions and reasonable and supportable forecasts that affect collectability. Topic 326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Topic 326 is effective for fiscal years beginning after December 15, 2022 and interim periods within those fiscal years. Early adoption is permitted. We are currently assessing the impact of this standard to our financial statements and related disclosures.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In November 2021, the FASB issued ASU 2021-10, </w:t>
      </w:r>
      <w:r>
        <w:rPr>
          <w:rFonts w:ascii="Times New Roman" w:hAnsi="Times New Roman"/>
          <w:b w:val="false"/>
          <w:i/>
          <w:sz w:val="20"/>
        </w:rPr>
        <w:t xml:space="preserve">Government Assistance (Topic 832): Disclosure by Business Entities about Government Assistance, </w:t>
      </w:r>
      <w:r>
        <w:rPr>
          <w:rFonts w:ascii="Times New Roman" w:hAnsi="Times New Roman"/>
          <w:b w:val="false"/>
          <w:sz w:val="20"/>
        </w:rPr>
        <w:t xml:space="preserve">which requires disclosures about transactions with a government entity that are accounted for by applying a grant or contribution accounting model by analogy to other accounting guidance, such as a grant model within International Accounting Standard 20, </w:t>
      </w:r>
      <w:r>
        <w:rPr>
          <w:rFonts w:ascii="Times New Roman" w:hAnsi="Times New Roman"/>
          <w:b w:val="false"/>
          <w:i/>
          <w:sz w:val="20"/>
        </w:rPr>
        <w:t>Accounting for Government Grants and Disclosure of Government Assistance</w:t>
      </w:r>
      <w:r>
        <w:rPr>
          <w:rFonts w:ascii="Times New Roman" w:hAnsi="Times New Roman"/>
          <w:b w:val="false"/>
          <w:sz w:val="20"/>
        </w:rPr>
        <w:t xml:space="preserve">, or Subtopic 958-605, </w:t>
      </w:r>
      <w:r>
        <w:rPr>
          <w:rFonts w:ascii="Times New Roman" w:hAnsi="Times New Roman"/>
          <w:b w:val="false"/>
          <w:i/>
          <w:sz w:val="20"/>
        </w:rPr>
        <w:t>Not-For-Profit Entities - Revenue Recognition</w:t>
      </w:r>
      <w:r>
        <w:rPr>
          <w:rFonts w:ascii="Times New Roman" w:hAnsi="Times New Roman"/>
          <w:b w:val="false"/>
          <w:sz w:val="20"/>
        </w:rPr>
        <w:t>. The required disclosures include (i) the nature of the transactions and the related accounting policy used to account for the transactions, (ii) the financial statement line items that are affected by the transactions and (iii) the significant terms and conditions of the transactions, including commitments and contingencies. This standard is effective for annual periods beginning after December 15, 2021, with early adoption and retrospective or prospective application permitted. This standard is effective for us on January 1, 2022 and only impacts annual financial statement footnote disclosures. In Note 11, "Funding Arrangement," to our financial statements included in Part II, Item 8 of this Annual Report on Form 10-K, we included disclosures on our cost-reimbursement research award from CARB-X. Therefore, we do not believe the adoption of this standard will have a material impact on our financial statements.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caps/>
          <w:sz w:val="20"/>
        </w:rPr>
        <w:t xml:space="preserve">3. </w:t>
      </w:r>
      <w:r>
        <w:rPr>
          <w:rFonts w:ascii="Times New Roman" w:hAnsi="Times New Roman"/>
          <w:b/>
          <w:sz w:val="20"/>
        </w:rPr>
        <w:t>Fair Value Measurements and Fair Value of Financial Instruments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Assets and liabilities recorded at fair value on a recurring basis in the balance sheets, as well as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w:t>
      </w:r>
      <w:r>
        <w:rPr>
          <w:rFonts w:ascii="Times New Roman" w:hAnsi="Times New Roman"/>
          <w:caps/>
          <w:sz w:val="20"/>
        </w:rPr>
        <w:t xml:space="preserve"> </w:t>
      </w:r>
      <w:r>
        <w:rPr>
          <w:rFonts w:ascii="Times New Roman" w:hAnsi="Times New Roman"/>
          <w:b w:val="false"/>
          <w:sz w:val="20"/>
        </w:rPr>
        <w:t>upon the sale of an asset or paid to transfer a liability (an exit price) in an orderly transaction between market participants at the reporting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Level 1—</w:t>
      </w:r>
      <w:r>
        <w:rPr>
          <w:rFonts w:ascii="Times New Roman" w:hAnsi="Times New Roman"/>
          <w:b w:val="false"/>
          <w:sz w:val="20"/>
        </w:rPr>
        <w:t>Inputs are unadjusted, quoted prices in active markets for identical assets or liabilities at the measurement date;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Level 2—</w:t>
      </w:r>
      <w:r>
        <w:rPr>
          <w:rFonts w:ascii="Times New Roman" w:hAnsi="Times New Roman"/>
          <w:b w:val="false"/>
          <w:sz w:val="20"/>
        </w:rPr>
        <w:t>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Level</w:t>
      </w:r>
      <w:r>
        <w:rPr>
          <w:rFonts w:ascii="Times New Roman" w:hAnsi="Times New Roman"/>
          <w:caps/>
          <w:sz w:val="20"/>
        </w:rPr>
        <w:t xml:space="preserve"> </w:t>
      </w:r>
      <w:r>
        <w:rPr>
          <w:rFonts w:ascii="Times New Roman" w:hAnsi="Times New Roman"/>
          <w:b/>
          <w:i/>
          <w:caps/>
          <w:sz w:val="20"/>
        </w:rPr>
        <w:t>3</w:t>
      </w:r>
      <w:r>
        <w:rPr>
          <w:rFonts w:ascii="Times New Roman" w:hAnsi="Times New Roman"/>
          <w:caps/>
          <w:sz w:val="20"/>
        </w:rPr>
        <w:t>—</w:t>
      </w:r>
      <w:r>
        <w:rPr>
          <w:rFonts w:ascii="Times New Roman" w:hAnsi="Times New Roman"/>
          <w:b w:val="false"/>
          <w:sz w:val="20"/>
        </w:rPr>
        <w:t>Unobservable inputs that are significant to the measurement of the fair value of the assets or liabilities that are supported by little or no market data.</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134</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Assets and liabilities measured at fair value are classified in their entirety based on the lowest level of input that is significant to the fair value measurement. Our assessment of the significance of a particular input to the fair value measurement in its entirety requires management to make judgments and consider factors specific to the asset or liability. Changes in the ability to observe valuation inputs may result in a reclassification of levels of certain securities within the fair value hierarchy. We recognize transfers into and out of levels within the fair value hierarchy in the period in which the actual event or change in circumstances that caused the transfer occurs.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Level 1 securities consist of highly liquid money market funds for which the carrying amounts approximate their fair values due to their short maturities. U.S. Treasury securities are valued using Level 1 inputs based on unadjusted, quoted prices in active markets that are observable at the measurement date for identical assets or liabilities. Level 2 securities, consisting of corporate debt, commercial paper, U.S. government agency securities and asset-backed securities, are measured based on other observable inputs, including broker or dealer quotations or alternative pricing sources. When quoted prices in active markets for identical assets or liabilities are not available, we rely on non-binding quotes from our investment managers, which are based on proprietary valuation models of independent pricing services. These models generally use inputs such as observable market data, quoted market prices for similar instruments or historical pricing trends of securities relative to our peers. To validate the fair value determinations provided by our investment managers, we review the pricing movement in the context of overall market trends and trading information from our investment managers. In addition, we assess the inputs and methods used in determining the fair value in order to determine the classification of securities in the fair value hierarchy. We had no</w:t>
      </w:r>
      <w:r>
        <w:rPr>
          <w:rFonts w:ascii="Times New Roman" w:hAnsi="Times New Roman"/>
          <w:sz w:val="20"/>
        </w:rPr>
        <w:t xml:space="preserve"> </w:t>
      </w:r>
      <w:r>
        <w:rPr>
          <w:rFonts w:ascii="Times New Roman" w:hAnsi="Times New Roman"/>
          <w:b w:val="false"/>
          <w:sz w:val="20"/>
        </w:rPr>
        <w:t>Level 3 securities either as of December 31, 2021 or 2020.</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There were no</w:t>
      </w:r>
      <w:r>
        <w:rPr>
          <w:rFonts w:ascii="Times New Roman" w:hAnsi="Times New Roman"/>
          <w:sz w:val="20"/>
        </w:rPr>
        <w:t xml:space="preserve"> </w:t>
      </w:r>
      <w:r>
        <w:rPr>
          <w:rFonts w:ascii="Times New Roman" w:hAnsi="Times New Roman"/>
          <w:b w:val="false"/>
          <w:sz w:val="20"/>
        </w:rPr>
        <w:t>transfers within the hierarchies during the years ended December 31, 2021 or 2020.</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135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We invested in money market funds as of December 31, 2020. In January 2021, we started to invest some of our funds in corporate debt, commercial paper, U.S. Treasury securities, U.S. government agency securities and asset-backed securities in addition to money market funds. The following tables set forth our financial instruments measured at fair value on a recurring basis by level within the fair value hierarchy at December 31, 2021 and 2020: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558"/>
        <w:gridCol w:w="1314"/>
        <w:gridCol w:w="146"/>
        <w:gridCol w:w="202"/>
        <w:gridCol w:w="714"/>
        <w:gridCol w:w="146"/>
        <w:gridCol w:w="146"/>
        <w:gridCol w:w="511"/>
        <w:gridCol w:w="906"/>
        <w:gridCol w:w="146"/>
        <w:gridCol w:w="146"/>
        <w:gridCol w:w="456"/>
        <w:gridCol w:w="1020"/>
        <w:gridCol w:w="166"/>
        <w:gridCol w:w="146"/>
        <w:gridCol w:w="196"/>
        <w:gridCol w:w="691"/>
        <w:gridCol w:w="595"/>
      </w:tblGrid>
      <w:tr>
        <w:trPr/>
        <w:tc>
          <w:tcPr>
            <w:tcW w:w="2558"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r>
      <w:tr>
        <w:trPr/>
        <w:tc>
          <w:tcPr>
            <w:tcW w:w="2558" w:type="dxa"/>
            <w:tcBorders/>
            <w:shd w:fill="auto" w:val="clear"/>
            <w:vAlign w:val="center"/>
          </w:tcPr>
          <w:p>
            <w:pPr>
              <w:pStyle w:val="TableContents"/>
              <w:spacing w:lineRule="auto" w:line="252" w:before="0" w:after="0"/>
              <w:ind w:left="0" w:right="0" w:hanging="0"/>
              <w:jc w:val="left"/>
              <w:rPr/>
            </w:pPr>
            <w:r>
              <w:rPr/>
              <w:t> </w:t>
            </w:r>
          </w:p>
        </w:tc>
        <w:tc>
          <w:tcPr>
            <w:tcW w:w="1314"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592"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2021</w:t>
            </w:r>
          </w:p>
        </w:tc>
        <w:tc>
          <w:tcPr>
            <w:tcW w:w="5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558" w:type="dxa"/>
            <w:tcBorders/>
            <w:shd w:fill="auto" w:val="clear"/>
            <w:vAlign w:val="center"/>
          </w:tcPr>
          <w:p>
            <w:pPr>
              <w:pStyle w:val="TableContents"/>
              <w:spacing w:lineRule="auto" w:line="252" w:before="0" w:after="0"/>
              <w:ind w:left="0" w:right="0" w:hanging="0"/>
              <w:jc w:val="left"/>
              <w:rPr/>
            </w:pPr>
            <w:r>
              <w:rPr/>
              <w:t> </w:t>
            </w:r>
          </w:p>
        </w:tc>
        <w:tc>
          <w:tcPr>
            <w:tcW w:w="13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Fair Value</w:t>
              <w:br/>
              <w:t>Hierarchy Level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1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 xml:space="preserve">Gross </w:t>
              <w:br/>
              <w:t>Unrealized 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7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 xml:space="preserve">Gross </w:t>
              <w:br/>
              <w:t>Unrealized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Fair</w:t>
              <w:br/>
              <w:t>Value</w:t>
            </w:r>
          </w:p>
        </w:tc>
        <w:tc>
          <w:tcPr>
            <w:tcW w:w="5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558"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Assets</w:t>
            </w:r>
          </w:p>
        </w:tc>
        <w:tc>
          <w:tcPr>
            <w:tcW w:w="1314"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592" w:type="dxa"/>
            <w:gridSpan w:val="14"/>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(in thousands)</w:t>
            </w:r>
          </w:p>
        </w:tc>
        <w:tc>
          <w:tcPr>
            <w:tcW w:w="595" w:type="dxa"/>
            <w:tcBorders/>
            <w:shd w:fill="auto" w:val="clear"/>
            <w:vAlign w:val="center"/>
          </w:tcPr>
          <w:p>
            <w:pPr>
              <w:pStyle w:val="TableContents"/>
              <w:spacing w:lineRule="auto" w:line="252" w:before="0" w:after="0"/>
              <w:ind w:left="0" w:right="0" w:hanging="0"/>
              <w:jc w:val="center"/>
              <w:rPr/>
            </w:pPr>
            <w:r>
              <w:rPr/>
              <w:t> </w:t>
            </w:r>
          </w:p>
        </w:tc>
      </w:tr>
      <w:tr>
        <w:trPr/>
        <w:tc>
          <w:tcPr>
            <w:tcW w:w="255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Cash and cash equivalents:</w:t>
            </w:r>
          </w:p>
        </w:tc>
        <w:tc>
          <w:tcPr>
            <w:tcW w:w="1314"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16"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17"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76"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shd w:fill="auto" w:val="clear"/>
            <w:vAlign w:val="center"/>
          </w:tcPr>
          <w:p>
            <w:pPr>
              <w:pStyle w:val="TableContents"/>
              <w:spacing w:lineRule="auto" w:line="252" w:before="0" w:after="0"/>
              <w:ind w:left="0" w:right="0" w:hanging="0"/>
              <w:jc w:val="center"/>
              <w:rPr/>
            </w:pPr>
            <w:r>
              <w:rPr/>
              <w:t> </w:t>
            </w:r>
          </w:p>
        </w:tc>
        <w:tc>
          <w:tcPr>
            <w:tcW w:w="595" w:type="dxa"/>
            <w:tcBorders/>
            <w:shd w:fill="auto" w:val="clear"/>
            <w:vAlign w:val="center"/>
          </w:tcPr>
          <w:p>
            <w:pPr>
              <w:pStyle w:val="TableContents"/>
              <w:spacing w:lineRule="auto" w:line="252" w:before="0" w:after="0"/>
              <w:ind w:left="0" w:right="0" w:firstLine="200"/>
              <w:jc w:val="center"/>
              <w:rPr/>
            </w:pPr>
            <w:r>
              <w:rPr/>
              <w:t> </w:t>
            </w:r>
          </w:p>
        </w:tc>
      </w:tr>
      <w:tr>
        <w:trPr/>
        <w:tc>
          <w:tcPr>
            <w:tcW w:w="2558"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Cash</w:t>
            </w:r>
          </w:p>
        </w:tc>
        <w:tc>
          <w:tcPr>
            <w:tcW w:w="1314"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Level 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27,834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0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20"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27,834</w:t>
            </w:r>
          </w:p>
        </w:tc>
        <w:tc>
          <w:tcPr>
            <w:tcW w:w="595" w:type="dxa"/>
            <w:tcBorders/>
            <w:shd w:fill="auto" w:val="clear"/>
            <w:vAlign w:val="center"/>
          </w:tcPr>
          <w:p>
            <w:pPr>
              <w:pStyle w:val="TableContents"/>
              <w:spacing w:lineRule="auto" w:line="252" w:before="0" w:after="0"/>
              <w:ind w:left="0" w:right="0" w:firstLine="200"/>
              <w:jc w:val="left"/>
              <w:rPr/>
            </w:pPr>
            <w:r>
              <w:rPr/>
              <w:t> </w:t>
            </w:r>
          </w:p>
        </w:tc>
      </w:tr>
      <w:tr>
        <w:trPr/>
        <w:tc>
          <w:tcPr>
            <w:tcW w:w="2558"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Money market funds</w:t>
            </w:r>
          </w:p>
        </w:tc>
        <w:tc>
          <w:tcPr>
            <w:tcW w:w="1314"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Level 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2"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17,555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11" w:type="dxa"/>
            <w:tcBorders/>
            <w:shd w:fill="auto" w:val="clear"/>
            <w:vAlign w:val="center"/>
          </w:tcPr>
          <w:p>
            <w:pPr>
              <w:pStyle w:val="TableContents"/>
              <w:spacing w:lineRule="auto" w:line="252" w:before="0" w:after="0"/>
              <w:ind w:left="0" w:right="0" w:hanging="0"/>
              <w:jc w:val="left"/>
              <w:rPr/>
            </w:pPr>
            <w:r>
              <w:rPr/>
              <w:t> </w:t>
            </w:r>
          </w:p>
        </w:tc>
        <w:tc>
          <w:tcPr>
            <w:tcW w:w="90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56" w:type="dxa"/>
            <w:tcBorders/>
            <w:shd w:fill="auto" w:val="clear"/>
            <w:vAlign w:val="center"/>
          </w:tcPr>
          <w:p>
            <w:pPr>
              <w:pStyle w:val="TableContents"/>
              <w:spacing w:lineRule="auto" w:line="252" w:before="0" w:after="0"/>
              <w:ind w:left="0" w:right="0" w:hanging="0"/>
              <w:jc w:val="left"/>
              <w:rPr/>
            </w:pPr>
            <w:r>
              <w:rPr/>
              <w:t> </w:t>
            </w:r>
          </w:p>
        </w:tc>
        <w:tc>
          <w:tcPr>
            <w:tcW w:w="1020"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17,555</w:t>
            </w:r>
          </w:p>
        </w:tc>
        <w:tc>
          <w:tcPr>
            <w:tcW w:w="595" w:type="dxa"/>
            <w:tcBorders/>
            <w:shd w:fill="auto" w:val="clear"/>
            <w:vAlign w:val="center"/>
          </w:tcPr>
          <w:p>
            <w:pPr>
              <w:pStyle w:val="TableContents"/>
              <w:spacing w:lineRule="auto" w:line="252" w:before="0" w:after="0"/>
              <w:ind w:left="0" w:right="0" w:firstLine="200"/>
              <w:jc w:val="left"/>
              <w:rPr/>
            </w:pPr>
            <w:r>
              <w:rPr/>
              <w:t> </w:t>
            </w:r>
          </w:p>
        </w:tc>
      </w:tr>
      <w:tr>
        <w:trPr/>
        <w:tc>
          <w:tcPr>
            <w:tcW w:w="2558"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Commercial paper</w:t>
            </w:r>
          </w:p>
        </w:tc>
        <w:tc>
          <w:tcPr>
            <w:tcW w:w="1314"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Level 2</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23,597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23,596</w:t>
            </w:r>
          </w:p>
        </w:tc>
        <w:tc>
          <w:tcPr>
            <w:tcW w:w="5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300"/>
              <w:jc w:val="left"/>
              <w:rPr/>
            </w:pPr>
            <w:r>
              <w:rPr/>
              <w:t> </w:t>
            </w:r>
          </w:p>
        </w:tc>
      </w:tr>
      <w:tr>
        <w:trPr/>
        <w:tc>
          <w:tcPr>
            <w:tcW w:w="2558" w:type="dxa"/>
            <w:tcBorders/>
            <w:shd w:fill="auto" w:val="clear"/>
            <w:vAlign w:val="center"/>
          </w:tcPr>
          <w:p>
            <w:pPr>
              <w:pStyle w:val="TableContents"/>
              <w:spacing w:lineRule="auto" w:line="252" w:before="0" w:after="0"/>
              <w:ind w:left="300" w:right="0" w:hanging="0"/>
              <w:jc w:val="left"/>
              <w:rPr>
                <w:rFonts w:ascii="Times New Roman" w:hAnsi="Times New Roman"/>
                <w:b w:val="false"/>
                <w:sz w:val="18"/>
              </w:rPr>
            </w:pPr>
            <w:r>
              <w:rPr>
                <w:rFonts w:ascii="Times New Roman" w:hAnsi="Times New Roman"/>
                <w:b w:val="false"/>
                <w:sz w:val="18"/>
              </w:rPr>
              <w:t>Total cash and cash equivalents</w:t>
            </w:r>
          </w:p>
        </w:tc>
        <w:tc>
          <w:tcPr>
            <w:tcW w:w="1314"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68,986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68,985</w:t>
            </w:r>
          </w:p>
        </w:tc>
        <w:tc>
          <w:tcPr>
            <w:tcW w:w="5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55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Investments:</w:t>
            </w:r>
          </w:p>
        </w:tc>
        <w:tc>
          <w:tcPr>
            <w:tcW w:w="1314"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17"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6"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firstLine="200"/>
              <w:jc w:val="left"/>
              <w:rPr/>
            </w:pPr>
            <w:r>
              <w:rPr/>
              <w:t> </w:t>
            </w:r>
          </w:p>
        </w:tc>
      </w:tr>
      <w:tr>
        <w:trPr/>
        <w:tc>
          <w:tcPr>
            <w:tcW w:w="2558"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U.S. Treasury securities</w:t>
            </w:r>
          </w:p>
        </w:tc>
        <w:tc>
          <w:tcPr>
            <w:tcW w:w="1314"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Level 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2"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45,290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11" w:type="dxa"/>
            <w:tcBorders/>
            <w:shd w:fill="auto" w:val="clear"/>
            <w:vAlign w:val="center"/>
          </w:tcPr>
          <w:p>
            <w:pPr>
              <w:pStyle w:val="TableContents"/>
              <w:spacing w:lineRule="auto" w:line="252" w:before="0" w:after="0"/>
              <w:ind w:left="0" w:right="0" w:hanging="0"/>
              <w:jc w:val="left"/>
              <w:rPr/>
            </w:pPr>
            <w:r>
              <w:rPr/>
              <w:t> </w:t>
            </w:r>
          </w:p>
        </w:tc>
        <w:tc>
          <w:tcPr>
            <w:tcW w:w="90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56" w:type="dxa"/>
            <w:tcBorders/>
            <w:shd w:fill="auto" w:val="clear"/>
            <w:vAlign w:val="center"/>
          </w:tcPr>
          <w:p>
            <w:pPr>
              <w:pStyle w:val="TableContents"/>
              <w:spacing w:lineRule="auto" w:line="252" w:before="0" w:after="0"/>
              <w:ind w:left="0" w:right="0" w:hanging="0"/>
              <w:jc w:val="left"/>
              <w:rPr/>
            </w:pPr>
            <w:r>
              <w:rPr/>
              <w:t> </w:t>
            </w:r>
          </w:p>
        </w:tc>
        <w:tc>
          <w:tcPr>
            <w:tcW w:w="102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45,217</w:t>
            </w:r>
          </w:p>
        </w:tc>
        <w:tc>
          <w:tcPr>
            <w:tcW w:w="595" w:type="dxa"/>
            <w:tcBorders/>
            <w:shd w:fill="auto" w:val="clear"/>
            <w:vAlign w:val="center"/>
          </w:tcPr>
          <w:p>
            <w:pPr>
              <w:pStyle w:val="TableContents"/>
              <w:spacing w:lineRule="auto" w:line="252" w:before="0" w:after="0"/>
              <w:ind w:left="0" w:right="0" w:firstLine="200"/>
              <w:jc w:val="left"/>
              <w:rPr/>
            </w:pPr>
            <w:r>
              <w:rPr/>
              <w:t> </w:t>
            </w:r>
          </w:p>
        </w:tc>
      </w:tr>
      <w:tr>
        <w:trPr/>
        <w:tc>
          <w:tcPr>
            <w:tcW w:w="2558"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Commercial paper</w:t>
            </w:r>
          </w:p>
        </w:tc>
        <w:tc>
          <w:tcPr>
            <w:tcW w:w="1314"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Level 2</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2"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61,941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11" w:type="dxa"/>
            <w:tcBorders/>
            <w:shd w:fill="auto" w:val="clear"/>
            <w:vAlign w:val="center"/>
          </w:tcPr>
          <w:p>
            <w:pPr>
              <w:pStyle w:val="TableContents"/>
              <w:spacing w:lineRule="auto" w:line="252" w:before="0" w:after="0"/>
              <w:ind w:left="0" w:right="0" w:hanging="0"/>
              <w:jc w:val="left"/>
              <w:rPr/>
            </w:pPr>
            <w:r>
              <w:rPr/>
              <w:t> </w:t>
            </w:r>
          </w:p>
        </w:tc>
        <w:tc>
          <w:tcPr>
            <w:tcW w:w="90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56" w:type="dxa"/>
            <w:tcBorders/>
            <w:shd w:fill="auto" w:val="clear"/>
            <w:vAlign w:val="center"/>
          </w:tcPr>
          <w:p>
            <w:pPr>
              <w:pStyle w:val="TableContents"/>
              <w:spacing w:lineRule="auto" w:line="252" w:before="0" w:after="0"/>
              <w:ind w:left="0" w:right="0" w:hanging="0"/>
              <w:jc w:val="left"/>
              <w:rPr/>
            </w:pPr>
            <w:r>
              <w:rPr/>
              <w:t> </w:t>
            </w:r>
          </w:p>
        </w:tc>
        <w:tc>
          <w:tcPr>
            <w:tcW w:w="102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61,919</w:t>
            </w:r>
          </w:p>
        </w:tc>
        <w:tc>
          <w:tcPr>
            <w:tcW w:w="595" w:type="dxa"/>
            <w:tcBorders/>
            <w:shd w:fill="auto" w:val="clear"/>
            <w:vAlign w:val="center"/>
          </w:tcPr>
          <w:p>
            <w:pPr>
              <w:pStyle w:val="TableContents"/>
              <w:spacing w:lineRule="auto" w:line="252" w:before="0" w:after="0"/>
              <w:ind w:left="0" w:right="0" w:firstLine="200"/>
              <w:jc w:val="left"/>
              <w:rPr/>
            </w:pPr>
            <w:r>
              <w:rPr/>
              <w:t> </w:t>
            </w:r>
          </w:p>
        </w:tc>
      </w:tr>
      <w:tr>
        <w:trPr/>
        <w:tc>
          <w:tcPr>
            <w:tcW w:w="2558"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Corporate debt</w:t>
            </w:r>
          </w:p>
        </w:tc>
        <w:tc>
          <w:tcPr>
            <w:tcW w:w="1314"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Level 2</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2"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58,498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11" w:type="dxa"/>
            <w:tcBorders/>
            <w:shd w:fill="auto" w:val="clear"/>
            <w:vAlign w:val="center"/>
          </w:tcPr>
          <w:p>
            <w:pPr>
              <w:pStyle w:val="TableContents"/>
              <w:spacing w:lineRule="auto" w:line="252" w:before="0" w:after="0"/>
              <w:ind w:left="0" w:right="0" w:hanging="0"/>
              <w:jc w:val="left"/>
              <w:rPr/>
            </w:pPr>
            <w:r>
              <w:rPr/>
              <w:t> </w:t>
            </w:r>
          </w:p>
        </w:tc>
        <w:tc>
          <w:tcPr>
            <w:tcW w:w="90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56" w:type="dxa"/>
            <w:tcBorders/>
            <w:shd w:fill="auto" w:val="clear"/>
            <w:vAlign w:val="center"/>
          </w:tcPr>
          <w:p>
            <w:pPr>
              <w:pStyle w:val="TableContents"/>
              <w:spacing w:lineRule="auto" w:line="252" w:before="0" w:after="0"/>
              <w:ind w:left="0" w:right="0" w:hanging="0"/>
              <w:jc w:val="left"/>
              <w:rPr/>
            </w:pPr>
            <w:r>
              <w:rPr/>
              <w:t> </w:t>
            </w:r>
          </w:p>
        </w:tc>
        <w:tc>
          <w:tcPr>
            <w:tcW w:w="102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58,424</w:t>
            </w:r>
          </w:p>
        </w:tc>
        <w:tc>
          <w:tcPr>
            <w:tcW w:w="595" w:type="dxa"/>
            <w:tcBorders/>
            <w:shd w:fill="auto" w:val="clear"/>
            <w:vAlign w:val="center"/>
          </w:tcPr>
          <w:p>
            <w:pPr>
              <w:pStyle w:val="TableContents"/>
              <w:spacing w:lineRule="auto" w:line="252" w:before="0" w:after="0"/>
              <w:ind w:left="0" w:right="0" w:firstLine="200"/>
              <w:jc w:val="left"/>
              <w:rPr/>
            </w:pPr>
            <w:r>
              <w:rPr/>
              <w:t> </w:t>
            </w:r>
          </w:p>
        </w:tc>
      </w:tr>
      <w:tr>
        <w:trPr/>
        <w:tc>
          <w:tcPr>
            <w:tcW w:w="2558"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Asset backed securities</w:t>
            </w:r>
          </w:p>
        </w:tc>
        <w:tc>
          <w:tcPr>
            <w:tcW w:w="1314"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Level 2</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2"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13,899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17"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56" w:type="dxa"/>
            <w:tcBorders/>
            <w:shd w:fill="auto" w:val="clear"/>
            <w:vAlign w:val="center"/>
          </w:tcPr>
          <w:p>
            <w:pPr>
              <w:pStyle w:val="TableContents"/>
              <w:spacing w:lineRule="auto" w:line="252" w:before="0" w:after="0"/>
              <w:ind w:left="0" w:right="0" w:hanging="0"/>
              <w:jc w:val="left"/>
              <w:rPr/>
            </w:pPr>
            <w:r>
              <w:rPr/>
              <w:t> </w:t>
            </w:r>
          </w:p>
        </w:tc>
        <w:tc>
          <w:tcPr>
            <w:tcW w:w="102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13,874</w:t>
            </w:r>
          </w:p>
        </w:tc>
        <w:tc>
          <w:tcPr>
            <w:tcW w:w="595" w:type="dxa"/>
            <w:tcBorders/>
            <w:shd w:fill="auto" w:val="clear"/>
            <w:vAlign w:val="center"/>
          </w:tcPr>
          <w:p>
            <w:pPr>
              <w:pStyle w:val="TableContents"/>
              <w:spacing w:lineRule="auto" w:line="252" w:before="0" w:after="0"/>
              <w:ind w:left="0" w:right="0" w:firstLine="200"/>
              <w:jc w:val="left"/>
              <w:rPr/>
            </w:pPr>
            <w:r>
              <w:rPr/>
              <w:t> </w:t>
            </w:r>
          </w:p>
        </w:tc>
      </w:tr>
      <w:tr>
        <w:trPr/>
        <w:tc>
          <w:tcPr>
            <w:tcW w:w="2558"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U.S. government agency securities</w:t>
            </w:r>
          </w:p>
        </w:tc>
        <w:tc>
          <w:tcPr>
            <w:tcW w:w="1314"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Level 2</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24,714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24,668</w:t>
            </w:r>
          </w:p>
        </w:tc>
        <w:tc>
          <w:tcPr>
            <w:tcW w:w="5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300"/>
              <w:jc w:val="left"/>
              <w:rPr/>
            </w:pPr>
            <w:r>
              <w:rPr/>
              <w:t> </w:t>
            </w:r>
          </w:p>
        </w:tc>
      </w:tr>
      <w:tr>
        <w:trPr/>
        <w:tc>
          <w:tcPr>
            <w:tcW w:w="2558" w:type="dxa"/>
            <w:tcBorders/>
            <w:shd w:fill="auto" w:val="clear"/>
            <w:vAlign w:val="center"/>
          </w:tcPr>
          <w:p>
            <w:pPr>
              <w:pStyle w:val="TableContents"/>
              <w:spacing w:lineRule="auto" w:line="252" w:before="0" w:after="0"/>
              <w:ind w:left="300" w:right="0" w:hanging="0"/>
              <w:jc w:val="left"/>
              <w:rPr>
                <w:rFonts w:ascii="Times New Roman" w:hAnsi="Times New Roman"/>
                <w:b w:val="false"/>
                <w:sz w:val="18"/>
              </w:rPr>
            </w:pPr>
            <w:r>
              <w:rPr>
                <w:rFonts w:ascii="Times New Roman" w:hAnsi="Times New Roman"/>
                <w:b w:val="false"/>
                <w:sz w:val="18"/>
              </w:rPr>
              <w:t>Total investments</w:t>
            </w:r>
          </w:p>
        </w:tc>
        <w:tc>
          <w:tcPr>
            <w:tcW w:w="1314"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204,342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204,102</w:t>
            </w:r>
          </w:p>
        </w:tc>
        <w:tc>
          <w:tcPr>
            <w:tcW w:w="5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300"/>
              <w:jc w:val="left"/>
              <w:rPr/>
            </w:pPr>
            <w:r>
              <w:rPr/>
              <w:t> </w:t>
            </w:r>
          </w:p>
        </w:tc>
      </w:tr>
      <w:tr>
        <w:trPr/>
        <w:tc>
          <w:tcPr>
            <w:tcW w:w="2558" w:type="dxa"/>
            <w:tcBorders/>
            <w:shd w:fill="auto" w:val="clear"/>
            <w:vAlign w:val="center"/>
          </w:tcPr>
          <w:p>
            <w:pPr>
              <w:pStyle w:val="TableContents"/>
              <w:spacing w:lineRule="auto" w:line="252" w:before="0" w:after="0"/>
              <w:ind w:left="300" w:right="0" w:hanging="0"/>
              <w:jc w:val="left"/>
              <w:rPr/>
            </w:pPr>
            <w:r>
              <w:rPr/>
              <w:t> </w:t>
            </w:r>
          </w:p>
        </w:tc>
        <w:tc>
          <w:tcPr>
            <w:tcW w:w="1314"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16"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17"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6"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firstLine="400"/>
              <w:jc w:val="left"/>
              <w:rPr/>
            </w:pPr>
            <w:r>
              <w:rPr/>
              <w:t> </w:t>
            </w:r>
          </w:p>
        </w:tc>
      </w:tr>
      <w:tr>
        <w:trPr/>
        <w:tc>
          <w:tcPr>
            <w:tcW w:w="2558" w:type="dxa"/>
            <w:tcBorders/>
            <w:shd w:fill="auto" w:val="clear"/>
            <w:vAlign w:val="center"/>
          </w:tcPr>
          <w:p>
            <w:pPr>
              <w:pStyle w:val="TableContents"/>
              <w:spacing w:lineRule="auto" w:line="252" w:before="0" w:after="0"/>
              <w:ind w:left="400" w:right="0" w:hanging="0"/>
              <w:jc w:val="left"/>
              <w:rPr>
                <w:rFonts w:ascii="Times New Roman" w:hAnsi="Times New Roman"/>
                <w:b w:val="false"/>
                <w:sz w:val="18"/>
              </w:rPr>
            </w:pPr>
            <w:r>
              <w:rPr>
                <w:rFonts w:ascii="Times New Roman" w:hAnsi="Times New Roman"/>
                <w:b w:val="false"/>
                <w:sz w:val="18"/>
              </w:rPr>
              <w:t>Total assets measured at fair value</w:t>
            </w:r>
          </w:p>
        </w:tc>
        <w:tc>
          <w:tcPr>
            <w:tcW w:w="1314"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1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273,328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0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2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273,087</w:t>
            </w:r>
          </w:p>
        </w:tc>
        <w:tc>
          <w:tcPr>
            <w:tcW w:w="59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558" w:type="dxa"/>
            <w:tcBorders/>
            <w:shd w:fill="auto" w:val="clear"/>
            <w:vAlign w:val="center"/>
          </w:tcPr>
          <w:p>
            <w:pPr>
              <w:pStyle w:val="TableContents"/>
              <w:spacing w:lineRule="auto" w:line="252" w:before="0" w:after="0"/>
              <w:ind w:left="0" w:right="0" w:hanging="0"/>
              <w:jc w:val="left"/>
              <w:rPr/>
            </w:pPr>
            <w:r>
              <w:rPr/>
              <w:t> </w:t>
            </w:r>
          </w:p>
        </w:tc>
        <w:tc>
          <w:tcPr>
            <w:tcW w:w="1314"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17"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6"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hanging="0"/>
              <w:jc w:val="left"/>
              <w:rPr/>
            </w:pPr>
            <w:r>
              <w:rPr/>
              <w:t> </w:t>
            </w:r>
          </w:p>
        </w:tc>
      </w:tr>
      <w:tr>
        <w:trPr/>
        <w:tc>
          <w:tcPr>
            <w:tcW w:w="2558" w:type="dxa"/>
            <w:tcBorders/>
            <w:shd w:fill="auto" w:val="clear"/>
            <w:vAlign w:val="center"/>
          </w:tcPr>
          <w:p>
            <w:pPr>
              <w:pStyle w:val="TableContents"/>
              <w:spacing w:lineRule="auto" w:line="252" w:before="0" w:after="0"/>
              <w:ind w:left="0" w:right="0" w:hanging="0"/>
              <w:jc w:val="left"/>
              <w:rPr/>
            </w:pPr>
            <w:r>
              <w:rPr/>
              <w:t> </w:t>
            </w:r>
          </w:p>
        </w:tc>
        <w:tc>
          <w:tcPr>
            <w:tcW w:w="1314"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592"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2020</w:t>
            </w:r>
          </w:p>
        </w:tc>
        <w:tc>
          <w:tcPr>
            <w:tcW w:w="5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558" w:type="dxa"/>
            <w:tcBorders/>
            <w:shd w:fill="auto" w:val="clear"/>
            <w:vAlign w:val="center"/>
          </w:tcPr>
          <w:p>
            <w:pPr>
              <w:pStyle w:val="TableContents"/>
              <w:spacing w:lineRule="auto" w:line="252" w:before="0" w:after="0"/>
              <w:ind w:left="0" w:right="0" w:hanging="0"/>
              <w:jc w:val="left"/>
              <w:rPr/>
            </w:pPr>
            <w:r>
              <w:rPr/>
              <w:t> </w:t>
            </w:r>
          </w:p>
        </w:tc>
        <w:tc>
          <w:tcPr>
            <w:tcW w:w="13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Fair Value</w:t>
              <w:br/>
              <w:t>Hierarchy Level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1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 xml:space="preserve">Gross </w:t>
              <w:br/>
              <w:t>Unrealized 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7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 xml:space="preserve">Gross </w:t>
              <w:br/>
              <w:t>Unrealized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Fair</w:t>
              <w:br/>
              <w:t>Value</w:t>
            </w:r>
          </w:p>
        </w:tc>
        <w:tc>
          <w:tcPr>
            <w:tcW w:w="5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558"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Assets</w:t>
            </w:r>
          </w:p>
        </w:tc>
        <w:tc>
          <w:tcPr>
            <w:tcW w:w="1314"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592" w:type="dxa"/>
            <w:gridSpan w:val="14"/>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(in thousands)</w:t>
            </w:r>
          </w:p>
        </w:tc>
        <w:tc>
          <w:tcPr>
            <w:tcW w:w="595" w:type="dxa"/>
            <w:tcBorders/>
            <w:shd w:fill="auto" w:val="clear"/>
            <w:vAlign w:val="center"/>
          </w:tcPr>
          <w:p>
            <w:pPr>
              <w:pStyle w:val="TableContents"/>
              <w:spacing w:lineRule="auto" w:line="252" w:before="0" w:after="0"/>
              <w:ind w:left="0" w:right="0" w:hanging="0"/>
              <w:jc w:val="center"/>
              <w:rPr/>
            </w:pPr>
            <w:r>
              <w:rPr/>
              <w:t> </w:t>
            </w:r>
          </w:p>
        </w:tc>
      </w:tr>
      <w:tr>
        <w:trPr/>
        <w:tc>
          <w:tcPr>
            <w:tcW w:w="255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Cash and cash equivalents:</w:t>
            </w:r>
          </w:p>
        </w:tc>
        <w:tc>
          <w:tcPr>
            <w:tcW w:w="1314"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16"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17"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76"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shd w:fill="auto" w:val="clear"/>
            <w:vAlign w:val="center"/>
          </w:tcPr>
          <w:p>
            <w:pPr>
              <w:pStyle w:val="TableContents"/>
              <w:spacing w:lineRule="auto" w:line="252" w:before="0" w:after="0"/>
              <w:ind w:left="0" w:right="0" w:hanging="0"/>
              <w:jc w:val="center"/>
              <w:rPr/>
            </w:pPr>
            <w:r>
              <w:rPr/>
              <w:t> </w:t>
            </w:r>
          </w:p>
        </w:tc>
        <w:tc>
          <w:tcPr>
            <w:tcW w:w="595" w:type="dxa"/>
            <w:tcBorders/>
            <w:shd w:fill="auto" w:val="clear"/>
            <w:vAlign w:val="center"/>
          </w:tcPr>
          <w:p>
            <w:pPr>
              <w:pStyle w:val="TableContents"/>
              <w:spacing w:lineRule="auto" w:line="252" w:before="0" w:after="0"/>
              <w:ind w:left="0" w:right="0" w:firstLine="200"/>
              <w:jc w:val="center"/>
              <w:rPr/>
            </w:pPr>
            <w:r>
              <w:rPr/>
              <w:t> </w:t>
            </w:r>
          </w:p>
        </w:tc>
      </w:tr>
      <w:tr>
        <w:trPr/>
        <w:tc>
          <w:tcPr>
            <w:tcW w:w="2558"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Cash</w:t>
            </w:r>
          </w:p>
        </w:tc>
        <w:tc>
          <w:tcPr>
            <w:tcW w:w="1314"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Level 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4,788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0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20"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4,788</w:t>
            </w:r>
          </w:p>
        </w:tc>
        <w:tc>
          <w:tcPr>
            <w:tcW w:w="595" w:type="dxa"/>
            <w:tcBorders/>
            <w:shd w:fill="auto" w:val="clear"/>
            <w:vAlign w:val="center"/>
          </w:tcPr>
          <w:p>
            <w:pPr>
              <w:pStyle w:val="TableContents"/>
              <w:spacing w:lineRule="auto" w:line="252" w:before="0" w:after="0"/>
              <w:ind w:left="0" w:right="0" w:firstLine="200"/>
              <w:jc w:val="left"/>
              <w:rPr/>
            </w:pPr>
            <w:r>
              <w:rPr/>
              <w:t> </w:t>
            </w:r>
          </w:p>
        </w:tc>
      </w:tr>
      <w:tr>
        <w:trPr/>
        <w:tc>
          <w:tcPr>
            <w:tcW w:w="2558"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Money market funds</w:t>
            </w:r>
          </w:p>
        </w:tc>
        <w:tc>
          <w:tcPr>
            <w:tcW w:w="1314"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Level 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381,412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381,412</w:t>
            </w:r>
          </w:p>
        </w:tc>
        <w:tc>
          <w:tcPr>
            <w:tcW w:w="5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2558" w:type="dxa"/>
            <w:tcBorders/>
            <w:shd w:fill="auto" w:val="clear"/>
            <w:vAlign w:val="center"/>
          </w:tcPr>
          <w:p>
            <w:pPr>
              <w:pStyle w:val="TableContents"/>
              <w:spacing w:lineRule="auto" w:line="252" w:before="0" w:after="0"/>
              <w:ind w:left="400" w:right="0" w:hanging="0"/>
              <w:jc w:val="left"/>
              <w:rPr>
                <w:rFonts w:ascii="Times New Roman" w:hAnsi="Times New Roman"/>
                <w:b w:val="false"/>
                <w:sz w:val="18"/>
              </w:rPr>
            </w:pPr>
            <w:r>
              <w:rPr>
                <w:rFonts w:ascii="Times New Roman" w:hAnsi="Times New Roman"/>
                <w:b w:val="false"/>
                <w:sz w:val="18"/>
              </w:rPr>
              <w:t>Total assets measured at fair value</w:t>
            </w:r>
          </w:p>
        </w:tc>
        <w:tc>
          <w:tcPr>
            <w:tcW w:w="1314"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1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386,200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0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2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386,200</w:t>
            </w:r>
          </w:p>
        </w:tc>
        <w:tc>
          <w:tcPr>
            <w:tcW w:w="59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following table presents the contractual maturities of our investments as of December 31, 2021 (in thousands):</w:t>
      </w:r>
    </w:p>
    <w:p>
      <w:pPr>
        <w:pStyle w:val="TextBody"/>
        <w:spacing w:lineRule="auto" w:line="273" w:before="0" w:after="0"/>
        <w:jc w:val="left"/>
        <w:rPr/>
      </w:pPr>
      <w:r>
        <w:rPr/>
        <w:t> </w:t>
      </w:r>
    </w:p>
    <w:tbl>
      <w:tblPr>
        <w:tblW w:w="3943" w:type="dxa"/>
        <w:jc w:val="left"/>
        <w:tblInd w:w="0" w:type="dxa"/>
        <w:tblCellMar>
          <w:top w:w="28" w:type="dxa"/>
          <w:left w:w="28" w:type="dxa"/>
          <w:bottom w:w="28" w:type="dxa"/>
          <w:right w:w="28" w:type="dxa"/>
        </w:tblCellMar>
      </w:tblPr>
      <w:tblGrid>
        <w:gridCol w:w="1906"/>
        <w:gridCol w:w="146"/>
        <w:gridCol w:w="331"/>
        <w:gridCol w:w="1169"/>
        <w:gridCol w:w="391"/>
      </w:tblGrid>
      <w:tr>
        <w:trPr/>
        <w:tc>
          <w:tcPr>
            <w:tcW w:w="19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9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9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19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Due in less than one year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16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176,985</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19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Due in one to five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27,117</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19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16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204,102</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136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caps/>
          <w:sz w:val="20"/>
        </w:rPr>
        <w:t xml:space="preserve">4. </w:t>
      </w:r>
      <w:r>
        <w:rPr>
          <w:rFonts w:ascii="Times New Roman" w:hAnsi="Times New Roman"/>
          <w:b/>
          <w:sz w:val="20"/>
        </w:rPr>
        <w:t>Balance Sheet Details</w:t>
      </w:r>
    </w:p>
    <w:p>
      <w:pPr>
        <w:pStyle w:val="TextBody"/>
        <w:spacing w:lineRule="auto" w:line="273" w:before="240" w:after="0"/>
        <w:jc w:val="left"/>
        <w:rPr>
          <w:rFonts w:ascii="Times New Roman" w:hAnsi="Times New Roman"/>
          <w:sz w:val="20"/>
        </w:rPr>
      </w:pPr>
      <w:r>
        <w:rPr>
          <w:rFonts w:ascii="Times New Roman" w:hAnsi="Times New Roman"/>
          <w:b/>
          <w:sz w:val="20"/>
        </w:rPr>
        <w:t>Property and Equipment, Net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Property and equipment, net as of December 31, 2021 and 2020 consisted of the following:</w:t>
      </w:r>
      <w:r>
        <w:rPr>
          <w:rFonts w:ascii="Times New Roman" w:hAnsi="Times New Roman"/>
          <w:sz w:val="20"/>
        </w:rPr>
        <w:t xml:space="preserve"> </w:t>
      </w:r>
    </w:p>
    <w:p>
      <w:pPr>
        <w:pStyle w:val="TextBody"/>
        <w:spacing w:lineRule="auto" w:line="273" w:before="0" w:after="0"/>
        <w:jc w:val="left"/>
        <w:rPr/>
      </w:pPr>
      <w:r>
        <w:rPr/>
        <w:t> </w:t>
      </w:r>
    </w:p>
    <w:tbl>
      <w:tblPr>
        <w:tblW w:w="6709" w:type="dxa"/>
        <w:jc w:val="left"/>
        <w:tblInd w:w="0" w:type="dxa"/>
        <w:tblCellMar>
          <w:top w:w="28" w:type="dxa"/>
          <w:left w:w="28" w:type="dxa"/>
          <w:bottom w:w="28" w:type="dxa"/>
          <w:right w:w="28" w:type="dxa"/>
        </w:tblCellMar>
      </w:tblPr>
      <w:tblGrid>
        <w:gridCol w:w="4111"/>
        <w:gridCol w:w="146"/>
        <w:gridCol w:w="211"/>
        <w:gridCol w:w="676"/>
        <w:gridCol w:w="166"/>
        <w:gridCol w:w="146"/>
        <w:gridCol w:w="211"/>
        <w:gridCol w:w="631"/>
        <w:gridCol w:w="411"/>
      </w:tblGrid>
      <w:tr>
        <w:trPr/>
        <w:tc>
          <w:tcPr>
            <w:tcW w:w="41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1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4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December 31,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1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1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41"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(in thousands)</w:t>
            </w:r>
          </w:p>
        </w:tc>
        <w:tc>
          <w:tcPr>
            <w:tcW w:w="411" w:type="dxa"/>
            <w:tcBorders/>
            <w:shd w:fill="auto" w:val="clear"/>
            <w:vAlign w:val="center"/>
          </w:tcPr>
          <w:p>
            <w:pPr>
              <w:pStyle w:val="TableContents"/>
              <w:spacing w:lineRule="auto" w:line="252" w:before="0" w:after="0"/>
              <w:ind w:left="0" w:right="0" w:hanging="0"/>
              <w:jc w:val="center"/>
              <w:rPr/>
            </w:pPr>
            <w:r>
              <w:rPr/>
              <w:t> </w:t>
            </w:r>
          </w:p>
        </w:tc>
      </w:tr>
      <w:tr>
        <w:trPr/>
        <w:tc>
          <w:tcPr>
            <w:tcW w:w="41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Furniture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1,619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397</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41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Computers and computer software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111</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41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Lab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9,453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4,739</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41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Leasehold improvements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1,903</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41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Construction in progress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219</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1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property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11,502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7,369</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41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 accumulated depreciation and amortization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(3,548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(4,097</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41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7,954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3,272</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Depreciation and amortization expense for years ended December 31, 2021, 2020 and 2019 was $1.8</w:t>
      </w:r>
      <w:r>
        <w:rPr>
          <w:rFonts w:ascii="Times New Roman" w:hAnsi="Times New Roman"/>
          <w:sz w:val="20"/>
        </w:rPr>
        <w:t xml:space="preserve"> </w:t>
      </w:r>
      <w:r>
        <w:rPr>
          <w:rFonts w:ascii="Times New Roman" w:hAnsi="Times New Roman"/>
          <w:b w:val="false"/>
          <w:sz w:val="20"/>
        </w:rPr>
        <w:t>million, $1.4</w:t>
      </w:r>
      <w:r>
        <w:rPr>
          <w:rFonts w:ascii="Times New Roman" w:hAnsi="Times New Roman"/>
          <w:sz w:val="20"/>
        </w:rPr>
        <w:t xml:space="preserve"> </w:t>
      </w:r>
      <w:r>
        <w:rPr>
          <w:rFonts w:ascii="Times New Roman" w:hAnsi="Times New Roman"/>
          <w:b w:val="false"/>
          <w:sz w:val="20"/>
        </w:rPr>
        <w:t>million and $1.2</w:t>
      </w:r>
      <w:r>
        <w:rPr>
          <w:rFonts w:ascii="Times New Roman" w:hAnsi="Times New Roman"/>
          <w:sz w:val="20"/>
        </w:rPr>
        <w:t xml:space="preserve"> </w:t>
      </w:r>
      <w:r>
        <w:rPr>
          <w:rFonts w:ascii="Times New Roman" w:hAnsi="Times New Roman"/>
          <w:b w:val="false"/>
          <w:sz w:val="20"/>
        </w:rPr>
        <w:t>million respectively, of which $0, $0</w:t>
      </w:r>
      <w:r>
        <w:rPr>
          <w:rFonts w:ascii="Times New Roman" w:hAnsi="Times New Roman"/>
          <w:sz w:val="20"/>
        </w:rPr>
        <w:t xml:space="preserve"> </w:t>
      </w:r>
      <w:r>
        <w:rPr>
          <w:rFonts w:ascii="Times New Roman" w:hAnsi="Times New Roman"/>
          <w:b w:val="false"/>
          <w:sz w:val="20"/>
        </w:rPr>
        <w:t>and $0.2</w:t>
      </w:r>
      <w:r>
        <w:rPr>
          <w:rFonts w:ascii="Times New Roman" w:hAnsi="Times New Roman"/>
          <w:sz w:val="20"/>
        </w:rPr>
        <w:t xml:space="preserve"> </w:t>
      </w:r>
      <w:r>
        <w:rPr>
          <w:rFonts w:ascii="Times New Roman" w:hAnsi="Times New Roman"/>
          <w:b w:val="false"/>
          <w:sz w:val="20"/>
        </w:rPr>
        <w:t>million related to capital lease amortization expense for the years ended December 31, 2021, 2020 and 2019, respectively.</w:t>
      </w:r>
    </w:p>
    <w:p>
      <w:pPr>
        <w:pStyle w:val="TextBody"/>
        <w:spacing w:lineRule="auto" w:line="273" w:before="240" w:after="0"/>
        <w:jc w:val="left"/>
        <w:rPr>
          <w:rFonts w:ascii="Times New Roman" w:hAnsi="Times New Roman"/>
          <w:sz w:val="20"/>
        </w:rPr>
      </w:pPr>
      <w:r>
        <w:rPr>
          <w:rFonts w:ascii="Times New Roman" w:hAnsi="Times New Roman"/>
          <w:b/>
          <w:sz w:val="20"/>
        </w:rPr>
        <w:t>Accrued Expenses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Accrued expenses as of December 31, 2021 and 2020 consisted of the following:</w:t>
      </w:r>
      <w:r>
        <w:rPr>
          <w:rFonts w:ascii="Times New Roman" w:hAnsi="Times New Roman"/>
          <w:sz w:val="20"/>
        </w:rPr>
        <w:t xml:space="preserve"> </w:t>
      </w:r>
    </w:p>
    <w:p>
      <w:pPr>
        <w:pStyle w:val="TextBody"/>
        <w:spacing w:lineRule="auto" w:line="273" w:before="0" w:after="0"/>
        <w:jc w:val="left"/>
        <w:rPr/>
      </w:pPr>
      <w:r>
        <w:rPr/>
        <w:t> </w:t>
      </w:r>
    </w:p>
    <w:tbl>
      <w:tblPr>
        <w:tblW w:w="4519" w:type="dxa"/>
        <w:jc w:val="left"/>
        <w:tblInd w:w="0" w:type="dxa"/>
        <w:tblCellMar>
          <w:top w:w="28" w:type="dxa"/>
          <w:left w:w="28" w:type="dxa"/>
          <w:bottom w:w="28" w:type="dxa"/>
          <w:right w:w="28" w:type="dxa"/>
        </w:tblCellMar>
      </w:tblPr>
      <w:tblGrid>
        <w:gridCol w:w="2026"/>
        <w:gridCol w:w="146"/>
        <w:gridCol w:w="211"/>
        <w:gridCol w:w="571"/>
        <w:gridCol w:w="146"/>
        <w:gridCol w:w="146"/>
        <w:gridCol w:w="211"/>
        <w:gridCol w:w="571"/>
        <w:gridCol w:w="491"/>
      </w:tblGrid>
      <w:tr>
        <w:trPr/>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20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December 31,</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0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0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6"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(in thousands)</w:t>
            </w:r>
          </w:p>
        </w:tc>
        <w:tc>
          <w:tcPr>
            <w:tcW w:w="491" w:type="dxa"/>
            <w:tcBorders/>
            <w:shd w:fill="auto" w:val="clear"/>
            <w:vAlign w:val="center"/>
          </w:tcPr>
          <w:p>
            <w:pPr>
              <w:pStyle w:val="TableContents"/>
              <w:spacing w:lineRule="auto" w:line="252" w:before="0" w:after="0"/>
              <w:ind w:left="0" w:right="0" w:hanging="0"/>
              <w:jc w:val="center"/>
              <w:rPr/>
            </w:pPr>
            <w:r>
              <w:rPr/>
              <w:t> </w:t>
            </w:r>
          </w:p>
        </w:tc>
      </w:tr>
      <w:tr>
        <w:trPr/>
        <w:tc>
          <w:tcPr>
            <w:tcW w:w="20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Preclinical studies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5,039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2,844</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20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Professional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490</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20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accrued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3,348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432</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300"/>
              <w:jc w:val="left"/>
              <w:rPr/>
            </w:pPr>
            <w:r>
              <w:rPr/>
              <w:t> </w:t>
            </w:r>
          </w:p>
        </w:tc>
      </w:tr>
      <w:tr>
        <w:trPr/>
        <w:tc>
          <w:tcPr>
            <w:tcW w:w="2026" w:type="dxa"/>
            <w:tcBorders/>
            <w:shd w:fill="auto" w:val="clear"/>
            <w:vAlign w:val="center"/>
          </w:tcPr>
          <w:p>
            <w:pPr>
              <w:pStyle w:val="TableContents"/>
              <w:spacing w:lineRule="auto" w:line="252" w:before="0" w:after="0"/>
              <w:ind w:left="30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8,787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3,766</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5. Leases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Operating Lease Obligations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July 2016, we entered into a five-year</w:t>
      </w:r>
      <w:r>
        <w:rPr>
          <w:rFonts w:ascii="Times New Roman" w:hAnsi="Times New Roman"/>
          <w:sz w:val="20"/>
        </w:rPr>
        <w:t xml:space="preserve"> </w:t>
      </w:r>
      <w:r>
        <w:rPr>
          <w:rFonts w:ascii="Times New Roman" w:hAnsi="Times New Roman"/>
          <w:b w:val="false"/>
          <w:sz w:val="20"/>
        </w:rPr>
        <w:t>lease agreement for our previous headquarters facility located in Foster City, California. The original term of the lease was from September 1, 2016</w:t>
      </w:r>
      <w:r>
        <w:rPr>
          <w:rFonts w:ascii="Times New Roman" w:hAnsi="Times New Roman"/>
          <w:sz w:val="20"/>
        </w:rPr>
        <w:t xml:space="preserve"> </w:t>
      </w:r>
      <w:r>
        <w:rPr>
          <w:rFonts w:ascii="Times New Roman" w:hAnsi="Times New Roman"/>
          <w:b w:val="false"/>
          <w:sz w:val="20"/>
        </w:rPr>
        <w:t>to August 31, 2021, with two</w:t>
      </w:r>
      <w:r>
        <w:rPr>
          <w:rFonts w:ascii="Times New Roman" w:hAnsi="Times New Roman"/>
          <w:sz w:val="20"/>
        </w:rPr>
        <w:t xml:space="preserve"> </w:t>
      </w:r>
      <w:r>
        <w:rPr>
          <w:rFonts w:ascii="Times New Roman" w:hAnsi="Times New Roman"/>
          <w:b w:val="false"/>
          <w:sz w:val="20"/>
        </w:rPr>
        <w:t>30-month renewal options.</w:t>
      </w:r>
      <w:r>
        <w:rPr>
          <w:rFonts w:ascii="Times New Roman" w:hAnsi="Times New Roman"/>
          <w:sz w:val="20"/>
        </w:rPr>
        <w:t xml:space="preserve"> </w:t>
      </w:r>
      <w:r>
        <w:rPr>
          <w:rFonts w:ascii="Times New Roman" w:hAnsi="Times New Roman"/>
          <w:b w:val="false"/>
          <w:sz w:val="20"/>
        </w:rPr>
        <w:t>In July 2019, we leased another facility in Foster City, California as a result of growth in personnel and lab space requirements. The original term of this lease was from July 1, 2019</w:t>
      </w:r>
      <w:r>
        <w:rPr>
          <w:rFonts w:ascii="Times New Roman" w:hAnsi="Times New Roman"/>
          <w:sz w:val="20"/>
        </w:rPr>
        <w:t xml:space="preserve"> </w:t>
      </w:r>
      <w:r>
        <w:rPr>
          <w:rFonts w:ascii="Times New Roman" w:hAnsi="Times New Roman"/>
          <w:b w:val="false"/>
          <w:sz w:val="20"/>
        </w:rPr>
        <w:t>to October 31, 2021, with no</w:t>
      </w:r>
      <w:r>
        <w:rPr>
          <w:rFonts w:ascii="Times New Roman" w:hAnsi="Times New Roman"/>
          <w:sz w:val="20"/>
        </w:rPr>
        <w:t xml:space="preserve"> </w:t>
      </w:r>
      <w:r>
        <w:rPr>
          <w:rFonts w:ascii="Times New Roman" w:hAnsi="Times New Roman"/>
          <w:b w:val="false"/>
          <w:sz w:val="20"/>
        </w:rPr>
        <w:t>renewal options.</w:t>
      </w:r>
      <w:r>
        <w:rPr>
          <w:rFonts w:ascii="Times New Roman" w:hAnsi="Times New Roman"/>
          <w:sz w:val="20"/>
        </w:rPr>
        <w:t xml:space="preserve"> </w:t>
      </w:r>
      <w:r>
        <w:rPr>
          <w:rFonts w:ascii="Times New Roman" w:hAnsi="Times New Roman"/>
          <w:b w:val="false"/>
          <w:sz w:val="20"/>
        </w:rPr>
        <w:t>In November 2020, we extended the terms of both of these leases for six months</w:t>
      </w:r>
      <w:r>
        <w:rPr>
          <w:rFonts w:ascii="Times New Roman" w:hAnsi="Times New Roman"/>
          <w:sz w:val="20"/>
        </w:rPr>
        <w:t xml:space="preserve"> </w:t>
      </w:r>
      <w:r>
        <w:rPr>
          <w:rFonts w:ascii="Times New Roman" w:hAnsi="Times New Roman"/>
          <w:b w:val="false"/>
          <w:sz w:val="20"/>
        </w:rPr>
        <w:t>to March 1, 2022</w:t>
      </w:r>
      <w:r>
        <w:rPr>
          <w:rFonts w:ascii="Times New Roman" w:hAnsi="Times New Roman"/>
          <w:sz w:val="20"/>
        </w:rPr>
        <w:t xml:space="preserve"> </w:t>
      </w:r>
      <w:r>
        <w:rPr>
          <w:rFonts w:ascii="Times New Roman" w:hAnsi="Times New Roman"/>
          <w:b w:val="false"/>
          <w:sz w:val="20"/>
        </w:rPr>
        <w:t>and April 30, 2022, respectively. In February 2022, we entered into an early termination agreement for one of the facilities in Foster City and terminated our lease on February 12, 2022</w:t>
      </w:r>
      <w:r>
        <w:rPr>
          <w:rFonts w:ascii="Times New Roman" w:hAnsi="Times New Roman"/>
          <w:sz w:val="20"/>
        </w:rPr>
        <w:t xml:space="preserve"> </w:t>
      </w:r>
      <w:r>
        <w:rPr>
          <w:rFonts w:ascii="Times New Roman" w:hAnsi="Times New Roman"/>
          <w:b w:val="false"/>
          <w:sz w:val="20"/>
        </w:rPr>
        <w:t>instead of April 30, 2022. We also leased an office in San Diego, California with a lease term that ended on April 30, 2021.</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137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January 2021, we entered into a lease agreement for our new corporate headquarters facility located in San Carlos, California and a license agreement for temporary lab and office space in Palo Alto, California. The lease term for our new corporate headquarters facility began on January 22, 2021</w:t>
      </w:r>
      <w:r>
        <w:rPr>
          <w:rFonts w:ascii="Times New Roman" w:hAnsi="Times New Roman"/>
          <w:sz w:val="20"/>
        </w:rPr>
        <w:t xml:space="preserve"> </w:t>
      </w:r>
      <w:r>
        <w:rPr>
          <w:rFonts w:ascii="Times New Roman" w:hAnsi="Times New Roman"/>
          <w:b w:val="false"/>
          <w:sz w:val="20"/>
        </w:rPr>
        <w:t>and expires on December 31, 2025. We have two</w:t>
      </w:r>
      <w:r>
        <w:rPr>
          <w:rFonts w:ascii="Times New Roman" w:hAnsi="Times New Roman"/>
          <w:sz w:val="20"/>
        </w:rPr>
        <w:t xml:space="preserve"> </w:t>
      </w:r>
      <w:r>
        <w:rPr>
          <w:rFonts w:ascii="Times New Roman" w:hAnsi="Times New Roman"/>
          <w:b w:val="false"/>
          <w:sz w:val="20"/>
        </w:rPr>
        <w:t>60-month renewal options. The original term of the license agreement for temporary space in Palo Alto terminated when the San Carlos office leasehold improvements were completed and we moved into our new corporate headquarters. We extended the license agreement for the Palo Alto office by 60 days</w:t>
      </w:r>
      <w:r>
        <w:rPr>
          <w:rFonts w:ascii="Times New Roman" w:hAnsi="Times New Roman"/>
          <w:sz w:val="20"/>
        </w:rPr>
        <w:t xml:space="preserve"> </w:t>
      </w:r>
      <w:r>
        <w:rPr>
          <w:rFonts w:ascii="Times New Roman" w:hAnsi="Times New Roman"/>
          <w:b w:val="false"/>
          <w:sz w:val="20"/>
        </w:rPr>
        <w:t>to March 3, 2022</w:t>
      </w:r>
      <w:r>
        <w:rPr>
          <w:rFonts w:ascii="Times New Roman" w:hAnsi="Times New Roman"/>
          <w:sz w:val="20"/>
        </w:rPr>
        <w:t xml:space="preserve"> </w:t>
      </w:r>
      <w:r>
        <w:rPr>
          <w:rFonts w:ascii="Times New Roman" w:hAnsi="Times New Roman"/>
          <w:b w:val="false"/>
          <w:sz w:val="20"/>
        </w:rPr>
        <w:t>to accommodate our relocation plan. These two agreements are accounted for as a combined lease because the contracts were negotiated as a package with the same commercial objective.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early adopted ASC 842 and its associated amendments as of January 1, 2021 using the modified retrospective transition approach by applying the new standard to all leases existing at the date of the initial adoption and not restating comparative periods. We elected the package of practical expedients permitted under the transition guidance within the new standard, which among other things, allowed us to carryforward the historical lease classification of those leases in place as of January 1, 2021. The adoption of ASC 842 resulted in an increase to total assets and liabilities due to the recording of operating lease ROU assets and operating lease liabilities of $0.9</w:t>
      </w:r>
      <w:r>
        <w:rPr>
          <w:rFonts w:ascii="Times New Roman" w:hAnsi="Times New Roman"/>
          <w:sz w:val="20"/>
        </w:rPr>
        <w:t xml:space="preserve"> </w:t>
      </w:r>
      <w:r>
        <w:rPr>
          <w:rFonts w:ascii="Times New Roman" w:hAnsi="Times New Roman"/>
          <w:b w:val="false"/>
          <w:sz w:val="20"/>
        </w:rPr>
        <w:t>million and $0.9</w:t>
      </w:r>
      <w:r>
        <w:rPr>
          <w:rFonts w:ascii="Times New Roman" w:hAnsi="Times New Roman"/>
          <w:sz w:val="20"/>
        </w:rPr>
        <w:t xml:space="preserve"> </w:t>
      </w:r>
      <w:r>
        <w:rPr>
          <w:rFonts w:ascii="Times New Roman" w:hAnsi="Times New Roman"/>
          <w:b w:val="false"/>
          <w:sz w:val="20"/>
        </w:rPr>
        <w:t>million, respectively, as of January 1, 2021. ROU assets and lease liabilities are recognized based on the present value of the fixed and in-substance fixed lease payments over the lease terms at their respective commencement dates. The ROU assets also include any initial direct costs incurred and lease payments made at or before the commencement date and are reduced by lease incentives. In determining the present value of lease payments, since the rate implicit in the lease is generally not readily determinable, we use our incremental borrowing rate, which requires management’s judgment, including for the development of a synthetic credit rating and the cost of debt as we currently do not carry any debt. Variable lease costs, which are dependent on usage, a rate or index, including common area maintenance charges for our real estate leases, are expensed as incurred.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Upon commencement of the Palo Alto lease in March 2021, we recorded a ROU asset and lease liability of $0.3</w:t>
      </w:r>
      <w:r>
        <w:rPr>
          <w:rFonts w:ascii="Times New Roman" w:hAnsi="Times New Roman"/>
          <w:sz w:val="20"/>
        </w:rPr>
        <w:t xml:space="preserve"> </w:t>
      </w:r>
      <w:r>
        <w:rPr>
          <w:rFonts w:ascii="Times New Roman" w:hAnsi="Times New Roman"/>
          <w:b w:val="false"/>
          <w:sz w:val="20"/>
        </w:rPr>
        <w:t>million and $0.3</w:t>
      </w:r>
      <w:r>
        <w:rPr>
          <w:rFonts w:ascii="Times New Roman" w:hAnsi="Times New Roman"/>
          <w:sz w:val="20"/>
        </w:rPr>
        <w:t xml:space="preserve"> </w:t>
      </w:r>
      <w:r>
        <w:rPr>
          <w:rFonts w:ascii="Times New Roman" w:hAnsi="Times New Roman"/>
          <w:b w:val="false"/>
          <w:sz w:val="20"/>
        </w:rPr>
        <w:t>million, respectively. Upon commencement of the San Carlos lease in December 2021, we recorded a ROU asset and lease liability of $28.4</w:t>
      </w:r>
      <w:r>
        <w:rPr>
          <w:rFonts w:ascii="Times New Roman" w:hAnsi="Times New Roman"/>
          <w:sz w:val="20"/>
        </w:rPr>
        <w:t xml:space="preserve"> </w:t>
      </w:r>
      <w:r>
        <w:rPr>
          <w:rFonts w:ascii="Times New Roman" w:hAnsi="Times New Roman"/>
          <w:b w:val="false"/>
          <w:sz w:val="20"/>
        </w:rPr>
        <w:t>million and $12.9</w:t>
      </w:r>
      <w:r>
        <w:rPr>
          <w:rFonts w:ascii="Times New Roman" w:hAnsi="Times New Roman"/>
          <w:sz w:val="20"/>
        </w:rPr>
        <w:t xml:space="preserve"> </w:t>
      </w:r>
      <w:r>
        <w:rPr>
          <w:rFonts w:ascii="Times New Roman" w:hAnsi="Times New Roman"/>
          <w:b w:val="false"/>
          <w:sz w:val="20"/>
        </w:rPr>
        <w:t>million, respectively. Because the Palo Alto and the San Carlos agreements are accounted for as a combined lease, lease payments and lease incentives are allocated between the two</w:t>
      </w:r>
      <w:r>
        <w:rPr>
          <w:rFonts w:ascii="Times New Roman" w:hAnsi="Times New Roman"/>
          <w:sz w:val="20"/>
        </w:rPr>
        <w:t xml:space="preserve"> </w:t>
      </w:r>
      <w:r>
        <w:rPr>
          <w:rFonts w:ascii="Times New Roman" w:hAnsi="Times New Roman"/>
          <w:b w:val="false"/>
          <w:sz w:val="20"/>
        </w:rPr>
        <w:t>leases.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Information related to our ROU assets and related lease liabilities was as follows (dollar amounts in thousands):</w:t>
      </w:r>
    </w:p>
    <w:p>
      <w:pPr>
        <w:pStyle w:val="TextBody"/>
        <w:spacing w:lineRule="auto" w:line="273" w:before="0" w:after="0"/>
        <w:jc w:val="left"/>
        <w:rPr/>
      </w:pPr>
      <w:r>
        <w:rPr/>
        <w:t> </w:t>
      </w:r>
    </w:p>
    <w:tbl>
      <w:tblPr>
        <w:tblW w:w="7333" w:type="dxa"/>
        <w:jc w:val="left"/>
        <w:tblInd w:w="0" w:type="dxa"/>
        <w:tblCellMar>
          <w:top w:w="28" w:type="dxa"/>
          <w:left w:w="28" w:type="dxa"/>
          <w:bottom w:w="28" w:type="dxa"/>
          <w:right w:w="28" w:type="dxa"/>
        </w:tblCellMar>
      </w:tblPr>
      <w:tblGrid>
        <w:gridCol w:w="5701"/>
        <w:gridCol w:w="146"/>
        <w:gridCol w:w="260"/>
        <w:gridCol w:w="835"/>
        <w:gridCol w:w="391"/>
      </w:tblGrid>
      <w:tr>
        <w:trPr/>
        <w:tc>
          <w:tcPr>
            <w:tcW w:w="5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7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57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center"/>
              <w:rPr/>
            </w:pPr>
            <w:r>
              <w:rPr/>
              <w:t> </w:t>
            </w:r>
          </w:p>
        </w:tc>
      </w:tr>
      <w:tr>
        <w:trPr/>
        <w:tc>
          <w:tcPr>
            <w:tcW w:w="570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Cash paid for 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924</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570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Right-of-use assets recognized in exchange for new lease obligations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27,958</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5701" w:type="dxa"/>
            <w:tcBorders/>
            <w:shd w:fill="auto" w:val="clear"/>
            <w:vAlign w:val="center"/>
          </w:tcPr>
          <w:p>
            <w:pPr>
              <w:pStyle w:val="TableContents"/>
              <w:spacing w:lineRule="auto" w:line="252" w:before="0" w:after="0"/>
              <w:ind w:left="20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570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Current 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3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5,276</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570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Non-current 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11,507</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570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16,783</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570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Weighted-average remaining lease term (in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3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3.75</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570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Weighted-average discount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3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w:t>
            </w:r>
          </w:p>
        </w:tc>
        <w:tc>
          <w:tcPr>
            <w:tcW w:w="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138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Maturities of lease liabilities as of December 31, 2021 were as follows:</w:t>
      </w:r>
    </w:p>
    <w:p>
      <w:pPr>
        <w:pStyle w:val="TextBody"/>
        <w:spacing w:lineRule="auto" w:line="273" w:before="0" w:after="0"/>
        <w:jc w:val="left"/>
        <w:rPr/>
      </w:pPr>
      <w:r>
        <w:rPr/>
        <w:t> </w:t>
      </w:r>
    </w:p>
    <w:tbl>
      <w:tblPr>
        <w:tblW w:w="5393" w:type="dxa"/>
        <w:jc w:val="left"/>
        <w:tblInd w:w="0" w:type="dxa"/>
        <w:tblCellMar>
          <w:top w:w="28" w:type="dxa"/>
          <w:left w:w="28" w:type="dxa"/>
          <w:bottom w:w="28" w:type="dxa"/>
          <w:right w:w="28" w:type="dxa"/>
        </w:tblCellMar>
      </w:tblPr>
      <w:tblGrid>
        <w:gridCol w:w="3511"/>
        <w:gridCol w:w="146"/>
        <w:gridCol w:w="267"/>
        <w:gridCol w:w="858"/>
        <w:gridCol w:w="611"/>
      </w:tblGrid>
      <w:tr>
        <w:trPr/>
        <w:tc>
          <w:tcPr>
            <w:tcW w:w="3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Years ending December 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611" w:type="dxa"/>
            <w:tcBorders/>
            <w:shd w:fill="auto" w:val="clear"/>
            <w:vAlign w:val="center"/>
          </w:tcPr>
          <w:p>
            <w:pPr>
              <w:pStyle w:val="TableContents"/>
              <w:spacing w:lineRule="auto" w:line="252" w:before="0" w:after="0"/>
              <w:ind w:left="0" w:right="0" w:firstLine="200"/>
              <w:jc w:val="center"/>
              <w:rPr/>
            </w:pPr>
            <w:r>
              <w:rPr/>
              <w:t> </w:t>
            </w:r>
          </w:p>
        </w:tc>
      </w:tr>
      <w:tr>
        <w:trPr/>
        <w:tc>
          <w:tcPr>
            <w:tcW w:w="3511"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20"/>
              </w:rPr>
              <w:t>2022</w:t>
            </w:r>
            <w:r>
              <w:rPr>
                <w:rFonts w:ascii="Times New Roman" w:hAnsi="Times New Roman"/>
                <w:b w:val="false"/>
                <w:sz w:val="13"/>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(105</w:t>
            </w:r>
          </w:p>
        </w:tc>
        <w:tc>
          <w:tcPr>
            <w:tcW w:w="6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5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7" w:type="dxa"/>
            <w:tcBorders/>
            <w:shd w:fill="auto" w:val="clear"/>
            <w:vAlign w:val="center"/>
          </w:tcPr>
          <w:p>
            <w:pPr>
              <w:pStyle w:val="TableContents"/>
              <w:spacing w:lineRule="auto" w:line="252" w:before="0" w:after="0"/>
              <w:ind w:left="0" w:right="0" w:hanging="0"/>
              <w:jc w:val="left"/>
              <w:rPr/>
            </w:pPr>
            <w:r>
              <w:rPr/>
              <w:t> </w:t>
            </w:r>
          </w:p>
        </w:tc>
        <w:tc>
          <w:tcPr>
            <w:tcW w:w="8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6,639</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35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7" w:type="dxa"/>
            <w:tcBorders/>
            <w:shd w:fill="auto" w:val="clear"/>
            <w:vAlign w:val="center"/>
          </w:tcPr>
          <w:p>
            <w:pPr>
              <w:pStyle w:val="TableContents"/>
              <w:spacing w:lineRule="auto" w:line="252" w:before="0" w:after="0"/>
              <w:ind w:left="0" w:right="0" w:hanging="0"/>
              <w:jc w:val="left"/>
              <w:rPr/>
            </w:pPr>
            <w:r>
              <w:rPr/>
              <w:t> </w:t>
            </w:r>
          </w:p>
        </w:tc>
        <w:tc>
          <w:tcPr>
            <w:tcW w:w="8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6,805</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35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2025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7" w:type="dxa"/>
            <w:tcBorders/>
            <w:shd w:fill="auto" w:val="clear"/>
            <w:vAlign w:val="center"/>
          </w:tcPr>
          <w:p>
            <w:pPr>
              <w:pStyle w:val="TableContents"/>
              <w:spacing w:lineRule="auto" w:line="252" w:before="0" w:after="0"/>
              <w:ind w:left="0" w:right="0" w:hanging="0"/>
              <w:jc w:val="left"/>
              <w:rPr/>
            </w:pPr>
            <w:r>
              <w:rPr/>
              <w:t> </w:t>
            </w:r>
          </w:p>
        </w:tc>
        <w:tc>
          <w:tcPr>
            <w:tcW w:w="8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6,976</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35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Thereafter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351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future undiscounted lease payments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7" w:type="dxa"/>
            <w:tcBorders/>
            <w:shd w:fill="auto" w:val="clear"/>
            <w:vAlign w:val="center"/>
          </w:tcPr>
          <w:p>
            <w:pPr>
              <w:pStyle w:val="TableContents"/>
              <w:spacing w:lineRule="auto" w:line="252" w:before="0" w:after="0"/>
              <w:ind w:left="0" w:right="0" w:hanging="0"/>
              <w:jc w:val="left"/>
              <w:rPr/>
            </w:pPr>
            <w:r>
              <w:rPr/>
              <w:t> </w:t>
            </w:r>
          </w:p>
        </w:tc>
        <w:tc>
          <w:tcPr>
            <w:tcW w:w="8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20,315</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35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Less: Imputed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(3,532</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r>
      <w:tr>
        <w:trPr/>
        <w:tc>
          <w:tcPr>
            <w:tcW w:w="351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16,783</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rFonts w:ascii="Times New Roman" w:hAnsi="Times New Roman"/>
          <w:b w:val="false"/>
          <w:sz w:val="16"/>
        </w:rPr>
      </w:pPr>
      <w:r>
        <w:rPr>
          <w:rFonts w:ascii="Times New Roman" w:hAnsi="Times New Roman"/>
          <w:b w:val="false"/>
          <w:sz w:val="16"/>
        </w:rPr>
        <w:t>_____________________________________________</w:t>
      </w:r>
    </w:p>
    <w:p>
      <w:pPr>
        <w:pStyle w:val="TextBody"/>
        <w:spacing w:lineRule="auto" w:line="273" w:before="0" w:after="0"/>
        <w:jc w:val="left"/>
        <w:rPr>
          <w:rFonts w:ascii="Times New Roman" w:hAnsi="Times New Roman"/>
          <w:sz w:val="20"/>
        </w:rPr>
      </w:pPr>
      <w:r>
        <w:rPr>
          <w:rFonts w:ascii="Times New Roman" w:hAnsi="Times New Roman"/>
          <w:b w:val="false"/>
          <w:sz w:val="20"/>
        </w:rPr>
        <w:t>(1) Maturities for 2022 are net of lease incentives of $0.9</w:t>
      </w:r>
      <w:r>
        <w:rPr>
          <w:rFonts w:ascii="Times New Roman" w:hAnsi="Times New Roman"/>
          <w:sz w:val="20"/>
        </w:rPr>
        <w:t xml:space="preserve"> </w:t>
      </w:r>
      <w:r>
        <w:rPr>
          <w:rFonts w:ascii="Times New Roman" w:hAnsi="Times New Roman"/>
          <w:b w:val="false"/>
          <w:sz w:val="20"/>
        </w:rPr>
        <w:t>million allocated to the Palo Alto office.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Future minimum payments required under operating leases as of December 31, 2020 were as follows:</w:t>
      </w:r>
    </w:p>
    <w:p>
      <w:pPr>
        <w:pStyle w:val="TextBody"/>
        <w:spacing w:lineRule="auto" w:line="273" w:before="0" w:after="0"/>
        <w:jc w:val="left"/>
        <w:rPr/>
      </w:pPr>
      <w:r>
        <w:rPr/>
        <w:t> </w:t>
      </w:r>
    </w:p>
    <w:tbl>
      <w:tblPr>
        <w:tblW w:w="4467" w:type="dxa"/>
        <w:jc w:val="left"/>
        <w:tblInd w:w="0" w:type="dxa"/>
        <w:tblCellMar>
          <w:top w:w="28" w:type="dxa"/>
          <w:left w:w="28" w:type="dxa"/>
          <w:bottom w:w="28" w:type="dxa"/>
          <w:right w:w="28" w:type="dxa"/>
        </w:tblCellMar>
      </w:tblPr>
      <w:tblGrid>
        <w:gridCol w:w="2731"/>
        <w:gridCol w:w="146"/>
        <w:gridCol w:w="374"/>
        <w:gridCol w:w="751"/>
        <w:gridCol w:w="465"/>
      </w:tblGrid>
      <w:tr>
        <w:trPr/>
        <w:tc>
          <w:tcPr>
            <w:tcW w:w="2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r>
      <w:tr>
        <w:trPr/>
        <w:tc>
          <w:tcPr>
            <w:tcW w:w="27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Years ending December 31,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125"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465" w:type="dxa"/>
            <w:tcBorders/>
            <w:shd w:fill="auto" w:val="clear"/>
            <w:tcMar>
              <w:top w:w="0" w:type="dxa"/>
              <w:left w:w="0" w:type="dxa"/>
              <w:bottom w:w="0" w:type="dxa"/>
              <w:right w:w="0" w:type="dxa"/>
            </w:tcMar>
            <w:vAlign w:val="center"/>
          </w:tcPr>
          <w:p>
            <w:pPr>
              <w:pStyle w:val="TableContents"/>
              <w:spacing w:lineRule="auto" w:line="252" w:before="0" w:after="0"/>
              <w:ind w:left="0" w:right="0" w:firstLine="274"/>
              <w:jc w:val="left"/>
              <w:rPr/>
            </w:pPr>
            <w:r>
              <w:rPr/>
              <w:t> </w:t>
            </w:r>
          </w:p>
        </w:tc>
      </w:tr>
      <w:tr>
        <w:trPr/>
        <w:tc>
          <w:tcPr>
            <w:tcW w:w="2731" w:type="dxa"/>
            <w:tcBorders/>
            <w:shd w:fill="auto" w:val="clear"/>
            <w:tcMar>
              <w:top w:w="0" w:type="dxa"/>
              <w:left w:w="0" w:type="dxa"/>
              <w:bottom w:w="0" w:type="dxa"/>
              <w:right w:w="0" w:type="dxa"/>
            </w:tcMar>
            <w:vAlign w:val="center"/>
          </w:tcPr>
          <w:p>
            <w:pPr>
              <w:pStyle w:val="TableContents"/>
              <w:spacing w:lineRule="auto" w:line="252" w:before="0" w:after="0"/>
              <w:ind w:left="274" w:right="0" w:hanging="0"/>
              <w:jc w:val="left"/>
              <w:rPr>
                <w:rFonts w:ascii="Times New Roman" w:hAnsi="Times New Roman"/>
                <w:b w:val="false"/>
                <w:sz w:val="20"/>
              </w:rPr>
            </w:pPr>
            <w:r>
              <w:rPr>
                <w:rFonts w:ascii="Times New Roman" w:hAnsi="Times New Roman"/>
                <w:b w:val="false"/>
                <w:sz w:val="20"/>
              </w:rPr>
              <w:t>2021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7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5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742</w:t>
            </w:r>
          </w:p>
        </w:tc>
        <w:tc>
          <w:tcPr>
            <w:tcW w:w="465" w:type="dxa"/>
            <w:tcBorders/>
            <w:shd w:fill="auto" w:val="clear"/>
            <w:tcMar>
              <w:top w:w="0" w:type="dxa"/>
              <w:left w:w="0" w:type="dxa"/>
              <w:bottom w:w="0" w:type="dxa"/>
              <w:right w:w="0" w:type="dxa"/>
            </w:tcMar>
            <w:vAlign w:val="center"/>
          </w:tcPr>
          <w:p>
            <w:pPr>
              <w:pStyle w:val="TableContents"/>
              <w:spacing w:lineRule="auto" w:line="252" w:before="0" w:after="0"/>
              <w:ind w:left="0" w:right="0" w:firstLine="274"/>
              <w:jc w:val="left"/>
              <w:rPr/>
            </w:pPr>
            <w:r>
              <w:rPr/>
              <w:t> </w:t>
            </w:r>
          </w:p>
        </w:tc>
      </w:tr>
      <w:tr>
        <w:trPr/>
        <w:tc>
          <w:tcPr>
            <w:tcW w:w="2731" w:type="dxa"/>
            <w:tcBorders/>
            <w:shd w:fill="auto" w:val="clear"/>
            <w:tcMar>
              <w:top w:w="0" w:type="dxa"/>
              <w:left w:w="0" w:type="dxa"/>
              <w:bottom w:w="0" w:type="dxa"/>
              <w:right w:w="0" w:type="dxa"/>
            </w:tcMar>
            <w:vAlign w:val="center"/>
          </w:tcPr>
          <w:p>
            <w:pPr>
              <w:pStyle w:val="TableContents"/>
              <w:spacing w:lineRule="auto" w:line="252" w:before="0" w:after="0"/>
              <w:ind w:left="274" w:right="0" w:hanging="0"/>
              <w:jc w:val="left"/>
              <w:rPr>
                <w:rFonts w:ascii="Times New Roman" w:hAnsi="Times New Roman"/>
                <w:b w:val="false"/>
                <w:sz w:val="20"/>
              </w:rPr>
            </w:pPr>
            <w:r>
              <w:rPr>
                <w:rFonts w:ascii="Times New Roman" w:hAnsi="Times New Roman"/>
                <w:b w:val="false"/>
                <w:sz w:val="20"/>
              </w:rPr>
              <w:t>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7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5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190</w:t>
            </w:r>
          </w:p>
        </w:tc>
        <w:tc>
          <w:tcPr>
            <w:tcW w:w="46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27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future minimum payments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74" w:type="dxa"/>
            <w:tcBorders>
              <w:top w:val="single" w:sz="2"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51" w:type="dxa"/>
            <w:tcBorders>
              <w:top w:val="single" w:sz="2"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932</w:t>
            </w:r>
          </w:p>
        </w:tc>
        <w:tc>
          <w:tcPr>
            <w:tcW w:w="465" w:type="dxa"/>
            <w:tcBorders>
              <w:top w:val="single" w:sz="2"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Rent expense recognized under the leases was $3.2</w:t>
      </w:r>
      <w:r>
        <w:rPr>
          <w:rFonts w:ascii="Times New Roman" w:hAnsi="Times New Roman"/>
          <w:sz w:val="20"/>
        </w:rPr>
        <w:t xml:space="preserve"> </w:t>
      </w:r>
      <w:r>
        <w:rPr>
          <w:rFonts w:ascii="Times New Roman" w:hAnsi="Times New Roman"/>
          <w:b w:val="false"/>
          <w:sz w:val="20"/>
        </w:rPr>
        <w:t>million, $0.7</w:t>
      </w:r>
      <w:r>
        <w:rPr>
          <w:rFonts w:ascii="Times New Roman" w:hAnsi="Times New Roman"/>
          <w:sz w:val="20"/>
        </w:rPr>
        <w:t xml:space="preserve"> </w:t>
      </w:r>
      <w:r>
        <w:rPr>
          <w:rFonts w:ascii="Times New Roman" w:hAnsi="Times New Roman"/>
          <w:b w:val="false"/>
          <w:sz w:val="20"/>
        </w:rPr>
        <w:t>million and $0.6</w:t>
      </w:r>
      <w:r>
        <w:rPr>
          <w:rFonts w:ascii="Times New Roman" w:hAnsi="Times New Roman"/>
          <w:sz w:val="20"/>
        </w:rPr>
        <w:t xml:space="preserve"> </w:t>
      </w:r>
      <w:r>
        <w:rPr>
          <w:rFonts w:ascii="Times New Roman" w:hAnsi="Times New Roman"/>
          <w:b w:val="false"/>
          <w:sz w:val="20"/>
        </w:rPr>
        <w:t>million for the years ended December 31, 2021, 2020 and 2019, respectively.</w:t>
      </w:r>
    </w:p>
    <w:p>
      <w:pPr>
        <w:pStyle w:val="TextBody"/>
        <w:spacing w:lineRule="auto" w:line="273" w:before="240" w:after="0"/>
        <w:jc w:val="left"/>
        <w:rPr>
          <w:rFonts w:ascii="Times New Roman" w:hAnsi="Times New Roman"/>
          <w:sz w:val="20"/>
        </w:rPr>
      </w:pPr>
      <w:r>
        <w:rPr>
          <w:rFonts w:ascii="Times New Roman" w:hAnsi="Times New Roman"/>
          <w:b/>
          <w:sz w:val="20"/>
        </w:rPr>
        <w:t>6. Commitments and Contingencies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Legal Contingencies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From time to time, we may become involved in legal proceedings arising from the ordinary course of business. We record a liability for such matters when it is probable that future losses will be incurred and that such losses can be reasonably estimated. Significant judgment by us is required to determine both probability and the estimated amount. We do not believe that there is any litigation or asserted or unasserted claim pending that could, individually or in the aggregate, have a material adverse effect on our results of operations or financial condition.</w:t>
      </w:r>
    </w:p>
    <w:p>
      <w:pPr>
        <w:pStyle w:val="TextBody"/>
        <w:spacing w:lineRule="auto" w:line="273" w:before="240" w:after="0"/>
        <w:jc w:val="left"/>
        <w:rPr>
          <w:rFonts w:ascii="Times New Roman" w:hAnsi="Times New Roman"/>
          <w:sz w:val="20"/>
        </w:rPr>
      </w:pPr>
      <w:r>
        <w:rPr>
          <w:rFonts w:ascii="Times New Roman" w:hAnsi="Times New Roman"/>
          <w:b/>
          <w:sz w:val="20"/>
        </w:rPr>
        <w:t>Guarantees and Indemnifications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the normal course of business, we enter into agreements that contain a variety of representations and provide for general indemnification. Our exposure under these agreements is unknown because it involves claims that may be made against us in the future. To date, we have not paid any claims or been required to defend any action related to our indemnification obligations. As of December 31, 2021, we did not have any material indemnification claims that were probable or reasonably possible and consequently have not recorded related liabilities.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Indemnification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To the extent permitted under Delaware law, we have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could be required to make under these indemnification agreements is not specified in the agreements; however, we have director and officer insurance coverage that reduces our exposure and enables us to recover a portion of any future amounts paid. We have not incurred any material costs as a result of such indemnification and are not currently aware of any indemnification claims.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139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sz w:val="20"/>
        </w:rPr>
        <w:t>Development and Manufacturing Services Agreement</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On October 21, 2016, we entered into a development and manufacturing services agreement, as amended, with Lonza (the “Lonza DMSA”), pursuant to which Lonza is obligated to perform services including manufacturing process development and the manufacture of components for VAX-24, including the polysaccharide antigens, our proprietary eCRM protein carrier and conjugated drug substances.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the September 2017, we and Lonza agreed to defer the completion payments for any stage that commenced after December 31, 2019 or had not been completed by December 31, 2019 until the earlier of the completion of all Investigational New Drug (“IND”)-enabling activities or December 31, 2020. In March 2020, Lonza agreed to defer the completion payments until the earlier of the completion of all IND-enabling activities or April 30, 2021. In April 2021, Lonza further agreed to defer 50% of the completion payments until the earlier of the completion of all IND-enabling activities or December 31, 2021. Pursuant to this agreement, all deferred completion payments were paid in December 2021.</w:t>
      </w:r>
    </w:p>
    <w:p>
      <w:pPr>
        <w:pStyle w:val="TextBody"/>
        <w:spacing w:lineRule="auto" w:line="273" w:before="240" w:after="0"/>
        <w:jc w:val="left"/>
        <w:rPr>
          <w:rFonts w:ascii="Times New Roman" w:hAnsi="Times New Roman"/>
          <w:sz w:val="20"/>
        </w:rPr>
      </w:pPr>
      <w:r>
        <w:rPr>
          <w:rFonts w:ascii="Times New Roman" w:hAnsi="Times New Roman"/>
          <w:b w:val="false"/>
          <w:sz w:val="20"/>
        </w:rPr>
        <w:t>In June 2018, we and Lonza entered into a letter agreement pursuant to which we agreed to certain terms for potential future equity payments in shares of our common stock as partial satisfaction of future obligations to Lonza. This agreement states that the initial pre-IND cash payments would be subject to a specified dollar cap (the “Initial Cash Cap”). After the Initial Cash Cap has been reached, we have the option to make any further pre-IND payments owed to Lonza in cash, in shares of our common stock at then market prevailing prices, or a combination of both, at our election. The Initial Cash Cap had not been reached as of December 31, 2020. As such, no</w:t>
      </w:r>
      <w:r>
        <w:rPr>
          <w:rFonts w:ascii="Times New Roman" w:hAnsi="Times New Roman"/>
          <w:sz w:val="20"/>
        </w:rPr>
        <w:t xml:space="preserve"> </w:t>
      </w:r>
      <w:r>
        <w:rPr>
          <w:rFonts w:ascii="Times New Roman" w:hAnsi="Times New Roman"/>
          <w:b w:val="false"/>
          <w:sz w:val="20"/>
        </w:rPr>
        <w:t>amount was recorded with respect to the potential future payments above the Initial Cash Cap at December 31, 2020. In April 2021, we reached the Initial Cash Cap and notified Lonza that we would be exercising our option to issue approximately $10.0</w:t>
      </w:r>
      <w:r>
        <w:rPr>
          <w:rFonts w:ascii="Times New Roman" w:hAnsi="Times New Roman"/>
          <w:sz w:val="20"/>
        </w:rPr>
        <w:t xml:space="preserve"> </w:t>
      </w:r>
      <w:r>
        <w:rPr>
          <w:rFonts w:ascii="Times New Roman" w:hAnsi="Times New Roman"/>
          <w:b w:val="false"/>
          <w:sz w:val="20"/>
        </w:rPr>
        <w:t>million in shares of our common stock as payment for a portion of pre-IND payments due April 30, 2021. In June 2021, we issued 399,680</w:t>
      </w:r>
      <w:r>
        <w:rPr>
          <w:rFonts w:ascii="Times New Roman" w:hAnsi="Times New Roman"/>
          <w:sz w:val="20"/>
        </w:rPr>
        <w:t xml:space="preserve"> </w:t>
      </w:r>
      <w:r>
        <w:rPr>
          <w:rFonts w:ascii="Times New Roman" w:hAnsi="Times New Roman"/>
          <w:b w:val="false"/>
          <w:sz w:val="20"/>
        </w:rPr>
        <w:t>shares of our common stock to Lonza at a price of $25.02</w:t>
      </w:r>
      <w:r>
        <w:rPr>
          <w:rFonts w:ascii="Times New Roman" w:hAnsi="Times New Roman"/>
          <w:sz w:val="20"/>
        </w:rPr>
        <w:t xml:space="preserve"> </w:t>
      </w:r>
      <w:r>
        <w:rPr>
          <w:rFonts w:ascii="Times New Roman" w:hAnsi="Times New Roman"/>
          <w:b w:val="false"/>
          <w:sz w:val="20"/>
        </w:rPr>
        <w:t>per share to pay for $10.0</w:t>
      </w:r>
      <w:r>
        <w:rPr>
          <w:rFonts w:ascii="Times New Roman" w:hAnsi="Times New Roman"/>
          <w:sz w:val="20"/>
        </w:rPr>
        <w:t xml:space="preserve"> </w:t>
      </w:r>
      <w:r>
        <w:rPr>
          <w:rFonts w:ascii="Times New Roman" w:hAnsi="Times New Roman"/>
          <w:b w:val="false"/>
          <w:sz w:val="20"/>
        </w:rPr>
        <w:t>million of the pre-IND payments due April 30, 2021.</w:t>
      </w:r>
    </w:p>
    <w:p>
      <w:pPr>
        <w:pStyle w:val="TextBody"/>
        <w:spacing w:lineRule="auto" w:line="261" w:before="240" w:after="0"/>
        <w:jc w:val="left"/>
        <w:rPr>
          <w:rFonts w:ascii="Times New Roman" w:hAnsi="Times New Roman"/>
          <w:b w:val="false"/>
          <w:sz w:val="20"/>
        </w:rPr>
      </w:pPr>
      <w:r>
        <w:rPr>
          <w:rFonts w:ascii="Times New Roman" w:hAnsi="Times New Roman"/>
          <w:b w:val="false"/>
          <w:sz w:val="20"/>
        </w:rPr>
        <w:t>In October 2018, we entered into a second development and manufacturing services agreement with Lonza (the “Lonza 2018 DMSA,” and together with the Lonza DMSA, the “Lonza Agreements”), pursuant to which Lonza is obligated to perform services including manufacturing process development and the manufacture and supply of VAX-24 finished drug product.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Under the Lonza Agreements, we are obligated to pay Lonza agreed-upon fees for Lonza’s performance of manufacturing services, and to reimburse Lonza for its out-of-pocket costs associated with purchasing raw materials, plus a customary handling fee. Each Lonza Agreement is managed by a steering committee and any dispute at the steering committee will be resolved by senior executives of the parties.</w:t>
      </w:r>
    </w:p>
    <w:p>
      <w:pPr>
        <w:pStyle w:val="TextBody"/>
        <w:spacing w:lineRule="auto" w:line="273" w:before="240" w:after="0"/>
        <w:jc w:val="left"/>
        <w:rPr>
          <w:rFonts w:ascii="Times New Roman" w:hAnsi="Times New Roman"/>
          <w:sz w:val="20"/>
        </w:rPr>
      </w:pPr>
      <w:r>
        <w:rPr>
          <w:rFonts w:ascii="Times New Roman" w:hAnsi="Times New Roman"/>
          <w:b/>
          <w:caps/>
          <w:sz w:val="20"/>
        </w:rPr>
        <w:t xml:space="preserve">7. </w:t>
      </w:r>
      <w:r>
        <w:rPr>
          <w:rFonts w:ascii="Times New Roman" w:hAnsi="Times New Roman"/>
          <w:b/>
          <w:sz w:val="20"/>
        </w:rPr>
        <w:t>Redeemable Convertible Preferred Stock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There were no</w:t>
      </w:r>
      <w:r>
        <w:rPr>
          <w:rFonts w:ascii="Times New Roman" w:hAnsi="Times New Roman"/>
          <w:sz w:val="20"/>
        </w:rPr>
        <w:t xml:space="preserve"> </w:t>
      </w:r>
      <w:r>
        <w:rPr>
          <w:rFonts w:ascii="Times New Roman" w:hAnsi="Times New Roman"/>
          <w:b w:val="false"/>
          <w:sz w:val="20"/>
        </w:rPr>
        <w:t>shares of redeemable convertible preferred stock authorized or outstanding as of December 31, 2021.</w:t>
      </w:r>
    </w:p>
    <w:p>
      <w:pPr>
        <w:pStyle w:val="TextBody"/>
        <w:spacing w:lineRule="auto" w:line="273" w:before="240" w:after="0"/>
        <w:jc w:val="left"/>
        <w:rPr>
          <w:rFonts w:ascii="Times New Roman" w:hAnsi="Times New Roman"/>
          <w:sz w:val="20"/>
        </w:rPr>
      </w:pPr>
      <w:r>
        <w:rPr>
          <w:rFonts w:ascii="Times New Roman" w:hAnsi="Times New Roman"/>
          <w:b w:val="false"/>
          <w:sz w:val="20"/>
        </w:rPr>
        <w:t>In connection with our IPO in June 2020, the outstanding shares of our Series A, Series B, Series C and Series D Redeemable Convertible Preferred Stock automatically converted into 28,610,337</w:t>
      </w:r>
      <w:r>
        <w:rPr>
          <w:rFonts w:ascii="Times New Roman" w:hAnsi="Times New Roman"/>
          <w:sz w:val="20"/>
        </w:rPr>
        <w:t xml:space="preserve"> </w:t>
      </w:r>
      <w:r>
        <w:rPr>
          <w:rFonts w:ascii="Times New Roman" w:hAnsi="Times New Roman"/>
          <w:b w:val="false"/>
          <w:sz w:val="20"/>
        </w:rPr>
        <w:t>shares of common stock.</w:t>
      </w:r>
    </w:p>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caps/>
          <w:sz w:val="20"/>
        </w:rPr>
        <w:t xml:space="preserve">8. </w:t>
      </w:r>
      <w:r>
        <w:rPr>
          <w:rFonts w:ascii="Times New Roman" w:hAnsi="Times New Roman"/>
          <w:b/>
          <w:sz w:val="20"/>
        </w:rPr>
        <w:t>Common Stock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certificate of incorporation authorizes us to issue up to 500,000,000</w:t>
      </w:r>
      <w:r>
        <w:rPr>
          <w:rFonts w:ascii="Times New Roman" w:hAnsi="Times New Roman"/>
          <w:sz w:val="20"/>
        </w:rPr>
        <w:t xml:space="preserve"> </w:t>
      </w:r>
      <w:r>
        <w:rPr>
          <w:rFonts w:ascii="Times New Roman" w:hAnsi="Times New Roman"/>
          <w:b w:val="false"/>
          <w:sz w:val="20"/>
        </w:rPr>
        <w:t>shares of common stock with $0.001</w:t>
      </w:r>
      <w:r>
        <w:rPr>
          <w:rFonts w:ascii="Times New Roman" w:hAnsi="Times New Roman"/>
          <w:sz w:val="20"/>
        </w:rPr>
        <w:t xml:space="preserve"> </w:t>
      </w:r>
      <w:r>
        <w:rPr>
          <w:rFonts w:ascii="Times New Roman" w:hAnsi="Times New Roman"/>
          <w:b w:val="false"/>
          <w:sz w:val="20"/>
        </w:rPr>
        <w:t>par value per share, of which 53,031,978</w:t>
      </w:r>
      <w:r>
        <w:rPr>
          <w:rFonts w:ascii="Times New Roman" w:hAnsi="Times New Roman"/>
          <w:sz w:val="20"/>
        </w:rPr>
        <w:t xml:space="preserve"> </w:t>
      </w:r>
      <w:r>
        <w:rPr>
          <w:rFonts w:ascii="Times New Roman" w:hAnsi="Times New Roman"/>
          <w:b w:val="false"/>
          <w:sz w:val="20"/>
        </w:rPr>
        <w:t>and 51,071,593</w:t>
      </w:r>
      <w:r>
        <w:rPr>
          <w:rFonts w:ascii="Times New Roman" w:hAnsi="Times New Roman"/>
          <w:sz w:val="20"/>
        </w:rPr>
        <w:t xml:space="preserve"> </w:t>
      </w:r>
      <w:r>
        <w:rPr>
          <w:rFonts w:ascii="Times New Roman" w:hAnsi="Times New Roman"/>
          <w:b w:val="false"/>
          <w:sz w:val="20"/>
        </w:rPr>
        <w:t>shares were issued and outstanding as of December 31, 2021 and 2020, respectively. The holders of our common stock are also entitled to receive dividends whenever funds are legally available, when and if declared by our board of directors. As of December 31, 2021 and 2020, no</w:t>
      </w:r>
      <w:r>
        <w:rPr>
          <w:rFonts w:ascii="Times New Roman" w:hAnsi="Times New Roman"/>
          <w:sz w:val="20"/>
        </w:rPr>
        <w:t xml:space="preserve"> </w:t>
      </w:r>
      <w:r>
        <w:rPr>
          <w:rFonts w:ascii="Times New Roman" w:hAnsi="Times New Roman"/>
          <w:b w:val="false"/>
          <w:sz w:val="20"/>
        </w:rPr>
        <w:t>dividends have been declared. Each share of common stock is entitled to one vote.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140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In July 2021, we entered into an Open Market Sales Agreement</w:t>
      </w:r>
      <w:r>
        <w:rPr>
          <w:rFonts w:ascii="Times New Roman" w:hAnsi="Times New Roman"/>
          <w:b w:val="false"/>
          <w:sz w:val="13"/>
        </w:rPr>
        <w:t>SM</w:t>
      </w:r>
      <w:r>
        <w:rPr>
          <w:rFonts w:ascii="Times New Roman" w:hAnsi="Times New Roman"/>
          <w:sz w:val="20"/>
        </w:rPr>
        <w:t xml:space="preserve"> </w:t>
      </w:r>
      <w:r>
        <w:rPr>
          <w:rFonts w:ascii="Times New Roman" w:hAnsi="Times New Roman"/>
          <w:b w:val="false"/>
          <w:sz w:val="20"/>
        </w:rPr>
        <w:t>(the “ATM Sales Agreement”) with Jefferies LLC (“Jefferies”), which provides that, upon the terms and subject to the conditions and limitations set forth in the ATM Sales Agreement, we</w:t>
      </w:r>
      <w:r>
        <w:rPr>
          <w:rFonts w:ascii="Times New Roman" w:hAnsi="Times New Roman"/>
          <w:sz w:val="20"/>
        </w:rPr>
        <w:t xml:space="preserve"> </w:t>
      </w:r>
      <w:r>
        <w:rPr>
          <w:rFonts w:ascii="Times New Roman" w:hAnsi="Times New Roman"/>
          <w:b w:val="false"/>
          <w:sz w:val="20"/>
        </w:rPr>
        <w:t>may elect to issue and sell, from time to time, shares of our common stock having an aggregate offering price of up to $150.0</w:t>
      </w:r>
      <w:r>
        <w:rPr>
          <w:rFonts w:ascii="Times New Roman" w:hAnsi="Times New Roman"/>
          <w:sz w:val="20"/>
        </w:rPr>
        <w:t xml:space="preserve"> </w:t>
      </w:r>
      <w:r>
        <w:rPr>
          <w:rFonts w:ascii="Times New Roman" w:hAnsi="Times New Roman"/>
          <w:b w:val="false"/>
          <w:sz w:val="20"/>
        </w:rPr>
        <w:t>million through Jefferies acting as our sales agent or principal. We are obligated to pay Jefferies a commission of up to 3.0% of the gross sales proceeds of any common stock sold through Jefferies under the ATM Sales Agreement; however, we are not obligated to make any sales of common stock. As of December 31, 2021, we have sold 567,045</w:t>
      </w:r>
      <w:r>
        <w:rPr>
          <w:rFonts w:ascii="Times New Roman" w:hAnsi="Times New Roman"/>
          <w:sz w:val="20"/>
        </w:rPr>
        <w:t xml:space="preserve"> </w:t>
      </w:r>
      <w:r>
        <w:rPr>
          <w:rFonts w:ascii="Times New Roman" w:hAnsi="Times New Roman"/>
          <w:b w:val="false"/>
          <w:sz w:val="20"/>
        </w:rPr>
        <w:t>shares of our common stock under the ATM Sales Agreement at an average price of $25.26</w:t>
      </w:r>
      <w:r>
        <w:rPr>
          <w:rFonts w:ascii="Times New Roman" w:hAnsi="Times New Roman"/>
          <w:sz w:val="20"/>
        </w:rPr>
        <w:t xml:space="preserve"> </w:t>
      </w:r>
      <w:r>
        <w:rPr>
          <w:rFonts w:ascii="Times New Roman" w:hAnsi="Times New Roman"/>
          <w:b w:val="false"/>
          <w:sz w:val="20"/>
        </w:rPr>
        <w:t>per share for aggregate gross proceeds of $14.3</w:t>
      </w:r>
      <w:r>
        <w:rPr>
          <w:rFonts w:ascii="Times New Roman" w:hAnsi="Times New Roman"/>
          <w:sz w:val="20"/>
        </w:rPr>
        <w:t xml:space="preserve"> </w:t>
      </w:r>
      <w:r>
        <w:rPr>
          <w:rFonts w:ascii="Times New Roman" w:hAnsi="Times New Roman"/>
          <w:b w:val="false"/>
          <w:sz w:val="20"/>
        </w:rPr>
        <w:t>million ($13.9</w:t>
      </w:r>
      <w:r>
        <w:rPr>
          <w:rFonts w:ascii="Times New Roman" w:hAnsi="Times New Roman"/>
          <w:sz w:val="20"/>
        </w:rPr>
        <w:t xml:space="preserve"> </w:t>
      </w:r>
      <w:r>
        <w:rPr>
          <w:rFonts w:ascii="Times New Roman" w:hAnsi="Times New Roman"/>
          <w:b w:val="false"/>
          <w:sz w:val="20"/>
        </w:rPr>
        <w:t>million net of commissions and offering expenses).</w:t>
      </w:r>
    </w:p>
    <w:p>
      <w:pPr>
        <w:pStyle w:val="TextBody"/>
        <w:spacing w:lineRule="auto" w:line="273" w:before="240" w:after="0"/>
        <w:jc w:val="left"/>
        <w:rPr>
          <w:rFonts w:ascii="Times New Roman" w:hAnsi="Times New Roman"/>
          <w:sz w:val="20"/>
        </w:rPr>
      </w:pPr>
      <w:r>
        <w:rPr>
          <w:rFonts w:ascii="Times New Roman" w:hAnsi="Times New Roman"/>
          <w:b w:val="false"/>
          <w:sz w:val="20"/>
        </w:rPr>
        <w:t>Common stock reserved for future issuances under the 2020 Equity Incentive Plan (the “2020 Plan”) and the 2014 Equity Incentive Plan (the “2014 Plan”) was as follows, and excludes 62,382</w:t>
      </w:r>
      <w:r>
        <w:rPr>
          <w:rFonts w:ascii="Times New Roman" w:hAnsi="Times New Roman"/>
          <w:sz w:val="20"/>
        </w:rPr>
        <w:t xml:space="preserve"> </w:t>
      </w:r>
      <w:r>
        <w:rPr>
          <w:rFonts w:ascii="Times New Roman" w:hAnsi="Times New Roman"/>
          <w:b w:val="false"/>
          <w:sz w:val="20"/>
        </w:rPr>
        <w:t>shares issued outside of the 2014 Plan and 2020 Plan:</w:t>
      </w:r>
      <w:r>
        <w:rPr>
          <w:rFonts w:ascii="Times New Roman" w:hAnsi="Times New Roman"/>
          <w:sz w:val="20"/>
        </w:rPr>
        <w:t xml:space="preserve"> </w:t>
      </w:r>
    </w:p>
    <w:p>
      <w:pPr>
        <w:pStyle w:val="TextBody"/>
        <w:spacing w:lineRule="auto" w:line="273" w:before="0" w:after="0"/>
        <w:jc w:val="left"/>
        <w:rPr/>
      </w:pPr>
      <w:r>
        <w:rPr/>
        <w:t> </w:t>
      </w:r>
    </w:p>
    <w:tbl>
      <w:tblPr>
        <w:tblW w:w="7190" w:type="dxa"/>
        <w:jc w:val="left"/>
        <w:tblInd w:w="0" w:type="dxa"/>
        <w:tblCellMar>
          <w:top w:w="28" w:type="dxa"/>
          <w:left w:w="28" w:type="dxa"/>
          <w:bottom w:w="28" w:type="dxa"/>
          <w:right w:w="28" w:type="dxa"/>
        </w:tblCellMar>
      </w:tblPr>
      <w:tblGrid>
        <w:gridCol w:w="3841"/>
        <w:gridCol w:w="146"/>
        <w:gridCol w:w="155"/>
        <w:gridCol w:w="1105"/>
        <w:gridCol w:w="146"/>
        <w:gridCol w:w="146"/>
        <w:gridCol w:w="170"/>
        <w:gridCol w:w="1090"/>
        <w:gridCol w:w="391"/>
      </w:tblGrid>
      <w:tr>
        <w:trPr/>
        <w:tc>
          <w:tcPr>
            <w:tcW w:w="3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84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6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December 31,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6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December 31,</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84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8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Options issued and outstanding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110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5,295,007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 w:type="dxa"/>
            <w:tcBorders/>
            <w:shd w:fill="auto" w:val="clear"/>
            <w:vAlign w:val="center"/>
          </w:tcPr>
          <w:p>
            <w:pPr>
              <w:pStyle w:val="TableContents"/>
              <w:spacing w:lineRule="auto" w:line="252" w:before="0" w:after="0"/>
              <w:ind w:left="0" w:right="0" w:hanging="0"/>
              <w:jc w:val="left"/>
              <w:rPr/>
            </w:pPr>
            <w:r>
              <w:rPr/>
              <w:t> </w:t>
            </w:r>
          </w:p>
        </w:tc>
        <w:tc>
          <w:tcPr>
            <w:tcW w:w="109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5,188,531</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8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Shares available for future stock option grants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0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6,104,756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4,651,149</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384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0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11,399,763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9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9,839,680</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caps/>
          <w:sz w:val="20"/>
        </w:rPr>
        <w:t xml:space="preserve">9. </w:t>
      </w:r>
      <w:r>
        <w:rPr>
          <w:rFonts w:ascii="Times New Roman" w:hAnsi="Times New Roman"/>
          <w:b/>
          <w:sz w:val="20"/>
        </w:rPr>
        <w:t>Warrants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connection with our IPO in June 2020, our outstanding warrants were automatically net exercised for an aggregate 46,869</w:t>
      </w:r>
      <w:r>
        <w:rPr>
          <w:rFonts w:ascii="Times New Roman" w:hAnsi="Times New Roman"/>
          <w:sz w:val="20"/>
        </w:rPr>
        <w:t xml:space="preserve"> </w:t>
      </w:r>
      <w:r>
        <w:rPr>
          <w:rFonts w:ascii="Times New Roman" w:hAnsi="Times New Roman"/>
          <w:b w:val="false"/>
          <w:sz w:val="20"/>
        </w:rPr>
        <w:t>shares of common stock.</w:t>
      </w:r>
    </w:p>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caps/>
          <w:sz w:val="20"/>
        </w:rPr>
        <w:t xml:space="preserve">10. </w:t>
      </w:r>
      <w:r>
        <w:rPr>
          <w:rFonts w:ascii="Times New Roman" w:hAnsi="Times New Roman"/>
          <w:b/>
          <w:sz w:val="20"/>
        </w:rPr>
        <w:t>Equity Incentive Plans</w:t>
      </w:r>
      <w:r>
        <w:rPr>
          <w:rFonts w:ascii="Times New Roman" w:hAnsi="Times New Roman"/>
          <w:sz w:val="20"/>
        </w:rPr>
        <w:t xml:space="preserve"> </w:t>
      </w:r>
    </w:p>
    <w:p>
      <w:pPr>
        <w:pStyle w:val="TextBody"/>
        <w:spacing w:lineRule="auto" w:line="273" w:before="240" w:after="0"/>
        <w:jc w:val="left"/>
        <w:rPr>
          <w:rFonts w:ascii="Times New Roman" w:hAnsi="Times New Roman"/>
          <w:b/>
          <w:sz w:val="20"/>
        </w:rPr>
      </w:pPr>
      <w:r>
        <w:rPr>
          <w:rFonts w:ascii="Times New Roman" w:hAnsi="Times New Roman"/>
          <w:b/>
          <w:sz w:val="20"/>
        </w:rPr>
        <w:t>2020 and 2014 Equity Incentive Plans</w:t>
      </w:r>
    </w:p>
    <w:p>
      <w:pPr>
        <w:pStyle w:val="TextBody"/>
        <w:spacing w:lineRule="auto" w:line="273" w:before="240" w:after="0"/>
        <w:jc w:val="left"/>
        <w:rPr>
          <w:rFonts w:ascii="Times New Roman" w:hAnsi="Times New Roman"/>
          <w:sz w:val="20"/>
        </w:rPr>
      </w:pPr>
      <w:r>
        <w:rPr>
          <w:rFonts w:ascii="Times New Roman" w:hAnsi="Times New Roman"/>
          <w:b w:val="false"/>
          <w:sz w:val="20"/>
        </w:rPr>
        <w:t>In June 2020, our board of directors adopted, and our stockholders approved, the 2020 Plan, which became effective on June 11, 2020. Under the 2020 Plan, we may grant stock options, appreciation rights, restricted stock and restricted stock units to employees, consultants and directors. Stock options granted under the 2020 Plan may be either incentive stock options or nonqualified stock options. Incentive stock options may be granted only to our employees, including officers and directors who are also employees. Nonqualified stock options may be granted to our employees, officers, directors, consultants and advisors. The exercise price of stock options granted under the 2020 Plan must be at least equal to the fair market value of the common stock on the date of grant, except that an incentive stock option granted to an employee who owns more than 10% of the shares of our common stock shall have an exercise price of no less than 110% of the fair value per share on the grant date and expire five years</w:t>
      </w:r>
      <w:r>
        <w:rPr>
          <w:rFonts w:ascii="Times New Roman" w:hAnsi="Times New Roman"/>
          <w:sz w:val="20"/>
        </w:rPr>
        <w:t xml:space="preserve"> </w:t>
      </w:r>
      <w:r>
        <w:rPr>
          <w:rFonts w:ascii="Times New Roman" w:hAnsi="Times New Roman"/>
          <w:b w:val="false"/>
          <w:sz w:val="20"/>
        </w:rPr>
        <w:t>from the date of grant. The maximum term of stock options granted under the 2020 Plan is 10</w:t>
      </w:r>
      <w:r>
        <w:rPr>
          <w:rFonts w:ascii="Times New Roman" w:hAnsi="Times New Roman"/>
          <w:sz w:val="20"/>
        </w:rPr>
        <w:t xml:space="preserve"> </w:t>
      </w:r>
      <w:r>
        <w:rPr>
          <w:rFonts w:ascii="Times New Roman" w:hAnsi="Times New Roman"/>
          <w:b w:val="false"/>
          <w:sz w:val="20"/>
        </w:rPr>
        <w:t>years, unless subject to the provisions regarding 10% stockholders. Our stock options granted to new employees generally vest over four years</w:t>
      </w:r>
      <w:r>
        <w:rPr>
          <w:rFonts w:ascii="Times New Roman" w:hAnsi="Times New Roman"/>
          <w:sz w:val="20"/>
        </w:rPr>
        <w:t xml:space="preserve"> </w:t>
      </w:r>
      <w:r>
        <w:rPr>
          <w:rFonts w:ascii="Times New Roman" w:hAnsi="Times New Roman"/>
          <w:b w:val="false"/>
          <w:sz w:val="20"/>
        </w:rPr>
        <w:t>at a rate of 25% upon the first anniversary of the vesting commencement date and monthly thereafter. Our other stock options granted to employees generally vest monthly over four years</w:t>
      </w:r>
      <w:r>
        <w:rPr>
          <w:rFonts w:ascii="Times New Roman" w:hAnsi="Times New Roman"/>
          <w:sz w:val="20"/>
        </w:rPr>
        <w:t xml:space="preserve"> </w:t>
      </w:r>
      <w:r>
        <w:rPr>
          <w:rFonts w:ascii="Times New Roman" w:hAnsi="Times New Roman"/>
          <w:b w:val="false"/>
          <w:sz w:val="20"/>
        </w:rPr>
        <w:t>from the vesting commencement date. A total of 10,150,000</w:t>
      </w:r>
      <w:r>
        <w:rPr>
          <w:rFonts w:ascii="Times New Roman" w:hAnsi="Times New Roman"/>
          <w:sz w:val="20"/>
        </w:rPr>
        <w:t xml:space="preserve"> </w:t>
      </w:r>
      <w:r>
        <w:rPr>
          <w:rFonts w:ascii="Times New Roman" w:hAnsi="Times New Roman"/>
          <w:b w:val="false"/>
          <w:sz w:val="20"/>
        </w:rPr>
        <w:t>shares of common stock were approved to be initially reserved for issuance under the 2020 Plan. The number of shares that remained available for issuance under the 2014 Plan as of the effective date of the 2020 Plan, and shares subject to outstanding awards under the 2014 Plan as of the effective date of the 2020 Plan that are subsequently canceled, forfeited or repurchased by us, will be added to the shares reserved under the 2020 Plan. In addition, the number of shares of common stock available for issuance under the 2020 Plan is automatically increased on the first day of each calendar year during the 10-year</w:t>
      </w:r>
      <w:r>
        <w:rPr>
          <w:rFonts w:ascii="Times New Roman" w:hAnsi="Times New Roman"/>
          <w:sz w:val="20"/>
        </w:rPr>
        <w:t xml:space="preserve"> </w:t>
      </w:r>
      <w:r>
        <w:rPr>
          <w:rFonts w:ascii="Times New Roman" w:hAnsi="Times New Roman"/>
          <w:b w:val="false"/>
          <w:sz w:val="20"/>
        </w:rPr>
        <w:t>term of the 2020 Plan, beginning with January 1, 2021 and ending with January 1, 2030, by an amount equal to 5% of the outstanding number of shares of our common stock on December 31 of the preceding calendar year or such lesser amount as determined by our board of directors. As of December 31, 2021, an aggregate of 6,104,756</w:t>
      </w:r>
      <w:r>
        <w:rPr>
          <w:rFonts w:ascii="Times New Roman" w:hAnsi="Times New Roman"/>
          <w:sz w:val="20"/>
        </w:rPr>
        <w:t xml:space="preserve"> </w:t>
      </w:r>
      <w:r>
        <w:rPr>
          <w:rFonts w:ascii="Times New Roman" w:hAnsi="Times New Roman"/>
          <w:b w:val="false"/>
          <w:sz w:val="20"/>
        </w:rPr>
        <w:t>shares of common stock were available for issuance under the 2020 Plan. Effective January 1, 2022, the number of shares of common stock available under the 2020 Plan increased by 2,651,598</w:t>
      </w:r>
      <w:r>
        <w:rPr>
          <w:rFonts w:ascii="Times New Roman" w:hAnsi="Times New Roman"/>
          <w:sz w:val="20"/>
        </w:rPr>
        <w:t xml:space="preserve"> </w:t>
      </w:r>
      <w:r>
        <w:rPr>
          <w:rFonts w:ascii="Times New Roman" w:hAnsi="Times New Roman"/>
          <w:b w:val="false"/>
          <w:sz w:val="20"/>
        </w:rPr>
        <w:t>shares pursuant to the evergreen provision of the 2020 Plan.</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141</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Our 2014 Plan permitted the granting of incentive stock options, non-statutory stock options, restricted stock and other stock-based awards. Subsequent to the adoption of the 2020 Plan, no additional equity awards can be made under the 2014 Plan. Shares reserved and remaining available for issuance under the 2014 Plan were added to the 2020 Plan reserve upon its effectiveness.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terms of the 2014 Plan permit the exercise of options granted prior to vesting, subject to required approvals. The unvested shares are subject to our lapsing repurchase right upon termination of employment at the original purchase price. Shares purchased by employees pursuant to the early exercise of stock options are not deemed, for accounting purposes, to be issued until those shares vest according to their respective vesting schedules. Cash received for early exercised stock options is recorded as other liabilities on the balance sheet and is reclassified to common stock and additional paid-in capital as such shares vest.</w:t>
      </w:r>
    </w:p>
    <w:p>
      <w:pPr>
        <w:pStyle w:val="TextBody"/>
        <w:spacing w:lineRule="auto" w:line="273" w:before="240" w:after="0"/>
        <w:jc w:val="left"/>
        <w:rPr>
          <w:rFonts w:ascii="Times New Roman" w:hAnsi="Times New Roman"/>
          <w:sz w:val="20"/>
        </w:rPr>
      </w:pPr>
      <w:r>
        <w:rPr>
          <w:rFonts w:ascii="Times New Roman" w:hAnsi="Times New Roman"/>
          <w:b w:val="false"/>
          <w:sz w:val="20"/>
        </w:rPr>
        <w:t>As of December 31, 2021, 3,657,394</w:t>
      </w:r>
      <w:r>
        <w:rPr>
          <w:rFonts w:ascii="Times New Roman" w:hAnsi="Times New Roman"/>
          <w:sz w:val="20"/>
        </w:rPr>
        <w:t xml:space="preserve"> </w:t>
      </w:r>
      <w:r>
        <w:rPr>
          <w:rFonts w:ascii="Times New Roman" w:hAnsi="Times New Roman"/>
          <w:b w:val="false"/>
          <w:sz w:val="20"/>
        </w:rPr>
        <w:t>shares and 1,637,613</w:t>
      </w:r>
      <w:r>
        <w:rPr>
          <w:rFonts w:ascii="Times New Roman" w:hAnsi="Times New Roman"/>
          <w:sz w:val="20"/>
        </w:rPr>
        <w:t xml:space="preserve"> </w:t>
      </w:r>
      <w:r>
        <w:rPr>
          <w:rFonts w:ascii="Times New Roman" w:hAnsi="Times New Roman"/>
          <w:b w:val="false"/>
          <w:sz w:val="20"/>
        </w:rPr>
        <w:t>shares of common stock were subject to outstanding options under the 2014 Plan and 2020 Plan, respectively.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At December 31, 2021 and 2020, 7,410</w:t>
      </w:r>
      <w:r>
        <w:rPr>
          <w:rFonts w:ascii="Times New Roman" w:hAnsi="Times New Roman"/>
          <w:sz w:val="20"/>
        </w:rPr>
        <w:t xml:space="preserve"> </w:t>
      </w:r>
      <w:r>
        <w:rPr>
          <w:rFonts w:ascii="Times New Roman" w:hAnsi="Times New Roman"/>
          <w:b w:val="false"/>
          <w:sz w:val="20"/>
        </w:rPr>
        <w:t>shares and 15,056</w:t>
      </w:r>
      <w:r>
        <w:rPr>
          <w:rFonts w:ascii="Times New Roman" w:hAnsi="Times New Roman"/>
          <w:sz w:val="20"/>
        </w:rPr>
        <w:t xml:space="preserve"> </w:t>
      </w:r>
      <w:r>
        <w:rPr>
          <w:rFonts w:ascii="Times New Roman" w:hAnsi="Times New Roman"/>
          <w:b w:val="false"/>
          <w:sz w:val="20"/>
        </w:rPr>
        <w:t>shares, respectively, remained subject to our right of repurchase as a result of the early exercised stock options. The remaining liabilities related to early exercised shares as of December 31, 2021 and 2020 were both less than $0.1</w:t>
      </w:r>
      <w:r>
        <w:rPr>
          <w:rFonts w:ascii="Times New Roman" w:hAnsi="Times New Roman"/>
          <w:sz w:val="20"/>
        </w:rPr>
        <w:t xml:space="preserve"> </w:t>
      </w:r>
      <w:r>
        <w:rPr>
          <w:rFonts w:ascii="Times New Roman" w:hAnsi="Times New Roman"/>
          <w:b w:val="false"/>
          <w:sz w:val="20"/>
        </w:rPr>
        <w:t>million and were recorded in other liabilities.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Activity under our 2020 Plan and 2014 Plan, which excludes options to purchase 62,382</w:t>
      </w:r>
      <w:r>
        <w:rPr>
          <w:rFonts w:ascii="Times New Roman" w:hAnsi="Times New Roman"/>
          <w:sz w:val="20"/>
        </w:rPr>
        <w:t xml:space="preserve"> </w:t>
      </w:r>
      <w:r>
        <w:rPr>
          <w:rFonts w:ascii="Times New Roman" w:hAnsi="Times New Roman"/>
          <w:b w:val="false"/>
          <w:sz w:val="20"/>
        </w:rPr>
        <w:t>shares granted outside of the 2020 Plan and 2014 Plan, was as follows:</w:t>
      </w:r>
      <w:r>
        <w:rPr>
          <w:rFonts w:ascii="Times New Roman" w:hAnsi="Times New Roman"/>
          <w:sz w:val="20"/>
        </w:rPr>
        <w:t xml:space="preserve">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3522"/>
        <w:gridCol w:w="146"/>
        <w:gridCol w:w="146"/>
        <w:gridCol w:w="886"/>
        <w:gridCol w:w="166"/>
        <w:gridCol w:w="146"/>
        <w:gridCol w:w="146"/>
        <w:gridCol w:w="826"/>
        <w:gridCol w:w="166"/>
        <w:gridCol w:w="146"/>
        <w:gridCol w:w="270"/>
        <w:gridCol w:w="706"/>
        <w:gridCol w:w="146"/>
        <w:gridCol w:w="146"/>
        <w:gridCol w:w="299"/>
        <w:gridCol w:w="867"/>
        <w:gridCol w:w="146"/>
        <w:gridCol w:w="146"/>
        <w:gridCol w:w="243"/>
        <w:gridCol w:w="748"/>
        <w:gridCol w:w="192"/>
      </w:tblGrid>
      <w:tr>
        <w:trPr/>
        <w:tc>
          <w:tcPr>
            <w:tcW w:w="35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3522"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2"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001"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Options Outstanding</w:t>
            </w:r>
          </w:p>
        </w:tc>
        <w:tc>
          <w:tcPr>
            <w:tcW w:w="1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Stock Option Activity</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Options</w:t>
              <w:br/>
              <w:t>Available</w:t>
              <w:br/>
              <w:t xml:space="preserve">for </w:t>
              <w:br/>
              <w:t>Grant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Number</w:t>
              <w:br/>
              <w:t>of</w:t>
              <w:br/>
              <w:t>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Weighted-</w:t>
              <w:br/>
              <w:t>Average</w:t>
              <w:br/>
              <w:t>Exercise</w:t>
              <w:br/>
              <w:t>Price Per</w:t>
              <w:br/>
              <w:t>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6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Weighted-</w:t>
              <w:br/>
              <w:t>Average</w:t>
              <w:br/>
              <w:t>Remaining</w:t>
              <w:br/>
              <w:t xml:space="preserve">Contractual </w:t>
              <w:br/>
              <w:t>Term</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Aggregate</w:t>
              <w:br/>
              <w:t>Intrinsic</w:t>
              <w:br/>
              <w:t>Value</w:t>
            </w:r>
          </w:p>
        </w:tc>
        <w:tc>
          <w:tcPr>
            <w:tcW w:w="1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2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Balances — December 31, 2019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835,941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3,297,586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6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right"/>
              <w:rPr/>
            </w:pPr>
            <w:r>
              <w:rPr/>
              <w:t> </w:t>
            </w:r>
          </w:p>
        </w:tc>
        <w:tc>
          <w:tcPr>
            <w:tcW w:w="192" w:type="dxa"/>
            <w:tcBorders/>
            <w:shd w:fill="auto" w:val="clear"/>
            <w:vAlign w:val="center"/>
          </w:tcPr>
          <w:p>
            <w:pPr>
              <w:pStyle w:val="TableContents"/>
              <w:spacing w:lineRule="auto" w:line="252" w:before="0" w:after="0"/>
              <w:ind w:left="0" w:right="0" w:hanging="0"/>
              <w:jc w:val="right"/>
              <w:rPr/>
            </w:pPr>
            <w:r>
              <w:rPr/>
              <w:t> </w:t>
            </w:r>
          </w:p>
        </w:tc>
      </w:tr>
      <w:tr>
        <w:trPr/>
        <w:tc>
          <w:tcPr>
            <w:tcW w:w="352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Additional shares authorized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5,997,435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7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6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right"/>
              <w:rPr/>
            </w:pPr>
            <w:r>
              <w:rPr/>
              <w:t> </w:t>
            </w:r>
          </w:p>
        </w:tc>
        <w:tc>
          <w:tcPr>
            <w:tcW w:w="192" w:type="dxa"/>
            <w:tcBorders/>
            <w:shd w:fill="auto" w:val="clear"/>
            <w:vAlign w:val="center"/>
          </w:tcPr>
          <w:p>
            <w:pPr>
              <w:pStyle w:val="TableContents"/>
              <w:spacing w:lineRule="auto" w:line="252" w:before="0" w:after="0"/>
              <w:ind w:left="0" w:right="0" w:hanging="0"/>
              <w:jc w:val="right"/>
              <w:rPr/>
            </w:pPr>
            <w:r>
              <w:rPr/>
              <w:t> </w:t>
            </w:r>
          </w:p>
        </w:tc>
      </w:tr>
      <w:tr>
        <w:trPr/>
        <w:tc>
          <w:tcPr>
            <w:tcW w:w="352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Options 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(2,255,690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2,255,690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8.93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6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right"/>
              <w:rPr/>
            </w:pPr>
            <w:r>
              <w:rPr/>
              <w:t> </w:t>
            </w:r>
          </w:p>
        </w:tc>
        <w:tc>
          <w:tcPr>
            <w:tcW w:w="192" w:type="dxa"/>
            <w:tcBorders/>
            <w:shd w:fill="auto" w:val="clear"/>
            <w:vAlign w:val="center"/>
          </w:tcPr>
          <w:p>
            <w:pPr>
              <w:pStyle w:val="TableContents"/>
              <w:spacing w:lineRule="auto" w:line="252" w:before="0" w:after="0"/>
              <w:ind w:left="0" w:right="0" w:hanging="0"/>
              <w:jc w:val="right"/>
              <w:rPr/>
            </w:pPr>
            <w:r>
              <w:rPr/>
              <w:t> </w:t>
            </w:r>
          </w:p>
        </w:tc>
      </w:tr>
      <w:tr>
        <w:trPr/>
        <w:tc>
          <w:tcPr>
            <w:tcW w:w="352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Options exercised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(358,264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6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right"/>
              <w:rPr/>
            </w:pPr>
            <w:r>
              <w:rPr/>
              <w:t> </w:t>
            </w:r>
          </w:p>
        </w:tc>
        <w:tc>
          <w:tcPr>
            <w:tcW w:w="192" w:type="dxa"/>
            <w:tcBorders/>
            <w:shd w:fill="auto" w:val="clear"/>
            <w:vAlign w:val="center"/>
          </w:tcPr>
          <w:p>
            <w:pPr>
              <w:pStyle w:val="TableContents"/>
              <w:spacing w:lineRule="auto" w:line="252" w:before="0" w:after="0"/>
              <w:ind w:left="0" w:right="0" w:hanging="0"/>
              <w:jc w:val="right"/>
              <w:rPr/>
            </w:pPr>
            <w:r>
              <w:rPr/>
              <w:t> </w:t>
            </w:r>
          </w:p>
        </w:tc>
      </w:tr>
      <w:tr>
        <w:trPr/>
        <w:tc>
          <w:tcPr>
            <w:tcW w:w="352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Options forfeited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73,463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(73,463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6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right"/>
              <w:rPr/>
            </w:pPr>
            <w:r>
              <w:rPr/>
              <w:t> </w:t>
            </w:r>
          </w:p>
        </w:tc>
        <w:tc>
          <w:tcPr>
            <w:tcW w:w="192" w:type="dxa"/>
            <w:tcBorders/>
            <w:shd w:fill="auto" w:val="clear"/>
            <w:vAlign w:val="center"/>
          </w:tcPr>
          <w:p>
            <w:pPr>
              <w:pStyle w:val="TableContents"/>
              <w:spacing w:lineRule="auto" w:line="252" w:before="0" w:after="0"/>
              <w:ind w:left="0" w:right="0" w:hanging="0"/>
              <w:jc w:val="right"/>
              <w:rPr/>
            </w:pPr>
            <w:r>
              <w:rPr/>
              <w:t> </w:t>
            </w:r>
          </w:p>
        </w:tc>
      </w:tr>
      <w:tr>
        <w:trPr/>
        <w:tc>
          <w:tcPr>
            <w:tcW w:w="352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Balances —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4,651,149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5,121,549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4.99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6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right"/>
              <w:rPr/>
            </w:pPr>
            <w:r>
              <w:rPr/>
              <w:t> </w:t>
            </w:r>
          </w:p>
        </w:tc>
        <w:tc>
          <w:tcPr>
            <w:tcW w:w="192" w:type="dxa"/>
            <w:tcBorders/>
            <w:shd w:fill="auto" w:val="clear"/>
            <w:vAlign w:val="center"/>
          </w:tcPr>
          <w:p>
            <w:pPr>
              <w:pStyle w:val="TableContents"/>
              <w:spacing w:lineRule="auto" w:line="252" w:before="0" w:after="0"/>
              <w:ind w:left="0" w:right="0" w:hanging="0"/>
              <w:jc w:val="right"/>
              <w:rPr/>
            </w:pPr>
            <w:r>
              <w:rPr/>
              <w:t> </w:t>
            </w:r>
          </w:p>
        </w:tc>
      </w:tr>
      <w:tr>
        <w:trPr/>
        <w:tc>
          <w:tcPr>
            <w:tcW w:w="352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Additional shares authorized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2,553,579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7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6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right"/>
              <w:rPr/>
            </w:pPr>
            <w:r>
              <w:rPr/>
              <w:t> </w:t>
            </w:r>
          </w:p>
        </w:tc>
        <w:tc>
          <w:tcPr>
            <w:tcW w:w="192" w:type="dxa"/>
            <w:tcBorders/>
            <w:shd w:fill="auto" w:val="clear"/>
            <w:vAlign w:val="center"/>
          </w:tcPr>
          <w:p>
            <w:pPr>
              <w:pStyle w:val="TableContents"/>
              <w:spacing w:lineRule="auto" w:line="252" w:before="0" w:after="0"/>
              <w:ind w:left="0" w:right="0" w:hanging="0"/>
              <w:jc w:val="right"/>
              <w:rPr/>
            </w:pPr>
            <w:r>
              <w:rPr/>
              <w:t> </w:t>
            </w:r>
          </w:p>
        </w:tc>
      </w:tr>
      <w:tr>
        <w:trPr/>
        <w:tc>
          <w:tcPr>
            <w:tcW w:w="352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Options 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(1,616,021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1,616,021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21.83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6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right"/>
              <w:rPr/>
            </w:pPr>
            <w:r>
              <w:rPr/>
              <w:t> </w:t>
            </w:r>
          </w:p>
        </w:tc>
        <w:tc>
          <w:tcPr>
            <w:tcW w:w="192" w:type="dxa"/>
            <w:tcBorders/>
            <w:shd w:fill="auto" w:val="clear"/>
            <w:vAlign w:val="center"/>
          </w:tcPr>
          <w:p>
            <w:pPr>
              <w:pStyle w:val="TableContents"/>
              <w:spacing w:lineRule="auto" w:line="252" w:before="0" w:after="0"/>
              <w:ind w:left="0" w:right="0" w:hanging="0"/>
              <w:jc w:val="right"/>
              <w:rPr/>
            </w:pPr>
            <w:r>
              <w:rPr/>
              <w:t> </w:t>
            </w:r>
          </w:p>
        </w:tc>
      </w:tr>
      <w:tr>
        <w:trPr/>
        <w:tc>
          <w:tcPr>
            <w:tcW w:w="352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Options exercised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(926,514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6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right"/>
              <w:rPr/>
            </w:pPr>
            <w:r>
              <w:rPr/>
              <w:t> </w:t>
            </w:r>
          </w:p>
        </w:tc>
        <w:tc>
          <w:tcPr>
            <w:tcW w:w="192" w:type="dxa"/>
            <w:tcBorders/>
            <w:shd w:fill="auto" w:val="clear"/>
            <w:vAlign w:val="center"/>
          </w:tcPr>
          <w:p>
            <w:pPr>
              <w:pStyle w:val="TableContents"/>
              <w:spacing w:lineRule="auto" w:line="252" w:before="0" w:after="0"/>
              <w:ind w:left="0" w:right="0" w:hanging="0"/>
              <w:jc w:val="right"/>
              <w:rPr/>
            </w:pPr>
            <w:r>
              <w:rPr/>
              <w:t> </w:t>
            </w:r>
          </w:p>
        </w:tc>
      </w:tr>
      <w:tr>
        <w:trPr/>
        <w:tc>
          <w:tcPr>
            <w:tcW w:w="352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Options forfeited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516,049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(516,049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16.70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6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right"/>
              <w:rPr/>
            </w:pPr>
            <w:r>
              <w:rPr/>
              <w:t> </w:t>
            </w:r>
          </w:p>
        </w:tc>
        <w:tc>
          <w:tcPr>
            <w:tcW w:w="192" w:type="dxa"/>
            <w:tcBorders/>
            <w:shd w:fill="auto" w:val="clear"/>
            <w:vAlign w:val="center"/>
          </w:tcPr>
          <w:p>
            <w:pPr>
              <w:pStyle w:val="TableContents"/>
              <w:spacing w:lineRule="auto" w:line="252" w:before="0" w:after="0"/>
              <w:ind w:left="0" w:right="0" w:hanging="0"/>
              <w:jc w:val="right"/>
              <w:rPr/>
            </w:pPr>
            <w:r>
              <w:rPr/>
              <w:t> </w:t>
            </w:r>
          </w:p>
        </w:tc>
      </w:tr>
      <w:tr>
        <w:trPr/>
        <w:tc>
          <w:tcPr>
            <w:tcW w:w="352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Balances —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6,104,756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5,295,007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9.30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9"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7.89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4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78,604</w:t>
            </w:r>
          </w:p>
        </w:tc>
        <w:tc>
          <w:tcPr>
            <w:tcW w:w="19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52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Vested and expected to vest —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5,295,007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9.30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9"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7.89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4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78,604</w:t>
            </w:r>
          </w:p>
        </w:tc>
        <w:tc>
          <w:tcPr>
            <w:tcW w:w="19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52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Exercisable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2,611,523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4.76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9"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7.07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4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50,123</w:t>
            </w:r>
          </w:p>
        </w:tc>
        <w:tc>
          <w:tcPr>
            <w:tcW w:w="19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During the years ended December 31, 2021 and 2020, 926,514</w:t>
      </w:r>
      <w:r>
        <w:rPr>
          <w:rFonts w:ascii="Times New Roman" w:hAnsi="Times New Roman"/>
          <w:sz w:val="20"/>
        </w:rPr>
        <w:t xml:space="preserve"> </w:t>
      </w:r>
      <w:r>
        <w:rPr>
          <w:rFonts w:ascii="Times New Roman" w:hAnsi="Times New Roman"/>
          <w:b w:val="false"/>
          <w:sz w:val="20"/>
        </w:rPr>
        <w:t>and 358,264</w:t>
      </w:r>
      <w:r>
        <w:rPr>
          <w:rFonts w:ascii="Times New Roman" w:hAnsi="Times New Roman"/>
          <w:sz w:val="20"/>
        </w:rPr>
        <w:t xml:space="preserve"> </w:t>
      </w:r>
      <w:r>
        <w:rPr>
          <w:rFonts w:ascii="Times New Roman" w:hAnsi="Times New Roman"/>
          <w:b w:val="false"/>
          <w:sz w:val="20"/>
        </w:rPr>
        <w:t>shares of stock options, respectively, were exercised for cash at a weighted-average price per share of $3.25</w:t>
      </w:r>
      <w:r>
        <w:rPr>
          <w:rFonts w:ascii="Times New Roman" w:hAnsi="Times New Roman"/>
          <w:sz w:val="20"/>
        </w:rPr>
        <w:t xml:space="preserve"> </w:t>
      </w:r>
      <w:r>
        <w:rPr>
          <w:rFonts w:ascii="Times New Roman" w:hAnsi="Times New Roman"/>
          <w:b w:val="false"/>
          <w:sz w:val="20"/>
        </w:rPr>
        <w:t>and $1.88, respectively. The weighted-average grant date fair value of options granted for the years ended December 31, 2021 and 2020 was $14.65</w:t>
      </w:r>
      <w:r>
        <w:rPr>
          <w:rFonts w:ascii="Times New Roman" w:hAnsi="Times New Roman"/>
          <w:sz w:val="20"/>
        </w:rPr>
        <w:t xml:space="preserve"> </w:t>
      </w:r>
      <w:r>
        <w:rPr>
          <w:rFonts w:ascii="Times New Roman" w:hAnsi="Times New Roman"/>
          <w:b w:val="false"/>
          <w:sz w:val="20"/>
        </w:rPr>
        <w:t>and $9.62, respectively. The intrinsic value of the stock options exercised was $18.9</w:t>
      </w:r>
      <w:r>
        <w:rPr>
          <w:rFonts w:ascii="Times New Roman" w:hAnsi="Times New Roman"/>
          <w:sz w:val="20"/>
        </w:rPr>
        <w:t xml:space="preserve"> </w:t>
      </w:r>
      <w:r>
        <w:rPr>
          <w:rFonts w:ascii="Times New Roman" w:hAnsi="Times New Roman"/>
          <w:b w:val="false"/>
          <w:sz w:val="20"/>
        </w:rPr>
        <w:t>million and $7.8</w:t>
      </w:r>
      <w:r>
        <w:rPr>
          <w:rFonts w:ascii="Times New Roman" w:hAnsi="Times New Roman"/>
          <w:sz w:val="20"/>
        </w:rPr>
        <w:t xml:space="preserve"> </w:t>
      </w:r>
      <w:r>
        <w:rPr>
          <w:rFonts w:ascii="Times New Roman" w:hAnsi="Times New Roman"/>
          <w:b w:val="false"/>
          <w:sz w:val="20"/>
        </w:rPr>
        <w:t>million for the years ended December 31, 2021 and 2020, respectively.</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142</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2020 Employee Stock Purchase Plan</w:t>
      </w:r>
    </w:p>
    <w:p>
      <w:pPr>
        <w:pStyle w:val="TextBody"/>
        <w:spacing w:lineRule="auto" w:line="273" w:before="240" w:after="0"/>
        <w:jc w:val="left"/>
        <w:rPr>
          <w:rFonts w:ascii="Times New Roman" w:hAnsi="Times New Roman"/>
          <w:sz w:val="20"/>
        </w:rPr>
      </w:pPr>
      <w:r>
        <w:rPr>
          <w:rFonts w:ascii="Times New Roman" w:hAnsi="Times New Roman"/>
          <w:b w:val="false"/>
          <w:sz w:val="20"/>
        </w:rPr>
        <w:t>In June 2020, our board of directors adopted, and our stockholders approved, the 2020 Employee Stock Purchase Plan (the “2020 ESPP”), which became effective on June 11, 2020. The 2020 ESPP permits participants to purchase common stock through payroll deductions of up to 15% of their eligible compensation. Employees purchase shares of common stock at a price per share equal to 85% of the lower of the fair market value at the start or end of the six-month</w:t>
      </w:r>
      <w:r>
        <w:rPr>
          <w:rFonts w:ascii="Times New Roman" w:hAnsi="Times New Roman"/>
          <w:sz w:val="20"/>
        </w:rPr>
        <w:t xml:space="preserve"> </w:t>
      </w:r>
      <w:r>
        <w:rPr>
          <w:rFonts w:ascii="Times New Roman" w:hAnsi="Times New Roman"/>
          <w:b w:val="false"/>
          <w:sz w:val="20"/>
        </w:rPr>
        <w:t>purchase periods within the two-year</w:t>
      </w:r>
      <w:r>
        <w:rPr>
          <w:rFonts w:ascii="Times New Roman" w:hAnsi="Times New Roman"/>
          <w:sz w:val="20"/>
        </w:rPr>
        <w:t xml:space="preserve"> </w:t>
      </w:r>
      <w:r>
        <w:rPr>
          <w:rFonts w:ascii="Times New Roman" w:hAnsi="Times New Roman"/>
          <w:b w:val="false"/>
          <w:sz w:val="20"/>
        </w:rPr>
        <w:t>offering period. A total of 650,000</w:t>
      </w:r>
      <w:r>
        <w:rPr>
          <w:rFonts w:ascii="Times New Roman" w:hAnsi="Times New Roman"/>
          <w:sz w:val="20"/>
        </w:rPr>
        <w:t xml:space="preserve"> </w:t>
      </w:r>
      <w:r>
        <w:rPr>
          <w:rFonts w:ascii="Times New Roman" w:hAnsi="Times New Roman"/>
          <w:b w:val="false"/>
          <w:sz w:val="20"/>
        </w:rPr>
        <w:t>shares of common stock were approved to be initially reserved for issuance under the 2020 ESPP. In addition, the number of shares of common stock available for issuance under the 2020 ESPP is automatically increased on the first day of each calendar year during the 10-year</w:t>
      </w:r>
      <w:r>
        <w:rPr>
          <w:rFonts w:ascii="Times New Roman" w:hAnsi="Times New Roman"/>
          <w:sz w:val="20"/>
        </w:rPr>
        <w:t xml:space="preserve"> </w:t>
      </w:r>
      <w:r>
        <w:rPr>
          <w:rFonts w:ascii="Times New Roman" w:hAnsi="Times New Roman"/>
          <w:b w:val="false"/>
          <w:sz w:val="20"/>
        </w:rPr>
        <w:t>term of the 2020 Plan, beginning with January 1, 2021 and ending with January 1, 2030, by an amount of 1% of the outstanding number of shares of our common stock on December 31 of the preceding calendar year or such lesser amount as determined by our board of directors. For the year ended December 31, 2021, employees acquired 62,546</w:t>
      </w:r>
      <w:r>
        <w:rPr>
          <w:rFonts w:ascii="Times New Roman" w:hAnsi="Times New Roman"/>
          <w:sz w:val="20"/>
        </w:rPr>
        <w:t xml:space="preserve"> </w:t>
      </w:r>
      <w:r>
        <w:rPr>
          <w:rFonts w:ascii="Times New Roman" w:hAnsi="Times New Roman"/>
          <w:b w:val="false"/>
          <w:sz w:val="20"/>
        </w:rPr>
        <w:t>shares of our common stock under the 2020 ESPP and 1,070,704</w:t>
      </w:r>
      <w:r>
        <w:rPr>
          <w:rFonts w:ascii="Times New Roman" w:hAnsi="Times New Roman"/>
          <w:sz w:val="20"/>
        </w:rPr>
        <w:t xml:space="preserve"> </w:t>
      </w:r>
      <w:r>
        <w:rPr>
          <w:rFonts w:ascii="Times New Roman" w:hAnsi="Times New Roman"/>
          <w:b w:val="false"/>
          <w:sz w:val="20"/>
        </w:rPr>
        <w:t>shares of common stock remained available for issuance under the 2020 ESPP. Effective January 1, 2022, the number of shares of common stock available under the 2020 ESPP increased by 530,319</w:t>
      </w:r>
      <w:r>
        <w:rPr>
          <w:rFonts w:ascii="Times New Roman" w:hAnsi="Times New Roman"/>
          <w:sz w:val="20"/>
        </w:rPr>
        <w:t xml:space="preserve"> </w:t>
      </w:r>
      <w:r>
        <w:rPr>
          <w:rFonts w:ascii="Times New Roman" w:hAnsi="Times New Roman"/>
          <w:b w:val="false"/>
          <w:sz w:val="20"/>
        </w:rPr>
        <w:t>shares pursuant to the evergreen provision of the 2020 ESPP.</w:t>
      </w:r>
    </w:p>
    <w:p>
      <w:pPr>
        <w:pStyle w:val="TextBody"/>
        <w:spacing w:lineRule="auto" w:line="273" w:before="240" w:after="0"/>
        <w:jc w:val="left"/>
        <w:rPr>
          <w:rFonts w:ascii="Times New Roman" w:hAnsi="Times New Roman"/>
          <w:sz w:val="20"/>
        </w:rPr>
      </w:pPr>
      <w:r>
        <w:rPr>
          <w:rFonts w:ascii="Times New Roman" w:hAnsi="Times New Roman"/>
          <w:b/>
          <w:sz w:val="20"/>
        </w:rPr>
        <w:t>Stock-based Compensation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estimated the fair value of employee stock options using the Black-Scholes option-pricing model for the years ended December 31, 2021, 2020 and 2019 using the following weighted-average assumptions:</w:t>
      </w:r>
      <w:r>
        <w:rPr>
          <w:rFonts w:ascii="Times New Roman" w:hAnsi="Times New Roman"/>
          <w:sz w:val="20"/>
        </w:rPr>
        <w:t xml:space="preserve"> </w:t>
      </w:r>
    </w:p>
    <w:p>
      <w:pPr>
        <w:pStyle w:val="TextBody"/>
        <w:spacing w:lineRule="auto" w:line="273" w:before="0" w:after="0"/>
        <w:jc w:val="left"/>
        <w:rPr/>
      </w:pPr>
      <w:r>
        <w:rPr/>
        <w:t> </w:t>
      </w:r>
    </w:p>
    <w:tbl>
      <w:tblPr>
        <w:tblW w:w="6547" w:type="dxa"/>
        <w:jc w:val="left"/>
        <w:tblInd w:w="0" w:type="dxa"/>
        <w:tblCellMar>
          <w:top w:w="28" w:type="dxa"/>
          <w:left w:w="28" w:type="dxa"/>
          <w:bottom w:w="28" w:type="dxa"/>
          <w:right w:w="28" w:type="dxa"/>
        </w:tblCellMar>
      </w:tblPr>
      <w:tblGrid>
        <w:gridCol w:w="2146"/>
        <w:gridCol w:w="146"/>
        <w:gridCol w:w="1306"/>
        <w:gridCol w:w="146"/>
        <w:gridCol w:w="1306"/>
        <w:gridCol w:w="146"/>
        <w:gridCol w:w="1351"/>
      </w:tblGrid>
      <w:tr>
        <w:trPr/>
        <w:tc>
          <w:tcPr>
            <w:tcW w:w="2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r>
      <w:tr>
        <w:trPr/>
        <w:tc>
          <w:tcPr>
            <w:tcW w:w="2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55"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Year Ended December 31,</w:t>
            </w:r>
          </w:p>
        </w:tc>
      </w:tr>
      <w:tr>
        <w:trPr/>
        <w:tc>
          <w:tcPr>
            <w:tcW w:w="2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3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3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2019</w:t>
            </w:r>
          </w:p>
        </w:tc>
      </w:tr>
      <w:tr>
        <w:trPr/>
        <w:tc>
          <w:tcPr>
            <w:tcW w:w="214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Fair Value Assumptions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1" w:type="dxa"/>
            <w:tcBorders/>
            <w:shd w:fill="auto" w:val="clear"/>
            <w:vAlign w:val="center"/>
          </w:tcPr>
          <w:p>
            <w:pPr>
              <w:pStyle w:val="TableContents"/>
              <w:spacing w:lineRule="auto" w:line="252" w:before="0" w:after="0"/>
              <w:ind w:left="0" w:right="0" w:hanging="0"/>
              <w:jc w:val="left"/>
              <w:rPr/>
            </w:pPr>
            <w:r>
              <w:rPr/>
              <w:t> </w:t>
            </w:r>
          </w:p>
        </w:tc>
      </w:tr>
      <w:tr>
        <w:trPr/>
        <w:tc>
          <w:tcPr>
            <w:tcW w:w="21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volatility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81.0% - 84.1%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81.2% - 94.1%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78.4% - 80.4%</w:t>
            </w:r>
          </w:p>
        </w:tc>
      </w:tr>
      <w:tr>
        <w:trPr/>
        <w:tc>
          <w:tcPr>
            <w:tcW w:w="21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dividend yield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w:t>
            </w:r>
          </w:p>
        </w:tc>
      </w:tr>
      <w:tr>
        <w:trPr/>
        <w:tc>
          <w:tcPr>
            <w:tcW w:w="21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term (in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5.3 - 5.5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6"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5.6</w:t>
            </w:r>
            <w:r>
              <w:rPr>
                <w:rFonts w:ascii="Times New Roman" w:hAnsi="Times New Roman"/>
                <w:sz w:val="20"/>
              </w:rPr>
              <w:t> </w:t>
            </w:r>
            <w:r>
              <w:rPr>
                <w:rFonts w:ascii="Times New Roman" w:hAnsi="Times New Roman"/>
                <w:b w:val="false"/>
                <w:sz w:val="20"/>
              </w:rPr>
              <w:t>- 6.1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1"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5.9</w:t>
            </w:r>
            <w:r>
              <w:rPr>
                <w:rFonts w:ascii="Times New Roman" w:hAnsi="Times New Roman"/>
                <w:sz w:val="20"/>
              </w:rPr>
              <w:t> </w:t>
            </w:r>
            <w:r>
              <w:rPr>
                <w:rFonts w:ascii="Times New Roman" w:hAnsi="Times New Roman"/>
                <w:b w:val="false"/>
                <w:sz w:val="20"/>
              </w:rPr>
              <w:t>- 6.1</w:t>
            </w:r>
          </w:p>
        </w:tc>
      </w:tr>
      <w:tr>
        <w:trPr/>
        <w:tc>
          <w:tcPr>
            <w:tcW w:w="21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Risk-free interest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0.5% - 1.3%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0.3% - 1.4%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1.6% - 2.4%</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estimated the fair value of shares under the 2020 ESPP using the Black-Scholes option-pricing model for the years ended December 31, 2021, 2020 and 2019 using the following weighted-average assumptions:</w:t>
      </w:r>
    </w:p>
    <w:p>
      <w:pPr>
        <w:pStyle w:val="TextBody"/>
        <w:spacing w:lineRule="auto" w:line="273" w:before="0" w:after="0"/>
        <w:jc w:val="left"/>
        <w:rPr/>
      </w:pPr>
      <w:r>
        <w:rPr/>
        <w:t> </w:t>
      </w:r>
    </w:p>
    <w:tbl>
      <w:tblPr>
        <w:tblW w:w="6082" w:type="dxa"/>
        <w:jc w:val="left"/>
        <w:tblInd w:w="0" w:type="dxa"/>
        <w:tblCellMar>
          <w:top w:w="28" w:type="dxa"/>
          <w:left w:w="28" w:type="dxa"/>
          <w:bottom w:w="28" w:type="dxa"/>
          <w:right w:w="28" w:type="dxa"/>
        </w:tblCellMar>
      </w:tblPr>
      <w:tblGrid>
        <w:gridCol w:w="2146"/>
        <w:gridCol w:w="146"/>
        <w:gridCol w:w="1411"/>
        <w:gridCol w:w="146"/>
        <w:gridCol w:w="1516"/>
        <w:gridCol w:w="146"/>
        <w:gridCol w:w="571"/>
      </w:tblGrid>
      <w:tr>
        <w:trPr/>
        <w:tc>
          <w:tcPr>
            <w:tcW w:w="2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r>
      <w:tr>
        <w:trPr/>
        <w:tc>
          <w:tcPr>
            <w:tcW w:w="2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90"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Year Ended December 31,</w:t>
            </w:r>
          </w:p>
        </w:tc>
      </w:tr>
      <w:tr>
        <w:trPr/>
        <w:tc>
          <w:tcPr>
            <w:tcW w:w="2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5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2019</w:t>
            </w:r>
          </w:p>
        </w:tc>
      </w:tr>
      <w:tr>
        <w:trPr/>
        <w:tc>
          <w:tcPr>
            <w:tcW w:w="214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Fair Value Assumptions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left"/>
              <w:rPr/>
            </w:pPr>
            <w:r>
              <w:rPr/>
              <w:t> </w:t>
            </w:r>
          </w:p>
        </w:tc>
      </w:tr>
      <w:tr>
        <w:trPr/>
        <w:tc>
          <w:tcPr>
            <w:tcW w:w="21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volatility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79.6% - 126.3%</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1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105.8% - 158.2%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N/A</w:t>
            </w:r>
          </w:p>
        </w:tc>
      </w:tr>
      <w:tr>
        <w:trPr/>
        <w:tc>
          <w:tcPr>
            <w:tcW w:w="21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dividend yield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1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N/A</w:t>
            </w:r>
          </w:p>
        </w:tc>
      </w:tr>
      <w:tr>
        <w:trPr/>
        <w:tc>
          <w:tcPr>
            <w:tcW w:w="21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term (in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0.5 - 2.0</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16"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0.4</w:t>
            </w:r>
            <w:r>
              <w:rPr>
                <w:rFonts w:ascii="Times New Roman" w:hAnsi="Times New Roman"/>
                <w:sz w:val="20"/>
              </w:rPr>
              <w:t> </w:t>
            </w:r>
            <w:r>
              <w:rPr>
                <w:rFonts w:ascii="Times New Roman" w:hAnsi="Times New Roman"/>
                <w:b w:val="false"/>
                <w:sz w:val="20"/>
              </w:rPr>
              <w:t>- 2.0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N/A</w:t>
            </w:r>
          </w:p>
        </w:tc>
      </w:tr>
      <w:tr>
        <w:trPr/>
        <w:tc>
          <w:tcPr>
            <w:tcW w:w="21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Risk-free interest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0.0% - 0.5%</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1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0.1% - 0.2%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N/A</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recorded total stock-based compensation expense for the years ended December 31, 2021, 2020 and 2019 related to the 2014 Plan, the 2020 Plan and the 2020 ESPP in the statements of operations and allocated the amounts as follows:</w:t>
      </w:r>
      <w:r>
        <w:rPr>
          <w:rFonts w:ascii="Times New Roman" w:hAnsi="Times New Roman"/>
          <w:sz w:val="20"/>
        </w:rPr>
        <w:t xml:space="preserve"> </w:t>
      </w:r>
    </w:p>
    <w:p>
      <w:pPr>
        <w:pStyle w:val="TextBody"/>
        <w:spacing w:lineRule="auto" w:line="273" w:before="0" w:after="0"/>
        <w:jc w:val="left"/>
        <w:rPr/>
      </w:pPr>
      <w:r>
        <w:rPr/>
        <w:t> </w:t>
      </w:r>
    </w:p>
    <w:tbl>
      <w:tblPr>
        <w:tblW w:w="5683" w:type="dxa"/>
        <w:jc w:val="left"/>
        <w:tblInd w:w="0" w:type="dxa"/>
        <w:tblCellMar>
          <w:top w:w="28" w:type="dxa"/>
          <w:left w:w="28" w:type="dxa"/>
          <w:bottom w:w="28" w:type="dxa"/>
          <w:right w:w="28" w:type="dxa"/>
        </w:tblCellMar>
      </w:tblPr>
      <w:tblGrid>
        <w:gridCol w:w="2311"/>
        <w:gridCol w:w="146"/>
        <w:gridCol w:w="211"/>
        <w:gridCol w:w="676"/>
        <w:gridCol w:w="146"/>
        <w:gridCol w:w="146"/>
        <w:gridCol w:w="211"/>
        <w:gridCol w:w="571"/>
        <w:gridCol w:w="146"/>
        <w:gridCol w:w="146"/>
        <w:gridCol w:w="211"/>
        <w:gridCol w:w="571"/>
        <w:gridCol w:w="1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35"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Year Ended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2019</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35" w:type="dxa"/>
            <w:gridSpan w:val="10"/>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(In thousands)</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3,954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1,861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6,775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3,573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817</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10,729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5,434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1,185</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143</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Upon our IPO, 362,935</w:t>
      </w:r>
      <w:r>
        <w:rPr>
          <w:rFonts w:ascii="Times New Roman" w:hAnsi="Times New Roman"/>
          <w:sz w:val="20"/>
        </w:rPr>
        <w:t xml:space="preserve"> </w:t>
      </w:r>
      <w:r>
        <w:rPr>
          <w:rFonts w:ascii="Times New Roman" w:hAnsi="Times New Roman"/>
          <w:b w:val="false"/>
          <w:sz w:val="20"/>
        </w:rPr>
        <w:t>performance-based awards vested and, as a result, we recognized $0.3</w:t>
      </w:r>
      <w:r>
        <w:rPr>
          <w:rFonts w:ascii="Times New Roman" w:hAnsi="Times New Roman"/>
          <w:sz w:val="20"/>
        </w:rPr>
        <w:t xml:space="preserve"> </w:t>
      </w:r>
      <w:r>
        <w:rPr>
          <w:rFonts w:ascii="Times New Roman" w:hAnsi="Times New Roman"/>
          <w:b w:val="false"/>
          <w:sz w:val="20"/>
        </w:rPr>
        <w:t>million of stock-based compensation expense during the three months ended June 30, 2020, which amount is included in the above table for the year ended December 31, 2020.</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December 31, 2021, there was $27.5</w:t>
      </w:r>
      <w:r>
        <w:rPr>
          <w:rFonts w:ascii="Times New Roman" w:hAnsi="Times New Roman"/>
          <w:sz w:val="20"/>
        </w:rPr>
        <w:t xml:space="preserve"> </w:t>
      </w:r>
      <w:r>
        <w:rPr>
          <w:rFonts w:ascii="Times New Roman" w:hAnsi="Times New Roman"/>
          <w:b w:val="false"/>
          <w:sz w:val="20"/>
        </w:rPr>
        <w:t>million of unrecognized stock-based compensation expense related to the employee and non-employee awards, which is expected to be recognized over a weighted-average period of 2.5 years.</w:t>
      </w:r>
    </w:p>
    <w:p>
      <w:pPr>
        <w:pStyle w:val="TextBody"/>
        <w:spacing w:lineRule="auto" w:line="273" w:before="240" w:after="0"/>
        <w:jc w:val="left"/>
        <w:rPr>
          <w:rFonts w:ascii="Times New Roman" w:hAnsi="Times New Roman"/>
          <w:b/>
          <w:sz w:val="20"/>
        </w:rPr>
      </w:pPr>
      <w:r>
        <w:rPr>
          <w:rFonts w:ascii="Times New Roman" w:hAnsi="Times New Roman"/>
          <w:b/>
          <w:sz w:val="20"/>
        </w:rPr>
        <w:t>11. Funding Arrangement</w:t>
      </w:r>
    </w:p>
    <w:p>
      <w:pPr>
        <w:pStyle w:val="TextBody"/>
        <w:spacing w:lineRule="auto" w:line="273" w:before="240" w:after="0"/>
        <w:jc w:val="left"/>
        <w:rPr>
          <w:rFonts w:ascii="Times New Roman" w:hAnsi="Times New Roman"/>
          <w:sz w:val="20"/>
        </w:rPr>
      </w:pPr>
      <w:r>
        <w:rPr>
          <w:rFonts w:ascii="Times New Roman" w:hAnsi="Times New Roman"/>
          <w:b w:val="false"/>
          <w:sz w:val="20"/>
        </w:rPr>
        <w:t>In July 2019, we received a cost-reimbursement research award from Combating Antibiotic Resistant Bacteria Biopharmaceutical Accelerator (“CARB-X”), a public-private partnership funded under a Cooperative Agreement from Assistant Secretary for Preparedness and Response/Biomedical Advanced Research and Development Authority (“BARDA”) and by awards from Wellcome Trust, Germany’s Federal Ministry of Education and Research, the United Kingdom Global Antimicrobial Resistance Innovation Fund and the Bill &amp; Melinda Gates Foundation. In connection with this funding, we entered into a cost-reimbursement sub-award agreement with the Trustees of Boston University, the administrator of the program. The initial award provided the potential for funding up to four years</w:t>
      </w:r>
      <w:r>
        <w:rPr>
          <w:rFonts w:ascii="Times New Roman" w:hAnsi="Times New Roman"/>
          <w:sz w:val="20"/>
        </w:rPr>
        <w:t xml:space="preserve"> </w:t>
      </w:r>
      <w:r>
        <w:rPr>
          <w:rFonts w:ascii="Times New Roman" w:hAnsi="Times New Roman"/>
          <w:b w:val="false"/>
          <w:sz w:val="20"/>
        </w:rPr>
        <w:t>to develop a universal vaccine to prevent infections caused by Group A Strep bacteria, which include pharyngitis, impetigo and necrotizing fasciitis. The initial award committed initial funding of up to $1.6</w:t>
      </w:r>
      <w:r>
        <w:rPr>
          <w:rFonts w:ascii="Times New Roman" w:hAnsi="Times New Roman"/>
          <w:sz w:val="20"/>
        </w:rPr>
        <w:t xml:space="preserve"> </w:t>
      </w:r>
      <w:r>
        <w:rPr>
          <w:rFonts w:ascii="Times New Roman" w:hAnsi="Times New Roman"/>
          <w:b w:val="false"/>
          <w:sz w:val="20"/>
        </w:rPr>
        <w:t>million for our VAX-A1 program and, subject to a CARB-X decision to extend the options, up to $15.1</w:t>
      </w:r>
      <w:r>
        <w:rPr>
          <w:rFonts w:ascii="Times New Roman" w:hAnsi="Times New Roman"/>
          <w:sz w:val="20"/>
        </w:rPr>
        <w:t xml:space="preserve"> </w:t>
      </w:r>
      <w:r>
        <w:rPr>
          <w:rFonts w:ascii="Times New Roman" w:hAnsi="Times New Roman"/>
          <w:b w:val="false"/>
          <w:sz w:val="20"/>
        </w:rPr>
        <w:t>million in total funding available upon achievement of development milestones over the next four years. Specified research expenditures are reimbursable expenses associated with agreed-upon activities needed to advance the research project supported by the grant. These expenditures can include labor, laboratory supplies, travel, consulting and third-party vendor research and development support costs.</w:t>
      </w:r>
    </w:p>
    <w:p>
      <w:pPr>
        <w:pStyle w:val="TextBody"/>
        <w:spacing w:lineRule="auto" w:line="273" w:before="240" w:after="0"/>
        <w:jc w:val="left"/>
        <w:rPr>
          <w:rFonts w:ascii="Times New Roman" w:hAnsi="Times New Roman"/>
          <w:sz w:val="20"/>
        </w:rPr>
      </w:pPr>
      <w:r>
        <w:rPr>
          <w:rFonts w:ascii="Times New Roman" w:hAnsi="Times New Roman"/>
          <w:b w:val="false"/>
          <w:sz w:val="20"/>
        </w:rPr>
        <w:t>In July 2020, the CARB-X agreement was amended with the initial funding amount increased from $1.6</w:t>
      </w:r>
      <w:r>
        <w:rPr>
          <w:rFonts w:ascii="Times New Roman" w:hAnsi="Times New Roman"/>
          <w:sz w:val="20"/>
        </w:rPr>
        <w:t xml:space="preserve"> </w:t>
      </w:r>
      <w:r>
        <w:rPr>
          <w:rFonts w:ascii="Times New Roman" w:hAnsi="Times New Roman"/>
          <w:b w:val="false"/>
          <w:sz w:val="20"/>
        </w:rPr>
        <w:t>million to $2.7</w:t>
      </w:r>
      <w:r>
        <w:rPr>
          <w:rFonts w:ascii="Times New Roman" w:hAnsi="Times New Roman"/>
          <w:sz w:val="20"/>
        </w:rPr>
        <w:t xml:space="preserve"> </w:t>
      </w:r>
      <w:r>
        <w:rPr>
          <w:rFonts w:ascii="Times New Roman" w:hAnsi="Times New Roman"/>
          <w:b w:val="false"/>
          <w:sz w:val="20"/>
        </w:rPr>
        <w:t>million. In December 2020, we reached the maximum CARB-X funding limit for this initial funding period, and subsequently submitted our funding proposal to CARB-X for the next period under our agreement. In April 2021, we received approval for the next phase of CARB-X development and executed the cost-reimbursement sub-award agreement with the Trustees of Boston University in August 2021. Pursuant to the agreement, the award committed additional funding of $3.2</w:t>
      </w:r>
      <w:r>
        <w:rPr>
          <w:rFonts w:ascii="Times New Roman" w:hAnsi="Times New Roman"/>
          <w:sz w:val="20"/>
        </w:rPr>
        <w:t xml:space="preserve"> </w:t>
      </w:r>
      <w:r>
        <w:rPr>
          <w:rFonts w:ascii="Times New Roman" w:hAnsi="Times New Roman"/>
          <w:b w:val="false"/>
          <w:sz w:val="20"/>
        </w:rPr>
        <w:t>million for IND-enabling activities and total potential funding of up to $29.7</w:t>
      </w:r>
      <w:r>
        <w:rPr>
          <w:rFonts w:ascii="Times New Roman" w:hAnsi="Times New Roman"/>
          <w:sz w:val="20"/>
        </w:rPr>
        <w:t xml:space="preserve"> </w:t>
      </w:r>
      <w:r>
        <w:rPr>
          <w:rFonts w:ascii="Times New Roman" w:hAnsi="Times New Roman"/>
          <w:b w:val="false"/>
          <w:sz w:val="20"/>
        </w:rPr>
        <w:t>million (including the current $3.2</w:t>
      </w:r>
      <w:r>
        <w:rPr>
          <w:rFonts w:ascii="Times New Roman" w:hAnsi="Times New Roman"/>
          <w:sz w:val="20"/>
        </w:rPr>
        <w:t xml:space="preserve"> </w:t>
      </w:r>
      <w:r>
        <w:rPr>
          <w:rFonts w:ascii="Times New Roman" w:hAnsi="Times New Roman"/>
          <w:b w:val="false"/>
          <w:sz w:val="20"/>
        </w:rPr>
        <w:t>million award and the prior $2.7</w:t>
      </w:r>
      <w:r>
        <w:rPr>
          <w:rFonts w:ascii="Times New Roman" w:hAnsi="Times New Roman"/>
          <w:sz w:val="20"/>
        </w:rPr>
        <w:t xml:space="preserve"> </w:t>
      </w:r>
      <w:r>
        <w:rPr>
          <w:rFonts w:ascii="Times New Roman" w:hAnsi="Times New Roman"/>
          <w:b w:val="false"/>
          <w:sz w:val="20"/>
        </w:rPr>
        <w:t>million award) upon the achievement of future VAX-A1 development milestones. In January 2022, CARB-X revised the parameters for the contribution of CARB-X funding and implemented maximum funding levels for all grant recipients. As a result, our total funding available upon achievement of development milestones through Phase 1 human clinical trials was revised from $29.7</w:t>
      </w:r>
      <w:r>
        <w:rPr>
          <w:rFonts w:ascii="Times New Roman" w:hAnsi="Times New Roman"/>
          <w:sz w:val="20"/>
        </w:rPr>
        <w:t xml:space="preserve"> </w:t>
      </w:r>
      <w:r>
        <w:rPr>
          <w:rFonts w:ascii="Times New Roman" w:hAnsi="Times New Roman"/>
          <w:b w:val="false"/>
          <w:sz w:val="20"/>
        </w:rPr>
        <w:t>million to $13.9</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April 2021, we received a cost-reimbursement research award from the National Institutes of Health (“NIH”). In connection with this funding, we entered into a cost-reimbursement sub-award agreement with the University of Maryland, Baltimore, the administrator of the program. The award provides for potential funding up to five years</w:t>
      </w:r>
      <w:r>
        <w:rPr>
          <w:rFonts w:ascii="Times New Roman" w:hAnsi="Times New Roman"/>
          <w:sz w:val="20"/>
        </w:rPr>
        <w:t xml:space="preserve"> </w:t>
      </w:r>
      <w:r>
        <w:rPr>
          <w:rFonts w:ascii="Times New Roman" w:hAnsi="Times New Roman"/>
          <w:b w:val="false"/>
          <w:sz w:val="20"/>
        </w:rPr>
        <w:t>totaling approximately $0.5</w:t>
      </w:r>
      <w:r>
        <w:rPr>
          <w:rFonts w:ascii="Times New Roman" w:hAnsi="Times New Roman"/>
          <w:sz w:val="20"/>
        </w:rPr>
        <w:t xml:space="preserve"> </w:t>
      </w:r>
      <w:r>
        <w:rPr>
          <w:rFonts w:ascii="Times New Roman" w:hAnsi="Times New Roman"/>
          <w:b w:val="false"/>
          <w:sz w:val="20"/>
        </w:rPr>
        <w:t>million to develop a vaccine to prevent infections caused by Shigella.</w:t>
      </w:r>
    </w:p>
    <w:p>
      <w:pPr>
        <w:pStyle w:val="TextBody"/>
        <w:spacing w:lineRule="auto" w:line="273" w:before="240" w:after="0"/>
        <w:jc w:val="left"/>
        <w:rPr>
          <w:rFonts w:ascii="Times New Roman" w:hAnsi="Times New Roman"/>
          <w:sz w:val="20"/>
        </w:rPr>
      </w:pPr>
      <w:r>
        <w:rPr>
          <w:rFonts w:ascii="Times New Roman" w:hAnsi="Times New Roman"/>
          <w:b w:val="false"/>
          <w:sz w:val="20"/>
        </w:rPr>
        <w:t>Income from grants is recognized in the period during which the related specified expenses are incurred, provided that the conditions under which the grants were provided have been met. We recognized $1.6</w:t>
      </w:r>
      <w:r>
        <w:rPr>
          <w:rFonts w:ascii="Times New Roman" w:hAnsi="Times New Roman"/>
          <w:sz w:val="20"/>
        </w:rPr>
        <w:t xml:space="preserve"> </w:t>
      </w:r>
      <w:r>
        <w:rPr>
          <w:rFonts w:ascii="Times New Roman" w:hAnsi="Times New Roman"/>
          <w:b w:val="false"/>
          <w:sz w:val="20"/>
        </w:rPr>
        <w:t>million, $2.5</w:t>
      </w:r>
      <w:r>
        <w:rPr>
          <w:rFonts w:ascii="Times New Roman" w:hAnsi="Times New Roman"/>
          <w:sz w:val="20"/>
        </w:rPr>
        <w:t xml:space="preserve"> </w:t>
      </w:r>
      <w:r>
        <w:rPr>
          <w:rFonts w:ascii="Times New Roman" w:hAnsi="Times New Roman"/>
          <w:b w:val="false"/>
          <w:sz w:val="20"/>
        </w:rPr>
        <w:t>million and $0.2</w:t>
      </w:r>
      <w:r>
        <w:rPr>
          <w:rFonts w:ascii="Times New Roman" w:hAnsi="Times New Roman"/>
          <w:sz w:val="20"/>
        </w:rPr>
        <w:t xml:space="preserve"> </w:t>
      </w:r>
      <w:r>
        <w:rPr>
          <w:rFonts w:ascii="Times New Roman" w:hAnsi="Times New Roman"/>
          <w:b w:val="false"/>
          <w:sz w:val="20"/>
        </w:rPr>
        <w:t>million of grant income and recorded the amounts in Other income (expense), net in the statement of operations during the years ended December 31, 2021, 2020, and 2019 respectively. A grant receivable of $1.2</w:t>
      </w:r>
      <w:r>
        <w:rPr>
          <w:rFonts w:ascii="Times New Roman" w:hAnsi="Times New Roman"/>
          <w:sz w:val="20"/>
        </w:rPr>
        <w:t xml:space="preserve"> </w:t>
      </w:r>
      <w:r>
        <w:rPr>
          <w:rFonts w:ascii="Times New Roman" w:hAnsi="Times New Roman"/>
          <w:b w:val="false"/>
          <w:sz w:val="20"/>
        </w:rPr>
        <w:t>million and $0.3</w:t>
      </w:r>
      <w:r>
        <w:rPr>
          <w:rFonts w:ascii="Times New Roman" w:hAnsi="Times New Roman"/>
          <w:sz w:val="20"/>
        </w:rPr>
        <w:t xml:space="preserve"> </w:t>
      </w:r>
      <w:r>
        <w:rPr>
          <w:rFonts w:ascii="Times New Roman" w:hAnsi="Times New Roman"/>
          <w:b w:val="false"/>
          <w:sz w:val="20"/>
        </w:rPr>
        <w:t>million representing unreimbursed, eligible costs incurred under the CARB-X agreement was recorded and included in Prepaid expenses and other current assets in the balance sheet as of December 31, 2021 and 2020, respectively.</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144</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caps/>
          <w:sz w:val="20"/>
        </w:rPr>
        <w:t xml:space="preserve">12. </w:t>
      </w:r>
      <w:r>
        <w:rPr>
          <w:rFonts w:ascii="Times New Roman" w:hAnsi="Times New Roman"/>
          <w:b/>
          <w:sz w:val="20"/>
        </w:rPr>
        <w:t>Net Loss Per Share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following table sets forth the computation of basic and diluted net loss per share and excludes shares which are legally outstanding, but subject to repurchase by us:</w:t>
      </w:r>
      <w:r>
        <w:rPr>
          <w:rFonts w:ascii="Times New Roman" w:hAnsi="Times New Roman"/>
          <w:sz w:val="20"/>
        </w:rPr>
        <w:t xml:space="preserve"> </w:t>
      </w:r>
    </w:p>
    <w:p>
      <w:pPr>
        <w:pStyle w:val="TextBody"/>
        <w:spacing w:lineRule="auto" w:line="273" w:before="0" w:after="0"/>
        <w:jc w:val="left"/>
        <w:rPr/>
      </w:pPr>
      <w:r>
        <w:rPr/>
        <w:t> </w:t>
      </w:r>
    </w:p>
    <w:tbl>
      <w:tblPr>
        <w:tblW w:w="9643" w:type="dxa"/>
        <w:jc w:val="left"/>
        <w:tblInd w:w="0" w:type="dxa"/>
        <w:tblCellMar>
          <w:top w:w="28" w:type="dxa"/>
          <w:left w:w="28" w:type="dxa"/>
          <w:bottom w:w="28" w:type="dxa"/>
          <w:right w:w="28" w:type="dxa"/>
        </w:tblCellMar>
      </w:tblPr>
      <w:tblGrid>
        <w:gridCol w:w="5026"/>
        <w:gridCol w:w="146"/>
        <w:gridCol w:w="211"/>
        <w:gridCol w:w="1036"/>
        <w:gridCol w:w="166"/>
        <w:gridCol w:w="146"/>
        <w:gridCol w:w="211"/>
        <w:gridCol w:w="1036"/>
        <w:gridCol w:w="166"/>
        <w:gridCol w:w="146"/>
        <w:gridCol w:w="211"/>
        <w:gridCol w:w="931"/>
        <w:gridCol w:w="211"/>
      </w:tblGrid>
      <w:tr>
        <w:trPr/>
        <w:tc>
          <w:tcPr>
            <w:tcW w:w="5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0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60"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Year Ended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0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2019</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0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(in thousands)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(100,077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(89,217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(50,274</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0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Weighted-average shares outstanding used in computing net</w:t>
              <w:br/>
              <w:t>   loss per share,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51,922,108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29,545,810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3,795,090</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0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per share,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(13.25</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following potentially dilutive securities were excluded from the computation of diluted net loss per share for the period presented because including them would have been antidilutive:</w:t>
      </w:r>
      <w:r>
        <w:rPr>
          <w:rFonts w:ascii="Times New Roman" w:hAnsi="Times New Roman"/>
          <w:sz w:val="20"/>
        </w:rPr>
        <w:t xml:space="preserve"> </w:t>
      </w:r>
    </w:p>
    <w:p>
      <w:pPr>
        <w:pStyle w:val="TextBody"/>
        <w:spacing w:lineRule="auto" w:line="273" w:before="0" w:after="0"/>
        <w:jc w:val="left"/>
        <w:rPr/>
      </w:pPr>
      <w:r>
        <w:rPr/>
        <w:t> </w:t>
      </w:r>
    </w:p>
    <w:tbl>
      <w:tblPr>
        <w:tblW w:w="8448" w:type="dxa"/>
        <w:jc w:val="left"/>
        <w:tblInd w:w="0" w:type="dxa"/>
        <w:tblCellMar>
          <w:top w:w="28" w:type="dxa"/>
          <w:left w:w="28" w:type="dxa"/>
          <w:bottom w:w="28" w:type="dxa"/>
          <w:right w:w="28" w:type="dxa"/>
        </w:tblCellMar>
      </w:tblPr>
      <w:tblGrid>
        <w:gridCol w:w="3991"/>
        <w:gridCol w:w="146"/>
        <w:gridCol w:w="146"/>
        <w:gridCol w:w="931"/>
        <w:gridCol w:w="146"/>
        <w:gridCol w:w="146"/>
        <w:gridCol w:w="146"/>
        <w:gridCol w:w="931"/>
        <w:gridCol w:w="146"/>
        <w:gridCol w:w="146"/>
        <w:gridCol w:w="146"/>
        <w:gridCol w:w="1036"/>
        <w:gridCol w:w="391"/>
      </w:tblGrid>
      <w:tr>
        <w:trPr/>
        <w:tc>
          <w:tcPr>
            <w:tcW w:w="39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9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0"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Year Ended December 31,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9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2019</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9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5,357,389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5,188,531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3,364,568</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9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Redeemable convertible preferred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39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Series 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6,225,719</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9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Series 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6,786,896</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9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Series 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7,377,480</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9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Common stock warrant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31,857</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9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Redeemable convertible preferred stock warrant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59,276</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39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5,357,389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5,188,531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23,845,796</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caps/>
          <w:sz w:val="20"/>
        </w:rPr>
        <w:t xml:space="preserve">13. </w:t>
      </w:r>
      <w:r>
        <w:rPr>
          <w:rFonts w:ascii="Times New Roman" w:hAnsi="Times New Roman"/>
          <w:b/>
          <w:sz w:val="20"/>
        </w:rPr>
        <w:t>Income Taxes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Our pre-tax book loss was derived from our business operations within the United States.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 reconciliation of our effective tax rate to the statutory U.S. federal rate is as follows:</w:t>
      </w:r>
      <w:r>
        <w:rPr>
          <w:rFonts w:ascii="Times New Roman" w:hAnsi="Times New Roman"/>
          <w:sz w:val="20"/>
        </w:rPr>
        <w:t xml:space="preserve"> </w:t>
      </w:r>
    </w:p>
    <w:p>
      <w:pPr>
        <w:pStyle w:val="TextBody"/>
        <w:spacing w:lineRule="auto" w:line="273" w:before="0" w:after="0"/>
        <w:jc w:val="left"/>
        <w:rPr/>
      </w:pPr>
      <w:r>
        <w:rPr/>
        <w:t> </w:t>
      </w:r>
    </w:p>
    <w:tbl>
      <w:tblPr>
        <w:tblW w:w="6999" w:type="dxa"/>
        <w:jc w:val="left"/>
        <w:tblInd w:w="0" w:type="dxa"/>
        <w:tblCellMar>
          <w:top w:w="28" w:type="dxa"/>
          <w:left w:w="28" w:type="dxa"/>
          <w:bottom w:w="28" w:type="dxa"/>
          <w:right w:w="28" w:type="dxa"/>
        </w:tblCellMar>
      </w:tblPr>
      <w:tblGrid>
        <w:gridCol w:w="3331"/>
        <w:gridCol w:w="146"/>
        <w:gridCol w:w="146"/>
        <w:gridCol w:w="526"/>
        <w:gridCol w:w="331"/>
        <w:gridCol w:w="146"/>
        <w:gridCol w:w="150"/>
        <w:gridCol w:w="540"/>
        <w:gridCol w:w="331"/>
        <w:gridCol w:w="146"/>
        <w:gridCol w:w="150"/>
        <w:gridCol w:w="540"/>
        <w:gridCol w:w="516"/>
      </w:tblGrid>
      <w:tr>
        <w:trPr/>
        <w:tc>
          <w:tcPr>
            <w:tcW w:w="3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33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06"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Year Ended December 31,</w:t>
            </w:r>
          </w:p>
        </w:tc>
        <w:tc>
          <w:tcPr>
            <w:tcW w:w="5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3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9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sz w:val="20"/>
              </w:rPr>
              <w:t>2020</w:t>
            </w:r>
            <w:r>
              <w:rPr>
                <w:rFonts w:ascii="Times New Roman" w:hAnsi="Times New Roman"/>
                <w:b/>
                <w:sz w:val="13"/>
              </w:rPr>
              <w:t>(1)</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sz w:val="20"/>
              </w:rPr>
              <w:t>2019</w:t>
            </w:r>
            <w:r>
              <w:rPr>
                <w:rFonts w:ascii="Times New Roman" w:hAnsi="Times New Roman"/>
                <w:b/>
                <w:sz w:val="13"/>
              </w:rPr>
              <w:t>(1)</w:t>
            </w:r>
          </w:p>
        </w:tc>
        <w:tc>
          <w:tcPr>
            <w:tcW w:w="5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Statutory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21.0</w:t>
            </w:r>
          </w:p>
        </w:tc>
        <w:tc>
          <w:tcPr>
            <w:tcW w:w="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 w:type="dxa"/>
            <w:tcBorders/>
            <w:shd w:fill="auto" w:val="clear"/>
            <w:vAlign w:val="center"/>
          </w:tcPr>
          <w:p>
            <w:pPr>
              <w:pStyle w:val="TableContents"/>
              <w:spacing w:lineRule="auto" w:line="252" w:before="0" w:after="0"/>
              <w:ind w:left="0" w:right="0" w:hanging="0"/>
              <w:jc w:val="left"/>
              <w:rPr/>
            </w:pPr>
            <w:r>
              <w:rPr/>
              <w:t> </w:t>
            </w:r>
          </w:p>
        </w:tc>
        <w:tc>
          <w:tcPr>
            <w:tcW w:w="54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21.0</w:t>
            </w:r>
          </w:p>
        </w:tc>
        <w:tc>
          <w:tcPr>
            <w:tcW w:w="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 w:type="dxa"/>
            <w:tcBorders/>
            <w:shd w:fill="auto" w:val="clear"/>
            <w:vAlign w:val="center"/>
          </w:tcPr>
          <w:p>
            <w:pPr>
              <w:pStyle w:val="TableContents"/>
              <w:spacing w:lineRule="auto" w:line="252" w:before="0" w:after="0"/>
              <w:ind w:left="0" w:right="0" w:hanging="0"/>
              <w:jc w:val="left"/>
              <w:rPr/>
            </w:pPr>
            <w:r>
              <w:rPr/>
              <w:t> </w:t>
            </w:r>
          </w:p>
        </w:tc>
        <w:tc>
          <w:tcPr>
            <w:tcW w:w="54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21.0</w:t>
            </w:r>
          </w:p>
        </w:tc>
        <w:tc>
          <w:tcPr>
            <w:tcW w:w="5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Stock-based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w:t>
            </w:r>
          </w:p>
        </w:tc>
        <w:tc>
          <w:tcPr>
            <w:tcW w:w="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 w:type="dxa"/>
            <w:tcBorders/>
            <w:shd w:fill="auto" w:val="clear"/>
            <w:vAlign w:val="center"/>
          </w:tcPr>
          <w:p>
            <w:pPr>
              <w:pStyle w:val="TableContents"/>
              <w:spacing w:lineRule="auto" w:line="252" w:before="0" w:after="0"/>
              <w:ind w:left="0" w:right="0" w:hanging="0"/>
              <w:jc w:val="left"/>
              <w:rPr/>
            </w:pPr>
            <w:r>
              <w:rPr/>
              <w:t> </w:t>
            </w:r>
          </w:p>
        </w:tc>
        <w:tc>
          <w:tcPr>
            <w:tcW w:w="54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0.8</w:t>
            </w:r>
          </w:p>
        </w:tc>
        <w:tc>
          <w:tcPr>
            <w:tcW w:w="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 w:type="dxa"/>
            <w:tcBorders/>
            <w:shd w:fill="auto" w:val="clear"/>
            <w:vAlign w:val="center"/>
          </w:tcPr>
          <w:p>
            <w:pPr>
              <w:pStyle w:val="TableContents"/>
              <w:spacing w:lineRule="auto" w:line="252" w:before="0" w:after="0"/>
              <w:ind w:left="0" w:right="0" w:hanging="0"/>
              <w:jc w:val="left"/>
              <w:rPr/>
            </w:pPr>
            <w:r>
              <w:rPr/>
              <w:t> </w:t>
            </w:r>
          </w:p>
        </w:tc>
        <w:tc>
          <w:tcPr>
            <w:tcW w:w="54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(0.4</w:t>
            </w:r>
          </w:p>
        </w:tc>
        <w:tc>
          <w:tcPr>
            <w:tcW w:w="5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Credits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w:t>
            </w:r>
          </w:p>
        </w:tc>
        <w:tc>
          <w:tcPr>
            <w:tcW w:w="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 w:type="dxa"/>
            <w:tcBorders/>
            <w:shd w:fill="auto" w:val="clear"/>
            <w:vAlign w:val="center"/>
          </w:tcPr>
          <w:p>
            <w:pPr>
              <w:pStyle w:val="TableContents"/>
              <w:spacing w:lineRule="auto" w:line="252" w:before="0" w:after="0"/>
              <w:ind w:left="0" w:right="0" w:hanging="0"/>
              <w:jc w:val="left"/>
              <w:rPr/>
            </w:pPr>
            <w:r>
              <w:rPr/>
              <w:t> </w:t>
            </w:r>
          </w:p>
        </w:tc>
        <w:tc>
          <w:tcPr>
            <w:tcW w:w="54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0.6</w:t>
            </w:r>
          </w:p>
        </w:tc>
        <w:tc>
          <w:tcPr>
            <w:tcW w:w="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 w:type="dxa"/>
            <w:tcBorders/>
            <w:shd w:fill="auto" w:val="clear"/>
            <w:vAlign w:val="center"/>
          </w:tcPr>
          <w:p>
            <w:pPr>
              <w:pStyle w:val="TableContents"/>
              <w:spacing w:lineRule="auto" w:line="252" w:before="0" w:after="0"/>
              <w:ind w:left="0" w:right="0" w:hanging="0"/>
              <w:jc w:val="left"/>
              <w:rPr/>
            </w:pPr>
            <w:r>
              <w:rPr/>
              <w:t> </w:t>
            </w:r>
          </w:p>
        </w:tc>
        <w:tc>
          <w:tcPr>
            <w:tcW w:w="54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(0.5</w:t>
            </w:r>
          </w:p>
        </w:tc>
        <w:tc>
          <w:tcPr>
            <w:tcW w:w="5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Change in fair value of tranche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w:t>
            </w:r>
          </w:p>
        </w:tc>
        <w:tc>
          <w:tcPr>
            <w:tcW w:w="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 w:type="dxa"/>
            <w:tcBorders/>
            <w:shd w:fill="auto" w:val="clear"/>
            <w:vAlign w:val="center"/>
          </w:tcPr>
          <w:p>
            <w:pPr>
              <w:pStyle w:val="TableContents"/>
              <w:spacing w:lineRule="auto" w:line="252" w:before="0" w:after="0"/>
              <w:ind w:left="0" w:right="0" w:hanging="0"/>
              <w:jc w:val="left"/>
              <w:rPr/>
            </w:pPr>
            <w:r>
              <w:rPr/>
              <w:t> </w:t>
            </w:r>
          </w:p>
        </w:tc>
        <w:tc>
          <w:tcPr>
            <w:tcW w:w="54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w:t>
            </w:r>
          </w:p>
        </w:tc>
        <w:tc>
          <w:tcPr>
            <w:tcW w:w="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 w:type="dxa"/>
            <w:tcBorders/>
            <w:shd w:fill="auto" w:val="clear"/>
            <w:vAlign w:val="center"/>
          </w:tcPr>
          <w:p>
            <w:pPr>
              <w:pStyle w:val="TableContents"/>
              <w:spacing w:lineRule="auto" w:line="252" w:before="0" w:after="0"/>
              <w:ind w:left="0" w:right="0" w:hanging="0"/>
              <w:jc w:val="left"/>
              <w:rPr/>
            </w:pPr>
            <w:r>
              <w:rPr/>
              <w:t> </w:t>
            </w:r>
          </w:p>
        </w:tc>
        <w:tc>
          <w:tcPr>
            <w:tcW w:w="54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w:t>
            </w:r>
          </w:p>
        </w:tc>
        <w:tc>
          <w:tcPr>
            <w:tcW w:w="5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Change in valuation allowance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(23.0</w:t>
            </w:r>
          </w:p>
        </w:tc>
        <w:tc>
          <w:tcPr>
            <w:tcW w:w="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 w:type="dxa"/>
            <w:tcBorders/>
            <w:shd w:fill="auto" w:val="clear"/>
            <w:vAlign w:val="center"/>
          </w:tcPr>
          <w:p>
            <w:pPr>
              <w:pStyle w:val="TableContents"/>
              <w:spacing w:lineRule="auto" w:line="252" w:before="0" w:after="0"/>
              <w:ind w:left="0" w:right="0" w:hanging="0"/>
              <w:jc w:val="left"/>
              <w:rPr/>
            </w:pPr>
            <w:r>
              <w:rPr/>
              <w:t> </w:t>
            </w:r>
          </w:p>
        </w:tc>
        <w:tc>
          <w:tcPr>
            <w:tcW w:w="54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(22.1</w:t>
            </w:r>
          </w:p>
        </w:tc>
        <w:tc>
          <w:tcPr>
            <w:tcW w:w="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 w:type="dxa"/>
            <w:tcBorders/>
            <w:shd w:fill="auto" w:val="clear"/>
            <w:vAlign w:val="center"/>
          </w:tcPr>
          <w:p>
            <w:pPr>
              <w:pStyle w:val="TableContents"/>
              <w:spacing w:lineRule="auto" w:line="252" w:before="0" w:after="0"/>
              <w:ind w:left="0" w:right="0" w:hanging="0"/>
              <w:jc w:val="left"/>
              <w:rPr/>
            </w:pPr>
            <w:r>
              <w:rPr/>
              <w:t> </w:t>
            </w:r>
          </w:p>
        </w:tc>
        <w:tc>
          <w:tcPr>
            <w:tcW w:w="54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(21.8</w:t>
            </w:r>
          </w:p>
        </w:tc>
        <w:tc>
          <w:tcPr>
            <w:tcW w:w="5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Section 162(m) limitation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w:t>
            </w:r>
          </w:p>
        </w:tc>
        <w:tc>
          <w:tcPr>
            <w:tcW w:w="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 w:type="dxa"/>
            <w:tcBorders/>
            <w:shd w:fill="auto" w:val="clear"/>
            <w:vAlign w:val="center"/>
          </w:tcPr>
          <w:p>
            <w:pPr>
              <w:pStyle w:val="TableContents"/>
              <w:spacing w:lineRule="auto" w:line="252" w:before="0" w:after="0"/>
              <w:ind w:left="0" w:right="0" w:hanging="0"/>
              <w:jc w:val="left"/>
              <w:rPr/>
            </w:pPr>
            <w:r>
              <w:rPr/>
              <w:t> </w:t>
            </w:r>
          </w:p>
        </w:tc>
        <w:tc>
          <w:tcPr>
            <w:tcW w:w="54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(0.1</w:t>
            </w:r>
          </w:p>
        </w:tc>
        <w:tc>
          <w:tcPr>
            <w:tcW w:w="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 w:type="dxa"/>
            <w:tcBorders/>
            <w:shd w:fill="auto" w:val="clear"/>
            <w:vAlign w:val="center"/>
          </w:tcPr>
          <w:p>
            <w:pPr>
              <w:pStyle w:val="TableContents"/>
              <w:spacing w:lineRule="auto" w:line="252" w:before="0" w:after="0"/>
              <w:ind w:left="0" w:right="0" w:hanging="0"/>
              <w:jc w:val="left"/>
              <w:rPr/>
            </w:pPr>
            <w:r>
              <w:rPr/>
              <w:t> </w:t>
            </w:r>
          </w:p>
        </w:tc>
        <w:tc>
          <w:tcPr>
            <w:tcW w:w="54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w:t>
            </w:r>
          </w:p>
        </w:tc>
        <w:tc>
          <w:tcPr>
            <w:tcW w:w="5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(0.2</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(0.2</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0.4</w:t>
            </w:r>
          </w:p>
        </w:tc>
        <w:tc>
          <w:tcPr>
            <w:tcW w:w="5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3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w:t>
            </w:r>
          </w:p>
        </w:tc>
        <w:tc>
          <w:tcPr>
            <w:tcW w:w="3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w:t>
            </w:r>
          </w:p>
        </w:tc>
        <w:tc>
          <w:tcPr>
            <w:tcW w:w="3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w:t>
            </w:r>
          </w:p>
        </w:tc>
        <w:tc>
          <w:tcPr>
            <w:tcW w:w="5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pBdr>
          <w:bottom w:val="single" w:sz="6" w:space="1" w:color="000000"/>
        </w:pBdr>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(1)</w:t>
      </w:r>
    </w:p>
    <w:p>
      <w:pPr>
        <w:pStyle w:val="TextBody"/>
        <w:spacing w:lineRule="auto" w:line="273"/>
        <w:jc w:val="left"/>
        <w:rPr>
          <w:rFonts w:ascii="Times New Roman" w:hAnsi="Times New Roman"/>
          <w:b w:val="false"/>
          <w:sz w:val="20"/>
        </w:rPr>
      </w:pPr>
      <w:r>
        <w:rPr>
          <w:rFonts w:ascii="Times New Roman" w:hAnsi="Times New Roman"/>
          <w:b w:val="false"/>
          <w:sz w:val="20"/>
        </w:rPr>
        <w:t>The 2019 and 2020 effective tax rate reconciliations have been updated to conform to the 2021 presentation.</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145</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Deferred income taxes reflect the net tax effects of temporary differences between the carrying amounts of the assets and liabilities for financial reporting purposes and the amounts used for income tax purposes. The following table presents significant components of our deferred tax assets as of December 31, 2021 and 2020:</w:t>
      </w:r>
      <w:r>
        <w:rPr>
          <w:rFonts w:ascii="Times New Roman" w:hAnsi="Times New Roman"/>
          <w:sz w:val="24"/>
        </w:rPr>
        <w:t xml:space="preserve"> </w:t>
      </w:r>
    </w:p>
    <w:p>
      <w:pPr>
        <w:pStyle w:val="TextBody"/>
        <w:spacing w:lineRule="auto" w:line="273" w:before="0" w:after="0"/>
        <w:jc w:val="left"/>
        <w:rPr/>
      </w:pPr>
      <w:r>
        <w:rPr/>
        <w:t> </w:t>
      </w:r>
    </w:p>
    <w:tbl>
      <w:tblPr>
        <w:tblW w:w="5914" w:type="dxa"/>
        <w:jc w:val="left"/>
        <w:tblInd w:w="0" w:type="dxa"/>
        <w:tblCellMar>
          <w:top w:w="28" w:type="dxa"/>
          <w:left w:w="28" w:type="dxa"/>
          <w:bottom w:w="28" w:type="dxa"/>
          <w:right w:w="28" w:type="dxa"/>
        </w:tblCellMar>
      </w:tblPr>
      <w:tblGrid>
        <w:gridCol w:w="2926"/>
        <w:gridCol w:w="146"/>
        <w:gridCol w:w="211"/>
        <w:gridCol w:w="781"/>
        <w:gridCol w:w="166"/>
        <w:gridCol w:w="146"/>
        <w:gridCol w:w="211"/>
        <w:gridCol w:w="736"/>
        <w:gridCol w:w="591"/>
      </w:tblGrid>
      <w:tr>
        <w:trPr/>
        <w:tc>
          <w:tcPr>
            <w:tcW w:w="2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5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As of December 31,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51"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(in thousands)</w:t>
            </w:r>
          </w:p>
        </w:tc>
        <w:tc>
          <w:tcPr>
            <w:tcW w:w="591" w:type="dxa"/>
            <w:tcBorders/>
            <w:shd w:fill="auto" w:val="clear"/>
            <w:vAlign w:val="center"/>
          </w:tcPr>
          <w:p>
            <w:pPr>
              <w:pStyle w:val="TableContents"/>
              <w:spacing w:lineRule="auto" w:line="252" w:before="0" w:after="0"/>
              <w:ind w:left="0" w:right="0" w:hanging="0"/>
              <w:jc w:val="center"/>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Deferred tax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hanging="0"/>
              <w:jc w:val="righ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operating losses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85,574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52,330</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Fixed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528</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Accruals &amp; reserves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4,131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2,786</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Credits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2,865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1,222</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Section 59(e) capitalized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2,984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3,381</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manufacturing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3,374</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292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Lease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6,674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292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deferred tax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104,934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63,621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Deferred tax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292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ROU asset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(8,349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292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deferred tax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(8,349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2926" w:type="dxa"/>
            <w:tcBorders/>
            <w:shd w:fill="auto" w:val="clear"/>
            <w:vAlign w:val="center"/>
          </w:tcPr>
          <w:p>
            <w:pPr>
              <w:pStyle w:val="TableContents"/>
              <w:spacing w:lineRule="auto" w:line="252" w:before="0" w:after="0"/>
              <w:ind w:left="40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hanging="0"/>
              <w:jc w:val="righ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deferred tax asset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96,585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63,621</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Valuation allowance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(96,585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(63,621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292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Net deferred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At December 31, 2021, we have net operating loss carryforwards of approximately $296.7</w:t>
      </w:r>
      <w:r>
        <w:rPr>
          <w:rFonts w:ascii="Times New Roman" w:hAnsi="Times New Roman"/>
          <w:sz w:val="20"/>
        </w:rPr>
        <w:t xml:space="preserve"> </w:t>
      </w:r>
      <w:r>
        <w:rPr>
          <w:rFonts w:ascii="Times New Roman" w:hAnsi="Times New Roman"/>
          <w:b w:val="false"/>
          <w:sz w:val="20"/>
        </w:rPr>
        <w:t>million and $262.7</w:t>
      </w:r>
      <w:r>
        <w:rPr>
          <w:rFonts w:ascii="Times New Roman" w:hAnsi="Times New Roman"/>
          <w:sz w:val="20"/>
        </w:rPr>
        <w:t xml:space="preserve"> </w:t>
      </w:r>
      <w:r>
        <w:rPr>
          <w:rFonts w:ascii="Times New Roman" w:hAnsi="Times New Roman"/>
          <w:b w:val="false"/>
          <w:sz w:val="20"/>
        </w:rPr>
        <w:t>million available to reduce future taxable income, if any, for federal and state income tax purposes, respectively. The federal and state net operating loss carryforwards, except the federal loss carryforward arising in tax years beginning after December 31, 2017, begin to expire in 2034</w:t>
      </w:r>
      <w:r>
        <w:rPr>
          <w:rFonts w:ascii="Times New Roman" w:hAnsi="Times New Roman"/>
          <w:sz w:val="20"/>
        </w:rPr>
        <w:t xml:space="preserve"> </w:t>
      </w:r>
      <w:r>
        <w:rPr>
          <w:rFonts w:ascii="Times New Roman" w:hAnsi="Times New Roman"/>
          <w:b w:val="false"/>
          <w:sz w:val="20"/>
        </w:rPr>
        <w:t>unless previously utilized. Federal net operating losses arising in tax years beginning after December 31, 2017 have an indefinite carryover period and do not expire.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At December 31, 2021, we have research credit carryforwards of $2.2</w:t>
      </w:r>
      <w:r>
        <w:rPr>
          <w:rFonts w:ascii="Times New Roman" w:hAnsi="Times New Roman"/>
          <w:sz w:val="20"/>
        </w:rPr>
        <w:t xml:space="preserve"> </w:t>
      </w:r>
      <w:r>
        <w:rPr>
          <w:rFonts w:ascii="Times New Roman" w:hAnsi="Times New Roman"/>
          <w:b w:val="false"/>
          <w:sz w:val="20"/>
        </w:rPr>
        <w:t>million and $1.6</w:t>
      </w:r>
      <w:r>
        <w:rPr>
          <w:rFonts w:ascii="Times New Roman" w:hAnsi="Times New Roman"/>
          <w:sz w:val="20"/>
        </w:rPr>
        <w:t xml:space="preserve"> </w:t>
      </w:r>
      <w:r>
        <w:rPr>
          <w:rFonts w:ascii="Times New Roman" w:hAnsi="Times New Roman"/>
          <w:b w:val="false"/>
          <w:sz w:val="20"/>
        </w:rPr>
        <w:t>million available to offset future income tax liabilities, if any, for federal and California income tax purposes, respectively. The federal research and development tax credit carryforwards expire beginning in 2039</w:t>
      </w:r>
      <w:r>
        <w:rPr>
          <w:rFonts w:ascii="Times New Roman" w:hAnsi="Times New Roman"/>
          <w:sz w:val="20"/>
        </w:rPr>
        <w:t xml:space="preserve"> </w:t>
      </w:r>
      <w:r>
        <w:rPr>
          <w:rFonts w:ascii="Times New Roman" w:hAnsi="Times New Roman"/>
          <w:b w:val="false"/>
          <w:sz w:val="20"/>
        </w:rPr>
        <w:t>unless previously utilized. The California tax credits can be carried forward indefinitely.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evaluated the positive and negative evidence bearing upon the realizability of our deferred tax assets. Based on our history of operating losses, we have concluded that it is more likely than not that the benefit of our deferred tax assets will not be realized. Accordingly, we have provided a full valuation allowance for deferred tax assets as of December 31, 2021 and 2020.</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Utilization of the net operating loss carryforward and research credit carryforward may be subject to an annual limitation due to the ownership percentage change limitations under Section 382 and Section 383, respectively, provided by the Internal Revenue Code of 1986, as amended (the “Code”), and similar state provisions. The annual limitation may result in the expiration of the net operating loss before utilization. We have experienced ownership changes in the past. As a result of the ownership changes, we have determined that approximately less than $0.1</w:t>
      </w:r>
      <w:r>
        <w:rPr>
          <w:rFonts w:ascii="Times New Roman" w:hAnsi="Times New Roman"/>
          <w:sz w:val="20"/>
        </w:rPr>
        <w:t xml:space="preserve"> </w:t>
      </w:r>
      <w:r>
        <w:rPr>
          <w:rFonts w:ascii="Times New Roman" w:hAnsi="Times New Roman"/>
          <w:b w:val="false"/>
          <w:sz w:val="20"/>
        </w:rPr>
        <w:t>million of our federal research credits will expire unutilized, and such amounts are excluded from our research credit carryforwards. The Company does not expect any ownership changes during the year ended December 31, 2021 to result in a limitation that would materially reduce the total amount of net operating loss carryforwards and credits that can be utilized. Subsequent ownership changes may affect the limitation in future years.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146</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uncertain tax benefits (“UTBs”) totaling $0.9</w:t>
      </w:r>
      <w:r>
        <w:rPr>
          <w:rFonts w:ascii="Times New Roman" w:hAnsi="Times New Roman"/>
          <w:sz w:val="20"/>
        </w:rPr>
        <w:t xml:space="preserve"> </w:t>
      </w:r>
      <w:r>
        <w:rPr>
          <w:rFonts w:ascii="Times New Roman" w:hAnsi="Times New Roman"/>
          <w:b w:val="false"/>
          <w:sz w:val="20"/>
        </w:rPr>
        <w:t>million and $0.4</w:t>
      </w:r>
      <w:r>
        <w:rPr>
          <w:rFonts w:ascii="Times New Roman" w:hAnsi="Times New Roman"/>
          <w:sz w:val="20"/>
        </w:rPr>
        <w:t xml:space="preserve"> </w:t>
      </w:r>
      <w:r>
        <w:rPr>
          <w:rFonts w:ascii="Times New Roman" w:hAnsi="Times New Roman"/>
          <w:b w:val="false"/>
          <w:sz w:val="20"/>
        </w:rPr>
        <w:t>million as of December 31, 2021 and 2020, respectively, which were netted against deferred tax assets subject to valuation allowance. The UTBs had no effect on the effective tax rate. We recognize interest and penalties related to UTBs, when they occur, as a component of income tax expense. To the extent accrued interest and penalties do not ultimately become payable, amounts accrued will be reduced and reflected as a reduction of the provision for income taxes in the period such determination is made. There were no</w:t>
      </w:r>
      <w:r>
        <w:rPr>
          <w:rFonts w:ascii="Times New Roman" w:hAnsi="Times New Roman"/>
          <w:sz w:val="20"/>
        </w:rPr>
        <w:t xml:space="preserve"> </w:t>
      </w:r>
      <w:r>
        <w:rPr>
          <w:rFonts w:ascii="Times New Roman" w:hAnsi="Times New Roman"/>
          <w:b w:val="false"/>
          <w:sz w:val="20"/>
        </w:rPr>
        <w:t>interest or penalties recognized for the years ended December 31, 2021 and 2020. We do not expect our UTBs to change significantly over the next 12 months.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 reconciliation of the beginning and ending unrecognized tax benefit amount is as follows:</w:t>
      </w:r>
      <w:r>
        <w:rPr>
          <w:rFonts w:ascii="Times New Roman" w:hAnsi="Times New Roman"/>
          <w:sz w:val="20"/>
        </w:rPr>
        <w:t xml:space="preserve"> </w:t>
      </w:r>
    </w:p>
    <w:p>
      <w:pPr>
        <w:pStyle w:val="TextBody"/>
        <w:spacing w:lineRule="auto" w:line="273" w:before="0" w:after="0"/>
        <w:jc w:val="left"/>
        <w:rPr/>
      </w:pPr>
      <w:r>
        <w:rPr/>
        <w:t> </w:t>
      </w:r>
    </w:p>
    <w:tbl>
      <w:tblPr>
        <w:tblW w:w="7688" w:type="dxa"/>
        <w:jc w:val="left"/>
        <w:tblInd w:w="0" w:type="dxa"/>
        <w:tblCellMar>
          <w:top w:w="28" w:type="dxa"/>
          <w:left w:w="28" w:type="dxa"/>
          <w:bottom w:w="28" w:type="dxa"/>
          <w:right w:w="28" w:type="dxa"/>
        </w:tblCellMar>
      </w:tblPr>
      <w:tblGrid>
        <w:gridCol w:w="4711"/>
        <w:gridCol w:w="146"/>
        <w:gridCol w:w="211"/>
        <w:gridCol w:w="421"/>
        <w:gridCol w:w="146"/>
        <w:gridCol w:w="146"/>
        <w:gridCol w:w="211"/>
        <w:gridCol w:w="481"/>
        <w:gridCol w:w="166"/>
        <w:gridCol w:w="146"/>
        <w:gridCol w:w="211"/>
        <w:gridCol w:w="481"/>
        <w:gridCol w:w="211"/>
      </w:tblGrid>
      <w:tr>
        <w:trPr/>
        <w:tc>
          <w:tcPr>
            <w:tcW w:w="47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7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0"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7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2019</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7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0" w:type="dxa"/>
            <w:gridSpan w:val="10"/>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(in thousands)</w:t>
            </w:r>
          </w:p>
        </w:tc>
        <w:tc>
          <w:tcPr>
            <w:tcW w:w="211" w:type="dxa"/>
            <w:tcBorders/>
            <w:shd w:fill="auto" w:val="clear"/>
            <w:vAlign w:val="center"/>
          </w:tcPr>
          <w:p>
            <w:pPr>
              <w:pStyle w:val="TableContents"/>
              <w:spacing w:lineRule="auto" w:line="252" w:before="0" w:after="0"/>
              <w:ind w:left="0" w:right="0" w:hanging="0"/>
              <w:jc w:val="center"/>
              <w:rPr/>
            </w:pPr>
            <w:r>
              <w:rPr/>
              <w:t> </w:t>
            </w:r>
          </w:p>
        </w:tc>
      </w:tr>
      <w:tr>
        <w:trPr/>
        <w:tc>
          <w:tcPr>
            <w:tcW w:w="47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Balance at the beginning of the year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408</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7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Additions based on tax positions related to current year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217</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7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Adjustments based on tax positions related to prior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(354</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7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Balance at end of year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271</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file U.S. federal and state tax returns. In general, the Company is no longer subject to tax examination by the Internal Revenue Service or state taxing authorities for years before 2016. Although the federal and state statutes are closed for purposes of assessing additional income tax in those prior years, the taxing authorities may still make adjustments to the net operating loss, or NOL, and credit carryforwards used in open years. Therefore, the tax statutes should be considered open as it relates to the NOL and credit carryforwards used in open years. We do not have any tax audits or other issues pending.</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March 27, 2020, the President of the United States signed into law the Coronavirus Aid, Relief, and Economic Security Act (CARES Act). The CARES Act, among other things, includes certain income tax provisions for individuals and corporations; however, these benefits do not impact our current tax provision.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December 21, 2020, the President of the United States signed into law the “Consolidated Appropriations Act, 2021” which includes further COVID-19 economic relief and extension of certain expiring tax provisions. The relief package includes a tax provision clarifying that businesses with forgiven Paycheck Protection Program, or PPP, loans can deduct regular business expenses that are paid for with the loan proceeds. Additional pandemic relief tax measures include an expansion of the employee retention credit, enhanced charitable contribution deductions and a temporary full deduction for business expenses for food and beverages provided by a restaurant. These benefits do not have a material impact on the current tax provision.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147</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caps/>
          <w:sz w:val="20"/>
        </w:rPr>
        <w:t xml:space="preserve">14. </w:t>
      </w:r>
      <w:r>
        <w:rPr>
          <w:rFonts w:ascii="Times New Roman" w:hAnsi="Times New Roman"/>
          <w:b/>
          <w:sz w:val="20"/>
        </w:rPr>
        <w:t>Related Party Transactions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have an ongoing relationship with Sutro Biopharma. In 2013, Sutro Biopharma provided support to facilitate the establishment of our Company. As of December 31, 2021 and 2020, Sutro Biopharma owned approximately 1.6</w:t>
      </w:r>
      <w:r>
        <w:rPr>
          <w:rFonts w:ascii="Times New Roman" w:hAnsi="Times New Roman"/>
          <w:sz w:val="20"/>
        </w:rPr>
        <w:t xml:space="preserve"> </w:t>
      </w:r>
      <w:r>
        <w:rPr>
          <w:rFonts w:ascii="Times New Roman" w:hAnsi="Times New Roman"/>
          <w:b w:val="false"/>
          <w:sz w:val="20"/>
        </w:rPr>
        <w:t>million shares of our common stock. As of December 31, 2019, Sutro Biopharma also owned warrants to purchase 31,857</w:t>
      </w:r>
      <w:r>
        <w:rPr>
          <w:rFonts w:ascii="Times New Roman" w:hAnsi="Times New Roman"/>
          <w:sz w:val="20"/>
        </w:rPr>
        <w:t xml:space="preserve"> </w:t>
      </w:r>
      <w:r>
        <w:rPr>
          <w:rFonts w:ascii="Times New Roman" w:hAnsi="Times New Roman"/>
          <w:b w:val="false"/>
          <w:sz w:val="20"/>
        </w:rPr>
        <w:t>shares of our common stock (the “Common Stock Warrant”) at an exercise price of $0.79289</w:t>
      </w:r>
      <w:r>
        <w:rPr>
          <w:rFonts w:ascii="Times New Roman" w:hAnsi="Times New Roman"/>
          <w:sz w:val="20"/>
        </w:rPr>
        <w:t xml:space="preserve"> </w:t>
      </w:r>
      <w:r>
        <w:rPr>
          <w:rFonts w:ascii="Times New Roman" w:hAnsi="Times New Roman"/>
          <w:b w:val="false"/>
          <w:sz w:val="20"/>
        </w:rPr>
        <w:t>per share and 59,276</w:t>
      </w:r>
      <w:r>
        <w:rPr>
          <w:rFonts w:ascii="Times New Roman" w:hAnsi="Times New Roman"/>
          <w:sz w:val="20"/>
        </w:rPr>
        <w:t xml:space="preserve"> </w:t>
      </w:r>
      <w:r>
        <w:rPr>
          <w:rFonts w:ascii="Times New Roman" w:hAnsi="Times New Roman"/>
          <w:b w:val="false"/>
          <w:sz w:val="20"/>
        </w:rPr>
        <w:t>shares of our Series C redeemable convertible stock (the “Preferred Stock Warrant”) at an exercise price of $11.5215</w:t>
      </w:r>
      <w:r>
        <w:rPr>
          <w:rFonts w:ascii="Times New Roman" w:hAnsi="Times New Roman"/>
          <w:sz w:val="20"/>
        </w:rPr>
        <w:t xml:space="preserve"> </w:t>
      </w:r>
      <w:r>
        <w:rPr>
          <w:rFonts w:ascii="Times New Roman" w:hAnsi="Times New Roman"/>
          <w:b w:val="false"/>
          <w:sz w:val="20"/>
        </w:rPr>
        <w:t>per share. The Common Stock Warrant and the Preferred Stock Warrant were automatically net exercised pursuant to their terms for 30,278</w:t>
      </w:r>
      <w:r>
        <w:rPr>
          <w:rFonts w:ascii="Times New Roman" w:hAnsi="Times New Roman"/>
          <w:sz w:val="20"/>
        </w:rPr>
        <w:t xml:space="preserve"> </w:t>
      </w:r>
      <w:r>
        <w:rPr>
          <w:rFonts w:ascii="Times New Roman" w:hAnsi="Times New Roman"/>
          <w:b w:val="false"/>
          <w:sz w:val="20"/>
        </w:rPr>
        <w:t>shares and 16,591</w:t>
      </w:r>
      <w:r>
        <w:rPr>
          <w:rFonts w:ascii="Times New Roman" w:hAnsi="Times New Roman"/>
          <w:sz w:val="20"/>
        </w:rPr>
        <w:t xml:space="preserve"> </w:t>
      </w:r>
      <w:r>
        <w:rPr>
          <w:rFonts w:ascii="Times New Roman" w:hAnsi="Times New Roman"/>
          <w:b w:val="false"/>
          <w:sz w:val="20"/>
        </w:rPr>
        <w:t>shares, respectively, of our common stock in connection with the IPO. In the agreements and amendments identified herein, we licensed certain intellectual property and acquired certain supply rights from Sutro Biopharma, including the right to use the XpressCF platform to discover and develop vaccine candidates for the treatment or prophylaxis of infectious diseases. On October 12, 2015, we and Sutro Biopharma (“the Parties”) entered into the Sutro Biopharma License Agreement, which amended and restated an agreement dated August 1, 2014. The Sutro Biopharma License Agreement was subsequently amended on May 9, 2018 (“License Amendment A1”) and May 29, 2018 (“License Amendment A2”). In consideration for the License Amendment A2, we issued to Sutro Biopharma the Preferred Stock Warrant to purchase 59,276</w:t>
      </w:r>
      <w:r>
        <w:rPr>
          <w:rFonts w:ascii="Times New Roman" w:hAnsi="Times New Roman"/>
          <w:sz w:val="20"/>
        </w:rPr>
        <w:t xml:space="preserve"> </w:t>
      </w:r>
      <w:r>
        <w:rPr>
          <w:rFonts w:ascii="Times New Roman" w:hAnsi="Times New Roman"/>
          <w:b w:val="false"/>
          <w:sz w:val="20"/>
        </w:rPr>
        <w:t>shares of Series C redeemable convertible preferred stock at a purchase price of $11.5215</w:t>
      </w:r>
      <w:r>
        <w:rPr>
          <w:rFonts w:ascii="Times New Roman" w:hAnsi="Times New Roman"/>
          <w:sz w:val="20"/>
        </w:rPr>
        <w:t xml:space="preserve"> </w:t>
      </w:r>
      <w:r>
        <w:rPr>
          <w:rFonts w:ascii="Times New Roman" w:hAnsi="Times New Roman"/>
          <w:b w:val="false"/>
          <w:sz w:val="20"/>
        </w:rPr>
        <w:t>per share. We also entered into a separate supply agreement with Sutro Biopharma on May 29, 2018</w:t>
      </w:r>
      <w:r>
        <w:rPr>
          <w:rFonts w:ascii="Times New Roman" w:hAnsi="Times New Roman"/>
          <w:sz w:val="20"/>
        </w:rPr>
        <w:t xml:space="preserve"> </w:t>
      </w:r>
      <w:r>
        <w:rPr>
          <w:rFonts w:ascii="Times New Roman" w:hAnsi="Times New Roman"/>
          <w:b w:val="false"/>
          <w:sz w:val="20"/>
        </w:rPr>
        <w:t>(the “Sutro Biopharma Supply Agreement”). As of June 2, 2021, Sutro Biopharma was no longer considered a related party.</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Under the Sutro Biopharma License Agreement, Sutro Biopharma granted us an exclusive, worldwide license to research, develop, manufacture and commercialize vaccine products addressing infectious disease, which are discovered or produced based on the use of Sutro Biopharma’s proprietary cell-free protein expression technology, known as XpressCF, which utilizes extracts derived from strains of </w:t>
      </w:r>
      <w:r>
        <w:rPr>
          <w:rFonts w:ascii="Times New Roman" w:hAnsi="Times New Roman"/>
          <w:b w:val="false"/>
          <w:i/>
          <w:sz w:val="20"/>
        </w:rPr>
        <w:t>E. coli</w:t>
      </w:r>
      <w:r>
        <w:rPr>
          <w:rFonts w:ascii="Times New Roman" w:hAnsi="Times New Roman"/>
          <w:b w:val="false"/>
          <w:sz w:val="20"/>
        </w:rPr>
        <w:t xml:space="preserve">. In connection with the Sutro Biopharma License Agreement, under the Sutro Biopharma Supply Agreement, Sutro Biopharma has agreed to manufacture and supply extracts and reagents for us on a cost-plus basis. In consideration for the rights licensed, we are obligated to pay a 4% royalty on worldwide aggregate annual net sales of our vaccine products for human health and a 2% royalty on annual net sales of vaccine products for animal health. In License Amendment A1, the Parties amended the license agreement to remove a pre-IND regulatory meeting as a diligence milestone and to agree that certain other diligence milestones had been satisfied. In License Amendment A2, the Parties amended the license agreement to add certain terms confirming our obligation to purchase Sutro Biopharma’s proprietary extract from </w:t>
      </w:r>
      <w:r>
        <w:rPr>
          <w:rFonts w:ascii="Times New Roman" w:hAnsi="Times New Roman"/>
          <w:b w:val="false"/>
          <w:i/>
          <w:sz w:val="20"/>
        </w:rPr>
        <w:t xml:space="preserve">E. coli </w:t>
      </w:r>
      <w:r>
        <w:rPr>
          <w:rFonts w:ascii="Times New Roman" w:hAnsi="Times New Roman"/>
          <w:b w:val="false"/>
          <w:sz w:val="20"/>
        </w:rPr>
        <w:t>(“Extract”) from Sutro Biopharma. In addition, the Parties amended the license agreement to specify our rights to a transfer of certain know-how relating to the manufacture of Extract in the event of a declaration of bankruptcy by Sutro Biopharma. Finally, the Parties agreed to terms providing for injunctive relief in the event of a breach or threatened breach by the other party.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the Sutro Biopharma Supply Agreement, the Parties agreed to terms for the supply of manufactured Extract and custom reagents by Sutro Biopharma for us to use in manufacturing vaccine compositions in non-clinical research or in Phase 1 or Phase 2 clinical trials. The term of the Sutro Biopharma Supply Agreement is from execution until the later of July 31, 2021 and the date the parties enter into and commence activities under the supply agreement unless extended through a subsequent supply agreement for the supply of Extract and custom reagents for vaccine compositions for Phase 3 and commercial uses as contemplated in the Supply Agreement. In February 2021, we entered into an amendment to the Sutro Biopharma Supply Agreement and extended the term to July 31, 2022.</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We recognized expense related to the Supply Agreement of $2.4</w:t>
      </w:r>
      <w:r>
        <w:rPr>
          <w:rFonts w:ascii="Times New Roman" w:hAnsi="Times New Roman"/>
          <w:sz w:val="20"/>
        </w:rPr>
        <w:t xml:space="preserve"> </w:t>
      </w:r>
      <w:r>
        <w:rPr>
          <w:rFonts w:ascii="Times New Roman" w:hAnsi="Times New Roman"/>
          <w:b w:val="false"/>
          <w:sz w:val="20"/>
        </w:rPr>
        <w:t>million, $1.2</w:t>
      </w:r>
      <w:r>
        <w:rPr>
          <w:rFonts w:ascii="Times New Roman" w:hAnsi="Times New Roman"/>
          <w:sz w:val="20"/>
        </w:rPr>
        <w:t xml:space="preserve"> </w:t>
      </w:r>
      <w:r>
        <w:rPr>
          <w:rFonts w:ascii="Times New Roman" w:hAnsi="Times New Roman"/>
          <w:b w:val="false"/>
          <w:sz w:val="20"/>
        </w:rPr>
        <w:t>million and $1.1</w:t>
      </w:r>
      <w:r>
        <w:rPr>
          <w:rFonts w:ascii="Times New Roman" w:hAnsi="Times New Roman"/>
          <w:sz w:val="20"/>
        </w:rPr>
        <w:t xml:space="preserve"> </w:t>
      </w:r>
      <w:r>
        <w:rPr>
          <w:rFonts w:ascii="Times New Roman" w:hAnsi="Times New Roman"/>
          <w:b w:val="false"/>
          <w:sz w:val="20"/>
        </w:rPr>
        <w:t>million for the years ended December 31, 2021, 2020 and 2019, respectively. In addition, we recorded $0, $0.2</w:t>
      </w:r>
      <w:r>
        <w:rPr>
          <w:rFonts w:ascii="Times New Roman" w:hAnsi="Times New Roman"/>
          <w:sz w:val="20"/>
        </w:rPr>
        <w:t xml:space="preserve"> </w:t>
      </w:r>
      <w:r>
        <w:rPr>
          <w:rFonts w:ascii="Times New Roman" w:hAnsi="Times New Roman"/>
          <w:b w:val="false"/>
          <w:sz w:val="20"/>
        </w:rPr>
        <w:t>million and $0</w:t>
      </w:r>
      <w:r>
        <w:rPr>
          <w:rFonts w:ascii="Times New Roman" w:hAnsi="Times New Roman"/>
          <w:sz w:val="20"/>
        </w:rPr>
        <w:t xml:space="preserve"> </w:t>
      </w:r>
      <w:r>
        <w:rPr>
          <w:rFonts w:ascii="Times New Roman" w:hAnsi="Times New Roman"/>
          <w:b w:val="false"/>
          <w:sz w:val="20"/>
        </w:rPr>
        <w:t>in changes in the fair value of the Preferred Stock Warrant for the years ended December 31, 2021, 2020 and 2019, respectively. The expense related to the changes in the fair value of the warrant is included in research and development expenses in the statements of operations. Accrued expenses payable to Sutro Biopharma were $0</w:t>
      </w:r>
      <w:r>
        <w:rPr>
          <w:rFonts w:ascii="Times New Roman" w:hAnsi="Times New Roman"/>
          <w:sz w:val="20"/>
        </w:rPr>
        <w:t xml:space="preserve"> </w:t>
      </w:r>
      <w:r>
        <w:rPr>
          <w:rFonts w:ascii="Times New Roman" w:hAnsi="Times New Roman"/>
          <w:b w:val="false"/>
          <w:sz w:val="20"/>
        </w:rPr>
        <w:t>and $0.7</w:t>
      </w:r>
      <w:r>
        <w:rPr>
          <w:rFonts w:ascii="Times New Roman" w:hAnsi="Times New Roman"/>
          <w:sz w:val="20"/>
        </w:rPr>
        <w:t xml:space="preserve"> </w:t>
      </w:r>
      <w:r>
        <w:rPr>
          <w:rFonts w:ascii="Times New Roman" w:hAnsi="Times New Roman"/>
          <w:b w:val="false"/>
          <w:sz w:val="20"/>
        </w:rPr>
        <w:t>million as of December 31, 2021</w:t>
      </w:r>
      <w:r>
        <w:rPr>
          <w:rFonts w:ascii="Times New Roman" w:hAnsi="Times New Roman"/>
          <w:sz w:val="20"/>
        </w:rPr>
        <w:t xml:space="preserve"> </w:t>
      </w:r>
      <w:r>
        <w:rPr>
          <w:rFonts w:ascii="Times New Roman" w:hAnsi="Times New Roman"/>
          <w:b w:val="false"/>
          <w:sz w:val="20"/>
        </w:rPr>
        <w:t>and 2020, respectively.</w:t>
      </w:r>
    </w:p>
    <w:p>
      <w:pPr>
        <w:pStyle w:val="TextBody"/>
        <w:spacing w:lineRule="auto" w:line="273" w:before="24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148</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sz w:val="20"/>
        </w:rPr>
      </w:pPr>
      <w:r>
        <w:rPr>
          <w:rFonts w:ascii="Times New Roman" w:hAnsi="Times New Roman"/>
          <w:b/>
          <w:sz w:val="20"/>
        </w:rPr>
        <w:t>15. Subsequent Events</w:t>
      </w:r>
    </w:p>
    <w:p>
      <w:pPr>
        <w:pStyle w:val="TextBody"/>
        <w:spacing w:lineRule="auto" w:line="273" w:before="240" w:after="0"/>
        <w:jc w:val="left"/>
        <w:rPr>
          <w:rFonts w:ascii="Times New Roman" w:hAnsi="Times New Roman"/>
          <w:sz w:val="20"/>
        </w:rPr>
      </w:pPr>
      <w:r>
        <w:rPr>
          <w:rFonts w:ascii="Times New Roman" w:hAnsi="Times New Roman"/>
          <w:b w:val="false"/>
          <w:sz w:val="20"/>
        </w:rPr>
        <w:t>In January 2022, we completed an underwritten public offering in which we issued 2,500,000</w:t>
      </w:r>
      <w:r>
        <w:rPr>
          <w:rFonts w:ascii="Times New Roman" w:hAnsi="Times New Roman"/>
          <w:sz w:val="20"/>
        </w:rPr>
        <w:t xml:space="preserve"> </w:t>
      </w:r>
      <w:r>
        <w:rPr>
          <w:rFonts w:ascii="Times New Roman" w:hAnsi="Times New Roman"/>
          <w:b w:val="false"/>
          <w:sz w:val="20"/>
        </w:rPr>
        <w:t>shares of our common stock at a price of $20.00</w:t>
      </w:r>
      <w:r>
        <w:rPr>
          <w:rFonts w:ascii="Times New Roman" w:hAnsi="Times New Roman"/>
          <w:sz w:val="20"/>
        </w:rPr>
        <w:t xml:space="preserve"> </w:t>
      </w:r>
      <w:r>
        <w:rPr>
          <w:rFonts w:ascii="Times New Roman" w:hAnsi="Times New Roman"/>
          <w:b w:val="false"/>
          <w:sz w:val="20"/>
        </w:rPr>
        <w:t>per share, and pre-funded warrants to purchase 2,500,000</w:t>
      </w:r>
      <w:r>
        <w:rPr>
          <w:rFonts w:ascii="Times New Roman" w:hAnsi="Times New Roman"/>
          <w:sz w:val="20"/>
        </w:rPr>
        <w:t xml:space="preserve"> </w:t>
      </w:r>
      <w:r>
        <w:rPr>
          <w:rFonts w:ascii="Times New Roman" w:hAnsi="Times New Roman"/>
          <w:b w:val="false"/>
          <w:sz w:val="20"/>
        </w:rPr>
        <w:t>shares of our common stock at a price of $19.999</w:t>
      </w:r>
      <w:r>
        <w:rPr>
          <w:rFonts w:ascii="Times New Roman" w:hAnsi="Times New Roman"/>
          <w:sz w:val="20"/>
        </w:rPr>
        <w:t xml:space="preserve"> </w:t>
      </w:r>
      <w:r>
        <w:rPr>
          <w:rFonts w:ascii="Times New Roman" w:hAnsi="Times New Roman"/>
          <w:b w:val="false"/>
          <w:sz w:val="20"/>
        </w:rPr>
        <w:t>per underlying share. We received approximately $93.5</w:t>
      </w:r>
      <w:r>
        <w:rPr>
          <w:rFonts w:ascii="Times New Roman" w:hAnsi="Times New Roman"/>
          <w:sz w:val="20"/>
        </w:rPr>
        <w:t xml:space="preserve"> </w:t>
      </w:r>
      <w:r>
        <w:rPr>
          <w:rFonts w:ascii="Times New Roman" w:hAnsi="Times New Roman"/>
          <w:b w:val="false"/>
          <w:sz w:val="20"/>
        </w:rPr>
        <w:t>million in net proceeds after deducting underwriting discounts and commissions and other estimated offering expenses payable by us. In February 2022, the underwriters exercised their option to purchase an additional 750,000</w:t>
      </w:r>
      <w:r>
        <w:rPr>
          <w:rFonts w:ascii="Times New Roman" w:hAnsi="Times New Roman"/>
          <w:sz w:val="20"/>
        </w:rPr>
        <w:t xml:space="preserve"> </w:t>
      </w:r>
      <w:r>
        <w:rPr>
          <w:rFonts w:ascii="Times New Roman" w:hAnsi="Times New Roman"/>
          <w:b w:val="false"/>
          <w:sz w:val="20"/>
        </w:rPr>
        <w:t>shares of common stock, and we received approximately $14.1</w:t>
      </w:r>
      <w:r>
        <w:rPr>
          <w:rFonts w:ascii="Times New Roman" w:hAnsi="Times New Roman"/>
          <w:sz w:val="20"/>
        </w:rPr>
        <w:t xml:space="preserve"> </w:t>
      </w:r>
      <w:r>
        <w:rPr>
          <w:rFonts w:ascii="Times New Roman" w:hAnsi="Times New Roman"/>
          <w:b w:val="false"/>
          <w:sz w:val="20"/>
        </w:rPr>
        <w:t>million in additional net proceeds after deducting underwriting discounts and commissions.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149</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bookmarkStart w:id="21" w:name="item_9_changes_in_disagreements_with_acc"/>
      <w:bookmarkEnd w:id="21"/>
      <w:r>
        <w:rPr>
          <w:rFonts w:ascii="Times New Roman" w:hAnsi="Times New Roman"/>
          <w:b/>
          <w:sz w:val="20"/>
        </w:rPr>
        <w:t>Item 9. Changes in and Disagreements with Accountants on Accounting and Financial Disclosure.</w:t>
      </w:r>
    </w:p>
    <w:p>
      <w:pPr>
        <w:pStyle w:val="TextBody"/>
        <w:spacing w:lineRule="auto" w:line="273" w:before="240" w:after="0"/>
        <w:jc w:val="left"/>
        <w:rPr>
          <w:rFonts w:ascii="Times New Roman" w:hAnsi="Times New Roman"/>
          <w:sz w:val="20"/>
        </w:rPr>
      </w:pPr>
      <w:r>
        <w:rPr>
          <w:rFonts w:ascii="Times New Roman" w:hAnsi="Times New Roman"/>
          <w:b w:val="false"/>
          <w:sz w:val="20"/>
        </w:rPr>
        <w:t>None.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bookmarkStart w:id="22" w:name="item_9a_controls_procedures"/>
      <w:bookmarkEnd w:id="22"/>
      <w:r>
        <w:rPr>
          <w:rFonts w:ascii="Times New Roman" w:hAnsi="Times New Roman"/>
          <w:b/>
          <w:sz w:val="20"/>
        </w:rPr>
        <w:t>Item 9A. Controls and Procedures.</w:t>
      </w:r>
      <w:r>
        <w:rPr>
          <w:rFonts w:ascii="Times New Roman" w:hAnsi="Times New Roman"/>
          <w:sz w:val="20"/>
        </w:rPr>
        <w:t xml:space="preserve"> </w:t>
      </w:r>
    </w:p>
    <w:p>
      <w:pPr>
        <w:pStyle w:val="TextBody"/>
        <w:spacing w:lineRule="auto" w:line="273" w:before="240" w:after="0"/>
        <w:jc w:val="left"/>
        <w:rPr>
          <w:rFonts w:ascii="Times New Roman" w:hAnsi="Times New Roman"/>
          <w:b/>
          <w:i/>
          <w:sz w:val="20"/>
        </w:rPr>
      </w:pPr>
      <w:r>
        <w:rPr>
          <w:rFonts w:ascii="Times New Roman" w:hAnsi="Times New Roman"/>
          <w:b/>
          <w:i/>
          <w:sz w:val="20"/>
        </w:rPr>
        <w:t>Conclusion Regarding the Effectiveness of Disclosure Controls and Procedures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management, with the participation of our Chief Executive Office, or CEO, and our Chief Financial Officer, or CFO, our principal executive officer and principal financial officer, respectively, has evaluated the effectiveness of the design and operation of our disclosure controls and procedures, as defined in Rules 13a-15(e) and 15d-15(e) under the Securities Exchange Act of 1934, as amended, or the Exchange Act, as of December 31, 2021. Based on this evaluation, our CEO and CFO have concluded that our disclosure controls and procedures as of December 31, 2021 were effective at a reasonable assurance level.</w:t>
      </w:r>
    </w:p>
    <w:p>
      <w:pPr>
        <w:pStyle w:val="TextBody"/>
        <w:spacing w:lineRule="auto" w:line="273" w:before="240" w:after="0"/>
        <w:jc w:val="left"/>
        <w:rPr>
          <w:rFonts w:ascii="Times New Roman" w:hAnsi="Times New Roman"/>
          <w:b/>
          <w:i/>
          <w:sz w:val="20"/>
        </w:rPr>
      </w:pPr>
      <w:r>
        <w:rPr>
          <w:rFonts w:ascii="Times New Roman" w:hAnsi="Times New Roman"/>
          <w:b/>
          <w:i/>
          <w:sz w:val="20"/>
        </w:rPr>
        <w:t>Changes in Internal Control Over Financial Reporting</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There have been no changes in our internal control over financial reporting during the quarter ended December 31, 2021 that have materially affected, or are reasonably likely to materially affect, our internal control over financial reporting.</w:t>
      </w:r>
    </w:p>
    <w:p>
      <w:pPr>
        <w:pStyle w:val="TextBody"/>
        <w:spacing w:lineRule="auto" w:line="273" w:before="240" w:after="0"/>
        <w:jc w:val="left"/>
        <w:rPr>
          <w:rFonts w:ascii="Times New Roman" w:hAnsi="Times New Roman"/>
          <w:b/>
          <w:i/>
          <w:sz w:val="20"/>
        </w:rPr>
      </w:pPr>
      <w:r>
        <w:rPr>
          <w:rFonts w:ascii="Times New Roman" w:hAnsi="Times New Roman"/>
          <w:b/>
          <w:i/>
          <w:sz w:val="20"/>
        </w:rPr>
        <w:t>Management’s Annual Report on Internal Control over Financial Reporting</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management assessed the effectiveness of our internal control over financial reporting as of December 31, 2021 based on the criteria set forth by the Committee of Sponsoring Organizations of the Treadway Commission in its 2013 Internal Control - Integrated Framework. Based on this assessment, our management has concluded that our internal control over financial reporting was effective as of December 31, 2021. Pursuant to Section 404(c) of the Sarbanes-Oxley Act, our independent registered public accounting firm has issued an attestation report on the effectiveness of our internal control over financial reporting for the year ended December 31, 2021, which is included below.</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150</w:t>
      </w:r>
    </w:p>
    <w:p>
      <w:pPr>
        <w:pStyle w:val="HorizontalLine"/>
        <w:rPr/>
      </w:pPr>
      <w:r>
        <w:rPr/>
      </w:r>
    </w:p>
    <w:p>
      <w:pPr>
        <w:pStyle w:val="TextBody"/>
        <w:spacing w:lineRule="auto" w:line="273" w:before="0" w:after="0"/>
        <w:jc w:val="left"/>
        <w:rPr/>
      </w:pPr>
      <w:r>
        <w:rPr/>
        <w:t> </w:t>
      </w:r>
    </w:p>
    <w:p>
      <w:pPr>
        <w:pStyle w:val="TextBody"/>
        <w:spacing w:lineRule="auto" w:line="273" w:before="200" w:after="0"/>
        <w:jc w:val="center"/>
        <w:rPr>
          <w:rFonts w:ascii="Times New Roman" w:hAnsi="Times New Roman"/>
          <w:b/>
          <w:sz w:val="20"/>
        </w:rPr>
      </w:pPr>
      <w:r>
        <w:rPr>
          <w:rFonts w:ascii="Times New Roman" w:hAnsi="Times New Roman"/>
          <w:b/>
          <w:sz w:val="20"/>
        </w:rPr>
        <w:t>Report of Independent Registered Public Accounting Firm</w:t>
      </w:r>
    </w:p>
    <w:p>
      <w:pPr>
        <w:pStyle w:val="TextBody"/>
        <w:spacing w:lineRule="auto" w:line="273" w:before="240" w:after="0"/>
        <w:jc w:val="left"/>
        <w:rPr>
          <w:rFonts w:ascii="Times New Roman" w:hAnsi="Times New Roman"/>
          <w:sz w:val="20"/>
        </w:rPr>
      </w:pPr>
      <w:r>
        <w:rPr>
          <w:rFonts w:ascii="Times New Roman" w:hAnsi="Times New Roman"/>
          <w:b w:val="false"/>
          <w:sz w:val="20"/>
        </w:rPr>
        <w:t>To the stockholders and the Board of Directors of Vaxcyte, Inc.</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br/>
      </w:r>
      <w:r>
        <w:rPr>
          <w:rFonts w:ascii="Times New Roman" w:hAnsi="Times New Roman"/>
          <w:b/>
          <w:sz w:val="20"/>
        </w:rPr>
        <w:t>Opinion on Internal Control over Financial Reporting</w:t>
      </w:r>
    </w:p>
    <w:p>
      <w:pPr>
        <w:pStyle w:val="TextBody"/>
        <w:spacing w:lineRule="auto" w:line="273" w:before="0" w:after="0"/>
        <w:jc w:val="left"/>
        <w:rPr>
          <w:rFonts w:ascii="Times New Roman" w:hAnsi="Times New Roman"/>
          <w:sz w:val="20"/>
        </w:rPr>
      </w:pPr>
      <w:r>
        <w:rPr>
          <w:rFonts w:ascii="Times New Roman" w:hAnsi="Times New Roman"/>
          <w:b w:val="false"/>
          <w:sz w:val="20"/>
        </w:rPr>
        <w:br/>
        <w:t xml:space="preserve">We have audited the internal control over financial reporting of Vaxcyte, Inc. (the “Company”) as of December 31, 2021, based on criteria established in </w:t>
      </w:r>
      <w:r>
        <w:rPr>
          <w:rFonts w:ascii="Times New Roman" w:hAnsi="Times New Roman"/>
          <w:b w:val="false"/>
          <w:i/>
          <w:sz w:val="20"/>
        </w:rPr>
        <w:t>Internal Control — Integrated Framework (2013)</w:t>
      </w:r>
      <w:r>
        <w:rPr>
          <w:rFonts w:ascii="Times New Roman" w:hAnsi="Times New Roman"/>
          <w:sz w:val="20"/>
        </w:rPr>
        <w:t xml:space="preserve"> </w:t>
      </w:r>
      <w:r>
        <w:rPr>
          <w:rFonts w:ascii="Times New Roman" w:hAnsi="Times New Roman"/>
          <w:b w:val="false"/>
          <w:sz w:val="20"/>
        </w:rPr>
        <w:t xml:space="preserve">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Times New Roman" w:hAnsi="Times New Roman"/>
          <w:b w:val="false"/>
          <w:i/>
          <w:sz w:val="20"/>
        </w:rPr>
        <w:t>Internal Control — Integrated Framework (2013)</w:t>
      </w:r>
      <w:r>
        <w:rPr>
          <w:rFonts w:ascii="Times New Roman" w:hAnsi="Times New Roman"/>
          <w:sz w:val="20"/>
        </w:rPr>
        <w:t xml:space="preserve"> </w:t>
      </w:r>
      <w:r>
        <w:rPr>
          <w:rFonts w:ascii="Times New Roman" w:hAnsi="Times New Roman"/>
          <w:b w:val="false"/>
          <w:sz w:val="20"/>
        </w:rPr>
        <w:t>issued by COSO.</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have also audited, in accordance with the standards of the Public Company Accounting Oversight Board (United States) (PCAOB), the balance sheets, the related statements of operations and comprehensive loss, redeemable convertible preferred stock and stockholders' equity (deficit), and cash flows as of and for the year ended December 31, 2021, of the Company and our report dated February 28, 2022, expressed an unqualified opinion on those financial statements.</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sz w:val="20"/>
        </w:rPr>
        <w:t>Basis for Opinion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Definition and Limitations of Internal Control over Financial Reporting</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151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 Deloitte &amp; Touche LLP</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San Francisco, California</w:t>
      </w:r>
      <w:r>
        <w:rPr>
          <w:rFonts w:ascii="Times New Roman" w:hAnsi="Times New Roman"/>
          <w:sz w:val="20"/>
        </w:rPr>
        <w:t xml:space="preserve"> </w:t>
      </w:r>
    </w:p>
    <w:p>
      <w:pPr>
        <w:pStyle w:val="TextBody"/>
        <w:spacing w:lineRule="auto" w:line="273" w:before="0" w:after="0"/>
        <w:jc w:val="left"/>
        <w:rPr>
          <w:rFonts w:ascii="Times New Roman" w:hAnsi="Times New Roman"/>
          <w:sz w:val="20"/>
        </w:rPr>
      </w:pPr>
      <w:r>
        <w:rPr>
          <w:rFonts w:ascii="Times New Roman" w:hAnsi="Times New Roman"/>
          <w:b w:val="false"/>
          <w:sz w:val="20"/>
        </w:rPr>
        <w:t>February 28, 2022</w:t>
      </w:r>
      <w:r>
        <w:rPr>
          <w:rFonts w:ascii="Times New Roman" w:hAnsi="Times New Roman"/>
          <w:sz w:val="20"/>
        </w:rPr>
        <w:t xml:space="preserve"> </w:t>
      </w:r>
    </w:p>
    <w:p>
      <w:pPr>
        <w:pStyle w:val="TextBody"/>
        <w:spacing w:lineRule="auto" w:line="273" w:before="240" w:after="0"/>
        <w:jc w:val="left"/>
        <w:rPr/>
      </w:pPr>
      <w:r>
        <w:rPr/>
        <w:t>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152</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bookmarkStart w:id="23" w:name="item_9b_or_information"/>
      <w:bookmarkEnd w:id="23"/>
      <w:r>
        <w:rPr>
          <w:rFonts w:ascii="Times New Roman" w:hAnsi="Times New Roman"/>
          <w:b/>
          <w:sz w:val="20"/>
        </w:rPr>
        <w:t>Item 9B. Other</w:t>
      </w:r>
      <w:r>
        <w:rPr>
          <w:rFonts w:ascii="Times New Roman" w:hAnsi="Times New Roman"/>
          <w:sz w:val="20"/>
        </w:rPr>
        <w:t xml:space="preserve"> </w:t>
      </w:r>
      <w:r>
        <w:rPr>
          <w:rFonts w:ascii="Times New Roman" w:hAnsi="Times New Roman"/>
          <w:b/>
          <w:sz w:val="20"/>
        </w:rPr>
        <w:t>Information.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None.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bookmarkStart w:id="24" w:name="item_9c_foreign_jurisdictions"/>
      <w:bookmarkEnd w:id="24"/>
      <w:r>
        <w:rPr>
          <w:rFonts w:ascii="Times New Roman" w:hAnsi="Times New Roman"/>
          <w:b/>
          <w:sz w:val="20"/>
        </w:rPr>
        <w:t>Item 9C. Disclosure Regarding Foreign Jurisdictions that Prevent Inspections.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Not applicable.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153</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PART III</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bookmarkStart w:id="25" w:name="item_10_directors_executive_ficers_corpo"/>
      <w:bookmarkEnd w:id="25"/>
      <w:r>
        <w:rPr>
          <w:rFonts w:ascii="Times New Roman" w:hAnsi="Times New Roman"/>
          <w:b/>
          <w:sz w:val="20"/>
        </w:rPr>
        <w:t>Item 10. Directors, Executive Officers and Corporate Governance.</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information required by this item of Form 10-K will be included in our definitive proxy statement to be filed with the SEC in connection with the solicitation of proxies for our 2022 Annual Meeting of Stockholders, or the 2022 Proxy Statement, and is incorporated herein by reference.</w:t>
      </w:r>
    </w:p>
    <w:p>
      <w:pPr>
        <w:pStyle w:val="TextBody"/>
        <w:spacing w:lineRule="auto" w:line="273" w:before="240" w:after="0"/>
        <w:jc w:val="left"/>
        <w:rPr>
          <w:rFonts w:ascii="Times New Roman" w:hAnsi="Times New Roman"/>
          <w:sz w:val="20"/>
        </w:rPr>
      </w:pPr>
      <w:bookmarkStart w:id="26" w:name="item_11_executive_compensation"/>
      <w:bookmarkEnd w:id="26"/>
      <w:r>
        <w:rPr>
          <w:rFonts w:ascii="Times New Roman" w:hAnsi="Times New Roman"/>
          <w:b/>
          <w:sz w:val="20"/>
        </w:rPr>
        <w:t>Item 11. Executive Compensation.</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information required by this item of Form 10-K will be included in our 2022 Proxy Statement to be filed with the SEC within 120 days after our fiscal year end and is incorporated herein by reference.</w:t>
      </w:r>
    </w:p>
    <w:p>
      <w:pPr>
        <w:pStyle w:val="TextBody"/>
        <w:spacing w:lineRule="auto" w:line="273" w:before="240" w:after="0"/>
        <w:jc w:val="left"/>
        <w:rPr>
          <w:rFonts w:ascii="Times New Roman" w:hAnsi="Times New Roman"/>
          <w:sz w:val="20"/>
        </w:rPr>
      </w:pPr>
      <w:bookmarkStart w:id="27" w:name="item_12_security_ownership_certain_benef"/>
      <w:bookmarkEnd w:id="27"/>
      <w:r>
        <w:rPr>
          <w:rFonts w:ascii="Times New Roman" w:hAnsi="Times New Roman"/>
          <w:b/>
          <w:sz w:val="20"/>
        </w:rPr>
        <w:t>Item 12. Security Ownership of Certain Beneficial Owners and Management and Related Stockholder Matters.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information required by this item of Form 10-K will be included in our 2022 Proxy Statement to be filed with the SEC within 120 days after our fiscal year end and is incorporated herein by reference.</w:t>
      </w:r>
    </w:p>
    <w:p>
      <w:pPr>
        <w:pStyle w:val="TextBody"/>
        <w:spacing w:lineRule="auto" w:line="273" w:before="240" w:after="0"/>
        <w:jc w:val="left"/>
        <w:rPr>
          <w:rFonts w:ascii="Times New Roman" w:hAnsi="Times New Roman"/>
          <w:sz w:val="20"/>
        </w:rPr>
      </w:pPr>
      <w:bookmarkStart w:id="28" w:name="item_13_certain_relationships_related_tr"/>
      <w:bookmarkEnd w:id="28"/>
      <w:r>
        <w:rPr>
          <w:rFonts w:ascii="Times New Roman" w:hAnsi="Times New Roman"/>
          <w:b/>
          <w:sz w:val="20"/>
        </w:rPr>
        <w:t>Item 13. Certain Relationships and Related</w:t>
      </w:r>
      <w:r>
        <w:rPr>
          <w:rFonts w:ascii="Times New Roman" w:hAnsi="Times New Roman"/>
          <w:sz w:val="20"/>
        </w:rPr>
        <w:t xml:space="preserve"> </w:t>
      </w:r>
      <w:r>
        <w:rPr>
          <w:rFonts w:ascii="Times New Roman" w:hAnsi="Times New Roman"/>
          <w:b/>
          <w:sz w:val="20"/>
        </w:rPr>
        <w:t>Transactions, and Director Independence.</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information required by this item of Form 10-K will be included in our 2022 Proxy Statement to be filed with the SEC within 120 days after our fiscal year end and is incorporated herein by reference.</w:t>
      </w:r>
    </w:p>
    <w:p>
      <w:pPr>
        <w:pStyle w:val="TextBody"/>
        <w:spacing w:lineRule="auto" w:line="273" w:before="240" w:after="0"/>
        <w:jc w:val="left"/>
        <w:rPr>
          <w:rFonts w:ascii="Times New Roman" w:hAnsi="Times New Roman"/>
          <w:sz w:val="20"/>
        </w:rPr>
      </w:pPr>
      <w:bookmarkStart w:id="29" w:name="item_14_principal_accounting_fees_servic"/>
      <w:bookmarkEnd w:id="29"/>
      <w:r>
        <w:rPr>
          <w:rFonts w:ascii="Times New Roman" w:hAnsi="Times New Roman"/>
          <w:b/>
          <w:sz w:val="20"/>
        </w:rPr>
        <w:t>Item 14. Principal Accounting Fees and Services.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information required by this item of Form 10-K will be included in our 2022 Proxy Statement to be filed with the SEC within 120 days after our fiscal year end and is incorporated herein by reference.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154</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PART IV</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bookmarkStart w:id="30" w:name="item_15_exhibits_financial_statement_sch"/>
      <w:bookmarkEnd w:id="30"/>
      <w:r>
        <w:rPr>
          <w:rFonts w:ascii="Times New Roman" w:hAnsi="Times New Roman"/>
          <w:b/>
          <w:sz w:val="20"/>
        </w:rPr>
        <w:t>Item 15. Exhibits, Financial Statement Schedules.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 xml:space="preserve">The following documents are filed as part of this Annual Report on Form 10-K: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All Financial Statements</w:t>
      </w:r>
    </w:p>
    <w:p>
      <w:pPr>
        <w:pStyle w:val="TextBody"/>
        <w:spacing w:lineRule="auto" w:line="273" w:before="240" w:after="0"/>
        <w:jc w:val="left"/>
        <w:rPr>
          <w:rFonts w:ascii="Times New Roman" w:hAnsi="Times New Roman"/>
          <w:sz w:val="20"/>
        </w:rPr>
      </w:pPr>
      <w:r>
        <w:rPr>
          <w:rFonts w:ascii="Times New Roman" w:hAnsi="Times New Roman"/>
          <w:b w:val="false"/>
          <w:sz w:val="20"/>
        </w:rPr>
        <w:t>The financial statements and Report of Independent Registered Public Accounting Firm filed as part of this Annual Report on Form 10-K are listed in the “Index to Financial Statements” under Part II, Item 8 of this Annual Report on Form 10-K.</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Financial Statement Schedules</w:t>
      </w:r>
    </w:p>
    <w:p>
      <w:pPr>
        <w:pStyle w:val="TextBody"/>
        <w:spacing w:lineRule="auto" w:line="273" w:before="240" w:after="0"/>
        <w:jc w:val="left"/>
        <w:rPr>
          <w:rFonts w:ascii="Times New Roman" w:hAnsi="Times New Roman"/>
          <w:sz w:val="20"/>
        </w:rPr>
      </w:pPr>
      <w:r>
        <w:rPr>
          <w:rFonts w:ascii="Times New Roman" w:hAnsi="Times New Roman"/>
          <w:b w:val="false"/>
          <w:sz w:val="20"/>
        </w:rPr>
        <w:t>All financial statement schedules have been omitted because of the absence of conditions under which they are required or because the required information, where material, is shown in the financial statements, financial notes or supplementary financial information.</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Exhibits</w:t>
      </w:r>
    </w:p>
    <w:p>
      <w:pPr>
        <w:pStyle w:val="TextBody"/>
        <w:spacing w:lineRule="auto" w:line="273" w:before="240" w:after="0"/>
        <w:jc w:val="left"/>
        <w:rPr>
          <w:rFonts w:ascii="Times New Roman" w:hAnsi="Times New Roman"/>
          <w:sz w:val="20"/>
        </w:rPr>
      </w:pPr>
      <w:r>
        <w:rPr>
          <w:rFonts w:ascii="Times New Roman" w:hAnsi="Times New Roman"/>
          <w:b w:val="false"/>
          <w:sz w:val="20"/>
        </w:rPr>
        <w:t>The list of exhibits filed with this Annual Report on Form 10-K is set forth in the Exhibit Index preceding the signature page and is incorporated herein by reference or filed with this Annual Report on Form 10-K, in each case as indicated herein (numbered in accordance with Item 601 of Regulation S-K).</w:t>
      </w:r>
      <w:r>
        <w:rPr>
          <w:rFonts w:ascii="Times New Roman" w:hAnsi="Times New Roman"/>
          <w:sz w:val="20"/>
        </w:rPr>
        <w:t xml:space="preserve"> </w:t>
      </w:r>
    </w:p>
    <w:p>
      <w:pPr>
        <w:pStyle w:val="TextBody"/>
        <w:spacing w:lineRule="auto" w:line="273" w:before="240" w:after="0"/>
        <w:jc w:val="left"/>
        <w:rPr>
          <w:rFonts w:ascii="Times New Roman" w:hAnsi="Times New Roman"/>
          <w:b/>
          <w:sz w:val="20"/>
        </w:rPr>
      </w:pPr>
      <w:bookmarkStart w:id="31" w:name="item_16_form_10k_summary"/>
      <w:bookmarkEnd w:id="31"/>
      <w:r>
        <w:rPr>
          <w:rFonts w:ascii="Times New Roman" w:hAnsi="Times New Roman"/>
          <w:b/>
          <w:sz w:val="20"/>
        </w:rPr>
        <w:t>Item 16. Form 10-K Summary</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155</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Exhibit Index</w:t>
      </w:r>
    </w:p>
    <w:p>
      <w:pPr>
        <w:pStyle w:val="TextBody"/>
        <w:spacing w:lineRule="auto" w:line="273" w:before="0" w:after="0"/>
        <w:jc w:val="center"/>
        <w:rPr/>
      </w:pPr>
      <w:r>
        <w:rPr/>
        <w:t> </w:t>
      </w:r>
    </w:p>
    <w:tbl>
      <w:tblPr>
        <w:tblW w:w="5421" w:type="dxa"/>
        <w:jc w:val="left"/>
        <w:tblInd w:w="0" w:type="dxa"/>
        <w:tblCellMar>
          <w:top w:w="28" w:type="dxa"/>
          <w:left w:w="28" w:type="dxa"/>
          <w:bottom w:w="28" w:type="dxa"/>
          <w:right w:w="28" w:type="dxa"/>
        </w:tblCellMar>
      </w:tblPr>
      <w:tblGrid>
        <w:gridCol w:w="646"/>
        <w:gridCol w:w="931"/>
        <w:gridCol w:w="1186"/>
        <w:gridCol w:w="1006"/>
        <w:gridCol w:w="691"/>
        <w:gridCol w:w="961"/>
      </w:tblGrid>
      <w:tr>
        <w:trPr/>
        <w:tc>
          <w:tcPr>
            <w:tcW w:w="6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r>
      <w:tr>
        <w:trPr/>
        <w:tc>
          <w:tcPr>
            <w:tcW w:w="6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9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3844" w:type="dxa"/>
            <w:gridSpan w:val="4"/>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Incorporated by Reference</w:t>
            </w:r>
          </w:p>
        </w:tc>
      </w:tr>
      <w:tr>
        <w:trPr/>
        <w:tc>
          <w:tcPr>
            <w:tcW w:w="646"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Exhibit</w:t>
            </w:r>
          </w:p>
        </w:tc>
        <w:tc>
          <w:tcPr>
            <w:tcW w:w="931"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Description</w:t>
            </w:r>
          </w:p>
        </w:tc>
        <w:tc>
          <w:tcPr>
            <w:tcW w:w="1186"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Schedule/Form</w:t>
            </w:r>
          </w:p>
        </w:tc>
        <w:tc>
          <w:tcPr>
            <w:tcW w:w="1006"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File Number</w:t>
            </w:r>
          </w:p>
        </w:tc>
        <w:tc>
          <w:tcPr>
            <w:tcW w:w="691"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Exhibits</w:t>
            </w:r>
          </w:p>
        </w:tc>
        <w:tc>
          <w:tcPr>
            <w:tcW w:w="961"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Filing Date</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537"/>
        <w:gridCol w:w="6595"/>
        <w:gridCol w:w="480"/>
        <w:gridCol w:w="936"/>
        <w:gridCol w:w="466"/>
        <w:gridCol w:w="1191"/>
      </w:tblGrid>
      <w:tr>
        <w:trPr/>
        <w:tc>
          <w:tcPr>
            <w:tcW w:w="537" w:type="dxa"/>
            <w:tcBorders/>
            <w:shd w:fill="auto" w:val="clear"/>
            <w:vAlign w:val="center"/>
          </w:tcPr>
          <w:p>
            <w:pPr>
              <w:pStyle w:val="TableContents"/>
              <w:spacing w:before="0" w:after="283"/>
              <w:rPr>
                <w:sz w:val="4"/>
                <w:szCs w:val="4"/>
              </w:rPr>
            </w:pPr>
            <w:r>
              <w:rPr>
                <w:sz w:val="4"/>
                <w:szCs w:val="4"/>
              </w:rPr>
            </w:r>
          </w:p>
        </w:tc>
        <w:tc>
          <w:tcPr>
            <w:tcW w:w="6595"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r>
      <w:tr>
        <w:trPr/>
        <w:tc>
          <w:tcPr>
            <w:tcW w:w="53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3.1</w:t>
            </w:r>
          </w:p>
        </w:tc>
        <w:tc>
          <w:tcPr>
            <w:tcW w:w="659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24">
              <w:r>
                <w:rPr>
                  <w:rStyle w:val="InternetLink"/>
                  <w:rFonts w:ascii="Times New Roman" w:hAnsi="Times New Roman"/>
                  <w:b w:val="false"/>
                  <w:sz w:val="20"/>
                  <w:u w:val="single"/>
                </w:rPr>
                <w:t>Amended and Restated Certificate of Incorporation of Vaxcyte, Inc., as amended</w:t>
              </w:r>
            </w:hyperlink>
          </w:p>
        </w:tc>
        <w:tc>
          <w:tcPr>
            <w:tcW w:w="48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8-K</w:t>
            </w:r>
          </w:p>
        </w:tc>
        <w:tc>
          <w:tcPr>
            <w:tcW w:w="9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001-39323</w:t>
            </w:r>
          </w:p>
        </w:tc>
        <w:tc>
          <w:tcPr>
            <w:tcW w:w="46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3.1</w:t>
            </w:r>
          </w:p>
        </w:tc>
        <w:tc>
          <w:tcPr>
            <w:tcW w:w="11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June 16, 2020</w:t>
            </w:r>
          </w:p>
        </w:tc>
      </w:tr>
      <w:tr>
        <w:trPr/>
        <w:tc>
          <w:tcPr>
            <w:tcW w:w="53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3.2</w:t>
            </w:r>
          </w:p>
        </w:tc>
        <w:tc>
          <w:tcPr>
            <w:tcW w:w="659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25">
              <w:r>
                <w:rPr>
                  <w:rStyle w:val="InternetLink"/>
                  <w:rFonts w:ascii="Times New Roman" w:hAnsi="Times New Roman"/>
                  <w:b w:val="false"/>
                  <w:sz w:val="20"/>
                  <w:u w:val="single"/>
                </w:rPr>
                <w:t>Amended and Restated Bylaws of Vaxcyte, Inc.</w:t>
              </w:r>
            </w:hyperlink>
          </w:p>
        </w:tc>
        <w:tc>
          <w:tcPr>
            <w:tcW w:w="48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8-K</w:t>
            </w:r>
          </w:p>
        </w:tc>
        <w:tc>
          <w:tcPr>
            <w:tcW w:w="9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001-39323</w:t>
            </w:r>
          </w:p>
        </w:tc>
        <w:tc>
          <w:tcPr>
            <w:tcW w:w="46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3.2</w:t>
            </w:r>
          </w:p>
        </w:tc>
        <w:tc>
          <w:tcPr>
            <w:tcW w:w="11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June 16, 2020</w:t>
            </w:r>
          </w:p>
        </w:tc>
      </w:tr>
      <w:tr>
        <w:trPr/>
        <w:tc>
          <w:tcPr>
            <w:tcW w:w="53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4.1</w:t>
            </w:r>
          </w:p>
        </w:tc>
        <w:tc>
          <w:tcPr>
            <w:tcW w:w="659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26">
              <w:r>
                <w:rPr>
                  <w:rStyle w:val="InternetLink"/>
                  <w:rFonts w:ascii="Times New Roman" w:hAnsi="Times New Roman"/>
                  <w:b w:val="false"/>
                  <w:sz w:val="20"/>
                  <w:u w:val="single"/>
                </w:rPr>
                <w:t>Form of common stock certificate of the Registrant</w:t>
              </w:r>
            </w:hyperlink>
          </w:p>
        </w:tc>
        <w:tc>
          <w:tcPr>
            <w:tcW w:w="48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S-1/A</w:t>
            </w:r>
          </w:p>
        </w:tc>
        <w:tc>
          <w:tcPr>
            <w:tcW w:w="9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333-238630</w:t>
            </w:r>
          </w:p>
        </w:tc>
        <w:tc>
          <w:tcPr>
            <w:tcW w:w="46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4.1</w:t>
            </w:r>
          </w:p>
        </w:tc>
        <w:tc>
          <w:tcPr>
            <w:tcW w:w="11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June 8, 2020</w:t>
            </w:r>
          </w:p>
        </w:tc>
      </w:tr>
      <w:tr>
        <w:trPr/>
        <w:tc>
          <w:tcPr>
            <w:tcW w:w="53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4.2</w:t>
            </w:r>
          </w:p>
        </w:tc>
        <w:tc>
          <w:tcPr>
            <w:tcW w:w="659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27">
              <w:r>
                <w:rPr>
                  <w:rStyle w:val="InternetLink"/>
                  <w:rFonts w:ascii="Times New Roman" w:hAnsi="Times New Roman"/>
                  <w:b w:val="false"/>
                  <w:sz w:val="20"/>
                  <w:u w:val="single"/>
                </w:rPr>
                <w:t>Description of Capital Stock</w:t>
              </w:r>
            </w:hyperlink>
            <w:r>
              <w:rPr>
                <w:rFonts w:ascii="Times New Roman" w:hAnsi="Times New Roman"/>
                <w:b w:val="false"/>
                <w:sz w:val="20"/>
              </w:rPr>
              <w:t>.</w:t>
            </w:r>
          </w:p>
        </w:tc>
        <w:tc>
          <w:tcPr>
            <w:tcW w:w="48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10-K</w:t>
            </w:r>
          </w:p>
        </w:tc>
        <w:tc>
          <w:tcPr>
            <w:tcW w:w="9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001-39323</w:t>
            </w:r>
          </w:p>
        </w:tc>
        <w:tc>
          <w:tcPr>
            <w:tcW w:w="46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4.2</w:t>
            </w:r>
          </w:p>
        </w:tc>
        <w:tc>
          <w:tcPr>
            <w:tcW w:w="11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March 29, 2021</w:t>
            </w:r>
          </w:p>
        </w:tc>
      </w:tr>
      <w:tr>
        <w:trPr/>
        <w:tc>
          <w:tcPr>
            <w:tcW w:w="53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4.3</w:t>
            </w:r>
          </w:p>
        </w:tc>
        <w:tc>
          <w:tcPr>
            <w:tcW w:w="659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28">
              <w:r>
                <w:rPr>
                  <w:rStyle w:val="InternetLink"/>
                  <w:rFonts w:ascii="Times New Roman" w:hAnsi="Times New Roman"/>
                  <w:b w:val="false"/>
                  <w:sz w:val="20"/>
                  <w:u w:val="single"/>
                </w:rPr>
                <w:t>Form of Pre-Funded Warrant</w:t>
              </w:r>
            </w:hyperlink>
          </w:p>
        </w:tc>
        <w:tc>
          <w:tcPr>
            <w:tcW w:w="48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8-K</w:t>
            </w:r>
          </w:p>
        </w:tc>
        <w:tc>
          <w:tcPr>
            <w:tcW w:w="9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001-39323</w:t>
            </w:r>
          </w:p>
        </w:tc>
        <w:tc>
          <w:tcPr>
            <w:tcW w:w="46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4.1</w:t>
            </w:r>
          </w:p>
        </w:tc>
        <w:tc>
          <w:tcPr>
            <w:tcW w:w="11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January 13, 2022</w:t>
            </w:r>
          </w:p>
        </w:tc>
      </w:tr>
      <w:tr>
        <w:trPr/>
        <w:tc>
          <w:tcPr>
            <w:tcW w:w="53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10.1</w:t>
            </w:r>
          </w:p>
        </w:tc>
        <w:tc>
          <w:tcPr>
            <w:tcW w:w="659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29">
              <w:r>
                <w:rPr>
                  <w:rStyle w:val="InternetLink"/>
                  <w:rFonts w:ascii="Times New Roman" w:hAnsi="Times New Roman"/>
                  <w:b w:val="false"/>
                  <w:sz w:val="20"/>
                  <w:u w:val="single"/>
                </w:rPr>
                <w:t>Amended and Restated Investors’ Rights Agreement by and among the Registrant and certain of its stockholders, dated March 20, 2020.</w:t>
              </w:r>
            </w:hyperlink>
          </w:p>
        </w:tc>
        <w:tc>
          <w:tcPr>
            <w:tcW w:w="48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S-1</w:t>
            </w:r>
          </w:p>
        </w:tc>
        <w:tc>
          <w:tcPr>
            <w:tcW w:w="9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333-238630</w:t>
            </w:r>
          </w:p>
        </w:tc>
        <w:tc>
          <w:tcPr>
            <w:tcW w:w="46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10.1</w:t>
            </w:r>
          </w:p>
        </w:tc>
        <w:tc>
          <w:tcPr>
            <w:tcW w:w="11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May 22, 2020</w:t>
            </w:r>
          </w:p>
        </w:tc>
      </w:tr>
      <w:tr>
        <w:trPr/>
        <w:tc>
          <w:tcPr>
            <w:tcW w:w="53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10.2#</w:t>
            </w:r>
          </w:p>
        </w:tc>
        <w:tc>
          <w:tcPr>
            <w:tcW w:w="659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30">
              <w:r>
                <w:rPr>
                  <w:rStyle w:val="InternetLink"/>
                  <w:rFonts w:ascii="Times New Roman" w:hAnsi="Times New Roman"/>
                  <w:b w:val="false"/>
                  <w:sz w:val="20"/>
                  <w:u w:val="single"/>
                </w:rPr>
                <w:t>Vaxcyte, Inc. Amended and Restated 2014 Equity Incentive Plan and forms of agreements thereunder.</w:t>
              </w:r>
            </w:hyperlink>
          </w:p>
        </w:tc>
        <w:tc>
          <w:tcPr>
            <w:tcW w:w="48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S-1</w:t>
            </w:r>
          </w:p>
        </w:tc>
        <w:tc>
          <w:tcPr>
            <w:tcW w:w="9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333-238630</w:t>
            </w:r>
          </w:p>
        </w:tc>
        <w:tc>
          <w:tcPr>
            <w:tcW w:w="46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10.2</w:t>
            </w:r>
          </w:p>
        </w:tc>
        <w:tc>
          <w:tcPr>
            <w:tcW w:w="11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May 22, 2020</w:t>
            </w:r>
          </w:p>
        </w:tc>
      </w:tr>
      <w:tr>
        <w:trPr/>
        <w:tc>
          <w:tcPr>
            <w:tcW w:w="53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10.3#</w:t>
            </w:r>
          </w:p>
        </w:tc>
        <w:tc>
          <w:tcPr>
            <w:tcW w:w="659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31">
              <w:r>
                <w:rPr>
                  <w:rStyle w:val="InternetLink"/>
                  <w:rFonts w:ascii="Times New Roman" w:hAnsi="Times New Roman"/>
                  <w:b w:val="false"/>
                  <w:sz w:val="20"/>
                  <w:u w:val="single"/>
                </w:rPr>
                <w:t>Vaxcyte, Inc. 2020 Equity Incentive Plan and forms of agreements thereunder.</w:t>
              </w:r>
            </w:hyperlink>
          </w:p>
        </w:tc>
        <w:tc>
          <w:tcPr>
            <w:tcW w:w="48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S-1/A</w:t>
            </w:r>
          </w:p>
        </w:tc>
        <w:tc>
          <w:tcPr>
            <w:tcW w:w="9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333-238630</w:t>
            </w:r>
          </w:p>
        </w:tc>
        <w:tc>
          <w:tcPr>
            <w:tcW w:w="46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10.3</w:t>
            </w:r>
          </w:p>
        </w:tc>
        <w:tc>
          <w:tcPr>
            <w:tcW w:w="11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June 8, 2020</w:t>
            </w:r>
          </w:p>
        </w:tc>
      </w:tr>
      <w:tr>
        <w:trPr/>
        <w:tc>
          <w:tcPr>
            <w:tcW w:w="53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10.4#</w:t>
            </w:r>
          </w:p>
        </w:tc>
        <w:tc>
          <w:tcPr>
            <w:tcW w:w="659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32">
              <w:r>
                <w:rPr>
                  <w:rStyle w:val="InternetLink"/>
                  <w:rFonts w:ascii="Times New Roman" w:hAnsi="Times New Roman"/>
                  <w:b w:val="false"/>
                  <w:sz w:val="20"/>
                  <w:u w:val="single"/>
                </w:rPr>
                <w:t>Vaxcyte, Inc. 2020 Employee Stock Purchase Plan</w:t>
              </w:r>
            </w:hyperlink>
            <w:r>
              <w:rPr>
                <w:rFonts w:ascii="Times New Roman" w:hAnsi="Times New Roman"/>
                <w:b w:val="false"/>
                <w:sz w:val="20"/>
              </w:rPr>
              <w:t>.</w:t>
            </w:r>
          </w:p>
        </w:tc>
        <w:tc>
          <w:tcPr>
            <w:tcW w:w="48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S-1/A</w:t>
            </w:r>
          </w:p>
        </w:tc>
        <w:tc>
          <w:tcPr>
            <w:tcW w:w="9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333-238630</w:t>
            </w:r>
          </w:p>
        </w:tc>
        <w:tc>
          <w:tcPr>
            <w:tcW w:w="46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10.4</w:t>
            </w:r>
          </w:p>
        </w:tc>
        <w:tc>
          <w:tcPr>
            <w:tcW w:w="11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June 8, 2020</w:t>
            </w:r>
          </w:p>
        </w:tc>
      </w:tr>
      <w:tr>
        <w:trPr/>
        <w:tc>
          <w:tcPr>
            <w:tcW w:w="53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10.5</w:t>
            </w:r>
          </w:p>
        </w:tc>
        <w:tc>
          <w:tcPr>
            <w:tcW w:w="659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33">
              <w:r>
                <w:rPr>
                  <w:rStyle w:val="InternetLink"/>
                  <w:rFonts w:ascii="Times New Roman" w:hAnsi="Times New Roman"/>
                  <w:b w:val="false"/>
                  <w:sz w:val="20"/>
                  <w:u w:val="single"/>
                </w:rPr>
                <w:t>Form of Indemnification Agreement entered into by and between the Registrant and each director and executive officer.</w:t>
              </w:r>
            </w:hyperlink>
          </w:p>
        </w:tc>
        <w:tc>
          <w:tcPr>
            <w:tcW w:w="48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S-1</w:t>
            </w:r>
          </w:p>
        </w:tc>
        <w:tc>
          <w:tcPr>
            <w:tcW w:w="9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333-238630</w:t>
            </w:r>
          </w:p>
        </w:tc>
        <w:tc>
          <w:tcPr>
            <w:tcW w:w="46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10.5</w:t>
            </w:r>
          </w:p>
        </w:tc>
        <w:tc>
          <w:tcPr>
            <w:tcW w:w="11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May 22, 2020</w:t>
            </w:r>
          </w:p>
        </w:tc>
      </w:tr>
      <w:tr>
        <w:trPr/>
        <w:tc>
          <w:tcPr>
            <w:tcW w:w="53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10.6#</w:t>
            </w:r>
          </w:p>
        </w:tc>
        <w:tc>
          <w:tcPr>
            <w:tcW w:w="659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34">
              <w:r>
                <w:rPr>
                  <w:rStyle w:val="InternetLink"/>
                  <w:rFonts w:ascii="Times New Roman" w:hAnsi="Times New Roman"/>
                  <w:b w:val="false"/>
                  <w:sz w:val="20"/>
                  <w:u w:val="single"/>
                </w:rPr>
                <w:t>Executive Employment Agreement entered into by and between the Registrant and Grant Pickering, dated January 21, 2016.</w:t>
              </w:r>
            </w:hyperlink>
          </w:p>
        </w:tc>
        <w:tc>
          <w:tcPr>
            <w:tcW w:w="48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S-1</w:t>
            </w:r>
          </w:p>
        </w:tc>
        <w:tc>
          <w:tcPr>
            <w:tcW w:w="9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333-238630</w:t>
            </w:r>
          </w:p>
        </w:tc>
        <w:tc>
          <w:tcPr>
            <w:tcW w:w="46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10.6</w:t>
            </w:r>
          </w:p>
        </w:tc>
        <w:tc>
          <w:tcPr>
            <w:tcW w:w="11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May 22, 2020</w:t>
            </w:r>
          </w:p>
        </w:tc>
      </w:tr>
      <w:tr>
        <w:trPr/>
        <w:tc>
          <w:tcPr>
            <w:tcW w:w="53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10.7#</w:t>
            </w:r>
          </w:p>
        </w:tc>
        <w:tc>
          <w:tcPr>
            <w:tcW w:w="659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35">
              <w:r>
                <w:rPr>
                  <w:rStyle w:val="InternetLink"/>
                  <w:rFonts w:ascii="Times New Roman" w:hAnsi="Times New Roman"/>
                  <w:b w:val="false"/>
                  <w:sz w:val="20"/>
                  <w:u w:val="single"/>
                </w:rPr>
                <w:t>Executive Employment Agreement entered into by and between the Registrant and Jeff Fairman, dated January 21, 2016.</w:t>
              </w:r>
            </w:hyperlink>
          </w:p>
        </w:tc>
        <w:tc>
          <w:tcPr>
            <w:tcW w:w="48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S-1</w:t>
            </w:r>
          </w:p>
        </w:tc>
        <w:tc>
          <w:tcPr>
            <w:tcW w:w="9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333-238630</w:t>
            </w:r>
          </w:p>
        </w:tc>
        <w:tc>
          <w:tcPr>
            <w:tcW w:w="46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10.7</w:t>
            </w:r>
          </w:p>
        </w:tc>
        <w:tc>
          <w:tcPr>
            <w:tcW w:w="11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May 22, 2020</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156</w:t>
      </w:r>
    </w:p>
    <w:p>
      <w:pPr>
        <w:pStyle w:val="HorizontalLine"/>
        <w:rPr/>
      </w:pPr>
      <w:r>
        <w:rPr/>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665"/>
        <w:gridCol w:w="5676"/>
        <w:gridCol w:w="954"/>
        <w:gridCol w:w="897"/>
        <w:gridCol w:w="691"/>
        <w:gridCol w:w="1322"/>
      </w:tblGrid>
      <w:tr>
        <w:trPr/>
        <w:tc>
          <w:tcPr>
            <w:tcW w:w="665" w:type="dxa"/>
            <w:tcBorders/>
            <w:shd w:fill="auto" w:val="clear"/>
            <w:vAlign w:val="center"/>
          </w:tcPr>
          <w:p>
            <w:pPr>
              <w:pStyle w:val="TableContents"/>
              <w:spacing w:before="0" w:after="283"/>
              <w:rPr>
                <w:sz w:val="4"/>
                <w:szCs w:val="4"/>
              </w:rPr>
            </w:pPr>
            <w:r>
              <w:rPr>
                <w:sz w:val="4"/>
                <w:szCs w:val="4"/>
              </w:rPr>
            </w:r>
          </w:p>
        </w:tc>
        <w:tc>
          <w:tcPr>
            <w:tcW w:w="5676"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56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3864" w:type="dxa"/>
            <w:gridSpan w:val="4"/>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Incorporated by Reference</w:t>
            </w:r>
          </w:p>
        </w:tc>
      </w:tr>
      <w:tr>
        <w:trPr/>
        <w:tc>
          <w:tcPr>
            <w:tcW w:w="665"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Exhibit</w:t>
            </w:r>
          </w:p>
        </w:tc>
        <w:tc>
          <w:tcPr>
            <w:tcW w:w="5676"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Description</w:t>
            </w:r>
          </w:p>
        </w:tc>
        <w:tc>
          <w:tcPr>
            <w:tcW w:w="954"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Schedule/Form</w:t>
            </w:r>
          </w:p>
        </w:tc>
        <w:tc>
          <w:tcPr>
            <w:tcW w:w="897"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File Number</w:t>
            </w:r>
          </w:p>
        </w:tc>
        <w:tc>
          <w:tcPr>
            <w:tcW w:w="691"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Exhibits</w:t>
            </w:r>
          </w:p>
        </w:tc>
        <w:tc>
          <w:tcPr>
            <w:tcW w:w="1322"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Filing Date</w:t>
            </w:r>
          </w:p>
        </w:tc>
      </w:tr>
      <w:tr>
        <w:trPr/>
        <w:tc>
          <w:tcPr>
            <w:tcW w:w="66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10.8#</w:t>
            </w:r>
          </w:p>
        </w:tc>
        <w:tc>
          <w:tcPr>
            <w:tcW w:w="567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36">
              <w:r>
                <w:rPr>
                  <w:rStyle w:val="InternetLink"/>
                  <w:rFonts w:ascii="Times New Roman" w:hAnsi="Times New Roman"/>
                  <w:b w:val="false"/>
                  <w:sz w:val="20"/>
                  <w:u w:val="single"/>
                </w:rPr>
                <w:t>Offer Letter entered into by and between the Registrant and Paul Sauer, dated April 12, 2016.</w:t>
              </w:r>
            </w:hyperlink>
          </w:p>
        </w:tc>
        <w:tc>
          <w:tcPr>
            <w:tcW w:w="954"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S-1</w:t>
            </w:r>
          </w:p>
        </w:tc>
        <w:tc>
          <w:tcPr>
            <w:tcW w:w="89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333-238630</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10.8</w:t>
            </w:r>
          </w:p>
        </w:tc>
        <w:tc>
          <w:tcPr>
            <w:tcW w:w="1322"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May 22, 2020</w:t>
            </w:r>
          </w:p>
        </w:tc>
      </w:tr>
      <w:tr>
        <w:trPr/>
        <w:tc>
          <w:tcPr>
            <w:tcW w:w="66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10.9#</w:t>
            </w:r>
          </w:p>
        </w:tc>
        <w:tc>
          <w:tcPr>
            <w:tcW w:w="567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37">
              <w:r>
                <w:rPr>
                  <w:rStyle w:val="InternetLink"/>
                  <w:rFonts w:ascii="Times New Roman" w:hAnsi="Times New Roman"/>
                  <w:b w:val="false"/>
                  <w:sz w:val="20"/>
                  <w:u w:val="single"/>
                </w:rPr>
                <w:t>Executive Employment Agreement entered into by and between the Registrant and Jim Wassil, dated November 15, 2019.</w:t>
              </w:r>
            </w:hyperlink>
          </w:p>
        </w:tc>
        <w:tc>
          <w:tcPr>
            <w:tcW w:w="954"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S-1</w:t>
            </w:r>
          </w:p>
        </w:tc>
        <w:tc>
          <w:tcPr>
            <w:tcW w:w="89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333-238630</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10.11</w:t>
            </w:r>
          </w:p>
        </w:tc>
        <w:tc>
          <w:tcPr>
            <w:tcW w:w="1322"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May 22, 2020</w:t>
            </w:r>
          </w:p>
        </w:tc>
      </w:tr>
      <w:tr>
        <w:trPr/>
        <w:tc>
          <w:tcPr>
            <w:tcW w:w="66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10.10#</w:t>
            </w:r>
          </w:p>
        </w:tc>
        <w:tc>
          <w:tcPr>
            <w:tcW w:w="567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38">
              <w:r>
                <w:rPr>
                  <w:rStyle w:val="InternetLink"/>
                  <w:rFonts w:ascii="Times New Roman" w:hAnsi="Times New Roman"/>
                  <w:b w:val="false"/>
                  <w:sz w:val="20"/>
                  <w:u w:val="single"/>
                </w:rPr>
                <w:t>Offer Letter entered into by and between the Registrant and Andrew Guggenhime, dated April 16, 2020.</w:t>
              </w:r>
            </w:hyperlink>
          </w:p>
        </w:tc>
        <w:tc>
          <w:tcPr>
            <w:tcW w:w="954"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S-1</w:t>
            </w:r>
          </w:p>
        </w:tc>
        <w:tc>
          <w:tcPr>
            <w:tcW w:w="89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333-238630</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10.13</w:t>
            </w:r>
          </w:p>
        </w:tc>
        <w:tc>
          <w:tcPr>
            <w:tcW w:w="1322"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May 22, 2020</w:t>
            </w:r>
          </w:p>
        </w:tc>
      </w:tr>
      <w:tr>
        <w:trPr/>
        <w:tc>
          <w:tcPr>
            <w:tcW w:w="66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10.11#</w:t>
            </w:r>
          </w:p>
        </w:tc>
        <w:tc>
          <w:tcPr>
            <w:tcW w:w="567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39">
              <w:r>
                <w:rPr>
                  <w:rStyle w:val="InternetLink"/>
                  <w:rFonts w:ascii="Times New Roman" w:hAnsi="Times New Roman"/>
                  <w:b w:val="false"/>
                  <w:sz w:val="20"/>
                  <w:u w:val="single"/>
                </w:rPr>
                <w:t>Form of Executive Change in Control and Severance Agreement entered into by and between the Registrant and each eligible employee.</w:t>
              </w:r>
            </w:hyperlink>
          </w:p>
        </w:tc>
        <w:tc>
          <w:tcPr>
            <w:tcW w:w="954"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S-1</w:t>
            </w:r>
          </w:p>
        </w:tc>
        <w:tc>
          <w:tcPr>
            <w:tcW w:w="89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333-238630</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10.14</w:t>
            </w:r>
          </w:p>
        </w:tc>
        <w:tc>
          <w:tcPr>
            <w:tcW w:w="1322"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May 22, 2020</w:t>
            </w:r>
          </w:p>
        </w:tc>
      </w:tr>
      <w:tr>
        <w:trPr/>
        <w:tc>
          <w:tcPr>
            <w:tcW w:w="66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10.12+</w:t>
            </w:r>
          </w:p>
        </w:tc>
        <w:tc>
          <w:tcPr>
            <w:tcW w:w="567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40">
              <w:r>
                <w:rPr>
                  <w:rStyle w:val="InternetLink"/>
                  <w:rFonts w:ascii="Times New Roman" w:hAnsi="Times New Roman"/>
                  <w:b w:val="false"/>
                  <w:sz w:val="20"/>
                  <w:u w:val="single"/>
                </w:rPr>
                <w:t>Development and Manufacturing Services Agreement by and between the Registrant and Lonza Ltd, dated October 29, 2018.</w:t>
              </w:r>
            </w:hyperlink>
          </w:p>
        </w:tc>
        <w:tc>
          <w:tcPr>
            <w:tcW w:w="954"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S-1</w:t>
            </w:r>
          </w:p>
        </w:tc>
        <w:tc>
          <w:tcPr>
            <w:tcW w:w="89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333-238630</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10.15</w:t>
            </w:r>
          </w:p>
        </w:tc>
        <w:tc>
          <w:tcPr>
            <w:tcW w:w="1322"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May 22, 2020</w:t>
            </w:r>
          </w:p>
        </w:tc>
      </w:tr>
      <w:tr>
        <w:trPr/>
        <w:tc>
          <w:tcPr>
            <w:tcW w:w="66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10.13+</w:t>
            </w:r>
          </w:p>
        </w:tc>
        <w:tc>
          <w:tcPr>
            <w:tcW w:w="567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41">
              <w:r>
                <w:rPr>
                  <w:rStyle w:val="InternetLink"/>
                  <w:rFonts w:ascii="Times New Roman" w:hAnsi="Times New Roman"/>
                  <w:b w:val="false"/>
                  <w:sz w:val="20"/>
                  <w:u w:val="single"/>
                </w:rPr>
                <w:t>Development and Manufacturing Services Agreement by and between the Registrant and Lonza Ltd, dated October 21, 2016, as amended.</w:t>
              </w:r>
            </w:hyperlink>
          </w:p>
        </w:tc>
        <w:tc>
          <w:tcPr>
            <w:tcW w:w="954"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10-Q</w:t>
            </w:r>
          </w:p>
        </w:tc>
        <w:tc>
          <w:tcPr>
            <w:tcW w:w="89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001-39323</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10.1</w:t>
            </w:r>
          </w:p>
        </w:tc>
        <w:tc>
          <w:tcPr>
            <w:tcW w:w="1322"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November 10, 2021</w:t>
            </w:r>
          </w:p>
        </w:tc>
      </w:tr>
      <w:tr>
        <w:trPr/>
        <w:tc>
          <w:tcPr>
            <w:tcW w:w="66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10.14+</w:t>
            </w:r>
          </w:p>
        </w:tc>
        <w:tc>
          <w:tcPr>
            <w:tcW w:w="567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42">
              <w:r>
                <w:rPr>
                  <w:rStyle w:val="InternetLink"/>
                  <w:rFonts w:ascii="Times New Roman" w:hAnsi="Times New Roman"/>
                  <w:b w:val="false"/>
                  <w:sz w:val="20"/>
                  <w:u w:val="single"/>
                </w:rPr>
                <w:t>Letter Agreement by and between the Registrant and Lonza Ltd, dated June 19, 2018.</w:t>
              </w:r>
            </w:hyperlink>
          </w:p>
        </w:tc>
        <w:tc>
          <w:tcPr>
            <w:tcW w:w="954"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S-1</w:t>
            </w:r>
          </w:p>
        </w:tc>
        <w:tc>
          <w:tcPr>
            <w:tcW w:w="89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333-238630</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10.17</w:t>
            </w:r>
          </w:p>
        </w:tc>
        <w:tc>
          <w:tcPr>
            <w:tcW w:w="1322"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May 22, 2020</w:t>
            </w:r>
          </w:p>
        </w:tc>
      </w:tr>
      <w:tr>
        <w:trPr/>
        <w:tc>
          <w:tcPr>
            <w:tcW w:w="66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10.15+</w:t>
            </w:r>
          </w:p>
        </w:tc>
        <w:tc>
          <w:tcPr>
            <w:tcW w:w="567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43">
              <w:r>
                <w:rPr>
                  <w:rStyle w:val="InternetLink"/>
                  <w:rFonts w:ascii="Times New Roman" w:hAnsi="Times New Roman"/>
                  <w:b w:val="false"/>
                  <w:sz w:val="20"/>
                  <w:u w:val="single"/>
                </w:rPr>
                <w:t>Amended and Restated SutroVax Agreement by and between the Registrant and Sutro Biopharma, Inc., dated October 12, 2015, as amended.</w:t>
              </w:r>
            </w:hyperlink>
          </w:p>
        </w:tc>
        <w:tc>
          <w:tcPr>
            <w:tcW w:w="954"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S-1</w:t>
            </w:r>
          </w:p>
        </w:tc>
        <w:tc>
          <w:tcPr>
            <w:tcW w:w="89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333-238630</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10.18</w:t>
            </w:r>
          </w:p>
        </w:tc>
        <w:tc>
          <w:tcPr>
            <w:tcW w:w="1322"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May 22, 2020</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157</w:t>
      </w:r>
    </w:p>
    <w:p>
      <w:pPr>
        <w:pStyle w:val="HorizontalLine"/>
        <w:rPr/>
      </w:pPr>
      <w:r>
        <w:rPr/>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663"/>
        <w:gridCol w:w="5934"/>
        <w:gridCol w:w="942"/>
        <w:gridCol w:w="885"/>
        <w:gridCol w:w="691"/>
        <w:gridCol w:w="1090"/>
      </w:tblGrid>
      <w:tr>
        <w:trPr/>
        <w:tc>
          <w:tcPr>
            <w:tcW w:w="663" w:type="dxa"/>
            <w:tcBorders/>
            <w:shd w:fill="auto" w:val="clear"/>
            <w:vAlign w:val="center"/>
          </w:tcPr>
          <w:p>
            <w:pPr>
              <w:pStyle w:val="TableContents"/>
              <w:spacing w:before="0" w:after="283"/>
              <w:rPr>
                <w:sz w:val="4"/>
                <w:szCs w:val="4"/>
              </w:rPr>
            </w:pPr>
            <w:r>
              <w:rPr>
                <w:sz w:val="4"/>
                <w:szCs w:val="4"/>
              </w:rPr>
            </w:r>
          </w:p>
        </w:tc>
        <w:tc>
          <w:tcPr>
            <w:tcW w:w="5934"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r>
      <w:tr>
        <w:trPr/>
        <w:tc>
          <w:tcPr>
            <w:tcW w:w="66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593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3608" w:type="dxa"/>
            <w:gridSpan w:val="4"/>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Incorporated by Reference</w:t>
            </w:r>
          </w:p>
        </w:tc>
      </w:tr>
      <w:tr>
        <w:trPr/>
        <w:tc>
          <w:tcPr>
            <w:tcW w:w="663"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Exhibit</w:t>
            </w:r>
          </w:p>
        </w:tc>
        <w:tc>
          <w:tcPr>
            <w:tcW w:w="5934"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Description</w:t>
            </w:r>
          </w:p>
        </w:tc>
        <w:tc>
          <w:tcPr>
            <w:tcW w:w="942"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Schedule/Form</w:t>
            </w:r>
          </w:p>
        </w:tc>
        <w:tc>
          <w:tcPr>
            <w:tcW w:w="885"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File Number</w:t>
            </w:r>
          </w:p>
        </w:tc>
        <w:tc>
          <w:tcPr>
            <w:tcW w:w="691"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Exhibits</w:t>
            </w:r>
          </w:p>
        </w:tc>
        <w:tc>
          <w:tcPr>
            <w:tcW w:w="1090"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Filing Date</w:t>
            </w:r>
          </w:p>
        </w:tc>
      </w:tr>
      <w:tr>
        <w:trPr/>
        <w:tc>
          <w:tcPr>
            <w:tcW w:w="663"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10.16+</w:t>
            </w:r>
          </w:p>
        </w:tc>
        <w:tc>
          <w:tcPr>
            <w:tcW w:w="5934"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44">
              <w:r>
                <w:rPr>
                  <w:rStyle w:val="InternetLink"/>
                  <w:rFonts w:ascii="Times New Roman" w:hAnsi="Times New Roman"/>
                  <w:b w:val="false"/>
                  <w:sz w:val="20"/>
                  <w:u w:val="single"/>
                </w:rPr>
                <w:t>Supply Agreement by and between the Registrant and Sutro Biopharma, Inc., dated May 29, 2018, as amended.</w:t>
              </w:r>
            </w:hyperlink>
          </w:p>
        </w:tc>
        <w:tc>
          <w:tcPr>
            <w:tcW w:w="942"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S-1</w:t>
            </w:r>
          </w:p>
        </w:tc>
        <w:tc>
          <w:tcPr>
            <w:tcW w:w="88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333-238630</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10.19</w:t>
            </w:r>
          </w:p>
        </w:tc>
        <w:tc>
          <w:tcPr>
            <w:tcW w:w="109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May 22, 2020</w:t>
            </w:r>
          </w:p>
        </w:tc>
      </w:tr>
      <w:tr>
        <w:trPr/>
        <w:tc>
          <w:tcPr>
            <w:tcW w:w="663"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10.17+</w:t>
            </w:r>
          </w:p>
        </w:tc>
        <w:tc>
          <w:tcPr>
            <w:tcW w:w="5934"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45">
              <w:r>
                <w:rPr>
                  <w:rStyle w:val="InternetLink"/>
                  <w:rFonts w:ascii="Times New Roman" w:hAnsi="Times New Roman"/>
                  <w:b w:val="false"/>
                  <w:sz w:val="20"/>
                  <w:u w:val="single"/>
                </w:rPr>
                <w:t>License Agreement by and between the Registrant and The Regents of the University of California, represented by its San Diego campus, dated February 4, 2019.</w:t>
              </w:r>
            </w:hyperlink>
          </w:p>
        </w:tc>
        <w:tc>
          <w:tcPr>
            <w:tcW w:w="942"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S-1</w:t>
            </w:r>
          </w:p>
        </w:tc>
        <w:tc>
          <w:tcPr>
            <w:tcW w:w="88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333-238630</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10.20</w:t>
            </w:r>
          </w:p>
        </w:tc>
        <w:tc>
          <w:tcPr>
            <w:tcW w:w="109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May 22, 2020</w:t>
            </w:r>
          </w:p>
        </w:tc>
      </w:tr>
      <w:tr>
        <w:trPr/>
        <w:tc>
          <w:tcPr>
            <w:tcW w:w="663"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10.18</w:t>
            </w:r>
          </w:p>
        </w:tc>
        <w:tc>
          <w:tcPr>
            <w:tcW w:w="5934"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46">
              <w:r>
                <w:rPr>
                  <w:rStyle w:val="InternetLink"/>
                  <w:rFonts w:ascii="Times New Roman" w:hAnsi="Times New Roman"/>
                  <w:b w:val="false"/>
                  <w:sz w:val="20"/>
                  <w:u w:val="single"/>
                </w:rPr>
                <w:t>Lease Agreement by and among the Registrant, Grey Peak Fork, LLC and Grey Peak Fork, Series A, LLC, dated July 22, 2016.</w:t>
              </w:r>
            </w:hyperlink>
          </w:p>
        </w:tc>
        <w:tc>
          <w:tcPr>
            <w:tcW w:w="942"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S-1</w:t>
            </w:r>
          </w:p>
        </w:tc>
        <w:tc>
          <w:tcPr>
            <w:tcW w:w="88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333-238630</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10.21</w:t>
            </w:r>
          </w:p>
        </w:tc>
        <w:tc>
          <w:tcPr>
            <w:tcW w:w="109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May 22, 2020</w:t>
            </w:r>
          </w:p>
        </w:tc>
      </w:tr>
      <w:tr>
        <w:trPr/>
        <w:tc>
          <w:tcPr>
            <w:tcW w:w="663"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10.19</w:t>
            </w:r>
          </w:p>
        </w:tc>
        <w:tc>
          <w:tcPr>
            <w:tcW w:w="5934"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r:id="rId47">
              <w:r>
                <w:rPr>
                  <w:rStyle w:val="InternetLink"/>
                  <w:rFonts w:ascii="Times New Roman" w:hAnsi="Times New Roman"/>
                  <w:b w:val="false"/>
                  <w:sz w:val="20"/>
                  <w:u w:val="single"/>
                </w:rPr>
                <w:t>Lease Agreement by and between the Company and ARE-San Francisco No. 63, LLC, dated as of January 21, 2021</w:t>
              </w:r>
            </w:hyperlink>
          </w:p>
        </w:tc>
        <w:tc>
          <w:tcPr>
            <w:tcW w:w="942"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8-K</w:t>
            </w:r>
          </w:p>
        </w:tc>
        <w:tc>
          <w:tcPr>
            <w:tcW w:w="88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001-39323</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10.1</w:t>
            </w:r>
          </w:p>
        </w:tc>
        <w:tc>
          <w:tcPr>
            <w:tcW w:w="109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January 25, 2021</w:t>
            </w:r>
          </w:p>
        </w:tc>
      </w:tr>
      <w:tr>
        <w:trPr/>
        <w:tc>
          <w:tcPr>
            <w:tcW w:w="663"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23.1</w:t>
            </w:r>
          </w:p>
        </w:tc>
        <w:tc>
          <w:tcPr>
            <w:tcW w:w="5934"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w:anchor="pcvx-ex23_1.htm">
              <w:r>
                <w:rPr>
                  <w:rStyle w:val="InternetLink"/>
                  <w:rFonts w:ascii="Times New Roman" w:hAnsi="Times New Roman"/>
                  <w:b w:val="false"/>
                  <w:sz w:val="20"/>
                  <w:u w:val="single"/>
                </w:rPr>
                <w:t>Consent of Independent Registered Public Accounting Firm</w:t>
              </w:r>
            </w:hyperlink>
          </w:p>
        </w:tc>
        <w:tc>
          <w:tcPr>
            <w:tcW w:w="942"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88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109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X</w:t>
            </w:r>
          </w:p>
        </w:tc>
      </w:tr>
      <w:tr>
        <w:trPr/>
        <w:tc>
          <w:tcPr>
            <w:tcW w:w="663"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24.1</w:t>
            </w:r>
          </w:p>
        </w:tc>
        <w:tc>
          <w:tcPr>
            <w:tcW w:w="5934"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w:anchor="power_attorney">
              <w:r>
                <w:rPr>
                  <w:rStyle w:val="InternetLink"/>
                  <w:rFonts w:ascii="Times New Roman" w:hAnsi="Times New Roman"/>
                  <w:b w:val="false"/>
                  <w:sz w:val="20"/>
                  <w:u w:val="single"/>
                </w:rPr>
                <w:t>Power of Attorney. Reference is made to the signature page hereto.</w:t>
              </w:r>
            </w:hyperlink>
          </w:p>
        </w:tc>
        <w:tc>
          <w:tcPr>
            <w:tcW w:w="942"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88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109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X</w:t>
            </w:r>
          </w:p>
        </w:tc>
      </w:tr>
      <w:tr>
        <w:trPr/>
        <w:tc>
          <w:tcPr>
            <w:tcW w:w="663"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31.1</w:t>
            </w:r>
          </w:p>
        </w:tc>
        <w:tc>
          <w:tcPr>
            <w:tcW w:w="5934"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w:anchor="pcvx-ex31_1.htm">
              <w:r>
                <w:rPr>
                  <w:rStyle w:val="InternetLink"/>
                  <w:rFonts w:ascii="Times New Roman" w:hAnsi="Times New Roman"/>
                  <w:b w:val="false"/>
                  <w:sz w:val="20"/>
                  <w:u w:val="single"/>
                </w:rPr>
                <w:t>Certification of Principal Executive Officer pursuant to Rules 13a-14(a) and 15d-14(a) under the Securities Exchange Act of 1934, as amended.</w:t>
              </w:r>
            </w:hyperlink>
          </w:p>
        </w:tc>
        <w:tc>
          <w:tcPr>
            <w:tcW w:w="942"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885"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1090"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X</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158</w:t>
      </w:r>
    </w:p>
    <w:p>
      <w:pPr>
        <w:pStyle w:val="HorizontalLine"/>
        <w:rPr/>
      </w:pPr>
      <w:r>
        <w:rPr/>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736"/>
        <w:gridCol w:w="6289"/>
        <w:gridCol w:w="943"/>
        <w:gridCol w:w="817"/>
        <w:gridCol w:w="691"/>
        <w:gridCol w:w="729"/>
      </w:tblGrid>
      <w:tr>
        <w:trPr/>
        <w:tc>
          <w:tcPr>
            <w:tcW w:w="736" w:type="dxa"/>
            <w:tcBorders/>
            <w:shd w:fill="auto" w:val="clear"/>
            <w:vAlign w:val="center"/>
          </w:tcPr>
          <w:p>
            <w:pPr>
              <w:pStyle w:val="TableContents"/>
              <w:spacing w:before="0" w:after="283"/>
              <w:rPr>
                <w:sz w:val="4"/>
                <w:szCs w:val="4"/>
              </w:rPr>
            </w:pPr>
            <w:r>
              <w:rPr>
                <w:sz w:val="4"/>
                <w:szCs w:val="4"/>
              </w:rPr>
            </w:r>
          </w:p>
        </w:tc>
        <w:tc>
          <w:tcPr>
            <w:tcW w:w="628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r>
      <w:tr>
        <w:trPr/>
        <w:tc>
          <w:tcPr>
            <w:tcW w:w="7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28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3180" w:type="dxa"/>
            <w:gridSpan w:val="4"/>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Incorporated by Reference</w:t>
            </w:r>
          </w:p>
        </w:tc>
      </w:tr>
      <w:tr>
        <w:trPr/>
        <w:tc>
          <w:tcPr>
            <w:tcW w:w="736"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Exhibit</w:t>
            </w:r>
          </w:p>
        </w:tc>
        <w:tc>
          <w:tcPr>
            <w:tcW w:w="6289"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Description</w:t>
            </w:r>
          </w:p>
        </w:tc>
        <w:tc>
          <w:tcPr>
            <w:tcW w:w="943"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Schedule/Form</w:t>
            </w:r>
          </w:p>
        </w:tc>
        <w:tc>
          <w:tcPr>
            <w:tcW w:w="817"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File Number</w:t>
            </w:r>
          </w:p>
        </w:tc>
        <w:tc>
          <w:tcPr>
            <w:tcW w:w="691"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Exhibits</w:t>
            </w:r>
          </w:p>
        </w:tc>
        <w:tc>
          <w:tcPr>
            <w:tcW w:w="729" w:type="dxa"/>
            <w:tcBorders/>
            <w:shd w:fill="auto" w:val="clear"/>
            <w:tcMar>
              <w:top w:w="0" w:type="dxa"/>
              <w:left w:w="0" w:type="dxa"/>
              <w:bottom w:w="0" w:type="dxa"/>
              <w:right w:w="0" w:type="dxa"/>
            </w:tcMar>
            <w:vAlign w:val="center"/>
          </w:tcPr>
          <w:p>
            <w:pPr>
              <w:pStyle w:val="TableContents"/>
              <w:pBdr>
                <w:bottom w:val="single" w:sz="4" w:space="1" w:color="000000"/>
              </w:pBdr>
              <w:spacing w:lineRule="auto" w:line="252" w:before="0" w:after="0"/>
              <w:ind w:left="0" w:right="0" w:hanging="0"/>
              <w:jc w:val="center"/>
              <w:rPr>
                <w:rFonts w:ascii="Times New Roman" w:hAnsi="Times New Roman"/>
                <w:b/>
                <w:sz w:val="16"/>
              </w:rPr>
            </w:pPr>
            <w:r>
              <w:rPr>
                <w:rFonts w:ascii="Times New Roman" w:hAnsi="Times New Roman"/>
                <w:b/>
                <w:sz w:val="16"/>
              </w:rPr>
              <w:t>Filing Date</w:t>
            </w:r>
          </w:p>
        </w:tc>
      </w:tr>
      <w:tr>
        <w:trPr/>
        <w:tc>
          <w:tcPr>
            <w:tcW w:w="7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31.2</w:t>
            </w:r>
          </w:p>
        </w:tc>
        <w:tc>
          <w:tcPr>
            <w:tcW w:w="628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w:anchor="pcvx-ex31_2.htm">
              <w:r>
                <w:rPr>
                  <w:rStyle w:val="InternetLink"/>
                  <w:rFonts w:ascii="Times New Roman" w:hAnsi="Times New Roman"/>
                  <w:b w:val="false"/>
                  <w:sz w:val="20"/>
                  <w:u w:val="single"/>
                </w:rPr>
                <w:t>Certification of Principal Financial Officer pursuant to Rules 13a-14(a) and 15d-14(a) under the Securities Exchange Act of 1934, as amended.</w:t>
              </w:r>
            </w:hyperlink>
          </w:p>
        </w:tc>
        <w:tc>
          <w:tcPr>
            <w:tcW w:w="943"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81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X</w:t>
            </w:r>
          </w:p>
        </w:tc>
      </w:tr>
      <w:tr>
        <w:trPr/>
        <w:tc>
          <w:tcPr>
            <w:tcW w:w="7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32.1</w:t>
            </w:r>
          </w:p>
        </w:tc>
        <w:tc>
          <w:tcPr>
            <w:tcW w:w="628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w:anchor="pcvx-ex32_1.htm">
              <w:r>
                <w:rPr>
                  <w:rStyle w:val="InternetLink"/>
                  <w:rFonts w:ascii="Times New Roman" w:hAnsi="Times New Roman"/>
                  <w:b w:val="false"/>
                  <w:sz w:val="20"/>
                  <w:u w:val="single"/>
                </w:rPr>
                <w:t>Certification of Principal Executive Officer Pursuant to 13a-14(b) or 15d-14(b) of the Securities Exchange Act, as amended, and 18 U.S.C. Section 1350.</w:t>
              </w:r>
            </w:hyperlink>
          </w:p>
        </w:tc>
        <w:tc>
          <w:tcPr>
            <w:tcW w:w="943"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81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X</w:t>
            </w:r>
          </w:p>
        </w:tc>
      </w:tr>
      <w:tr>
        <w:trPr/>
        <w:tc>
          <w:tcPr>
            <w:tcW w:w="7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32.2</w:t>
            </w:r>
          </w:p>
        </w:tc>
        <w:tc>
          <w:tcPr>
            <w:tcW w:w="628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pPr>
            <w:hyperlink w:anchor="pcvx-ex32_2.htm">
              <w:r>
                <w:rPr>
                  <w:rStyle w:val="InternetLink"/>
                  <w:rFonts w:ascii="Times New Roman" w:hAnsi="Times New Roman"/>
                  <w:b w:val="false"/>
                  <w:sz w:val="20"/>
                  <w:u w:val="single"/>
                </w:rPr>
                <w:t>Certification of Principal Financial Officer Pursuant to 13a-14(b) or 15d-14(b) of the Securities Exchange Act, as amended, and 18 U.S.C. Section 1350.</w:t>
              </w:r>
            </w:hyperlink>
          </w:p>
        </w:tc>
        <w:tc>
          <w:tcPr>
            <w:tcW w:w="943"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81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X</w:t>
            </w:r>
          </w:p>
        </w:tc>
      </w:tr>
      <w:tr>
        <w:trPr/>
        <w:tc>
          <w:tcPr>
            <w:tcW w:w="7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101.INS</w:t>
            </w:r>
          </w:p>
        </w:tc>
        <w:tc>
          <w:tcPr>
            <w:tcW w:w="628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Inline XBRL Instance Document – the instance document does not appear in the Interactive Data File because XBRL tags are embedded within the Inline XBRL document.</w:t>
            </w:r>
          </w:p>
        </w:tc>
        <w:tc>
          <w:tcPr>
            <w:tcW w:w="943"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81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X</w:t>
            </w:r>
          </w:p>
        </w:tc>
      </w:tr>
      <w:tr>
        <w:trPr/>
        <w:tc>
          <w:tcPr>
            <w:tcW w:w="7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101.SCH</w:t>
            </w:r>
          </w:p>
        </w:tc>
        <w:tc>
          <w:tcPr>
            <w:tcW w:w="628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Inline XBRL Taxonomy Extension Schema Document</w:t>
            </w:r>
          </w:p>
        </w:tc>
        <w:tc>
          <w:tcPr>
            <w:tcW w:w="943"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81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X</w:t>
            </w:r>
          </w:p>
        </w:tc>
      </w:tr>
      <w:tr>
        <w:trPr/>
        <w:tc>
          <w:tcPr>
            <w:tcW w:w="7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101.CAL</w:t>
            </w:r>
          </w:p>
        </w:tc>
        <w:tc>
          <w:tcPr>
            <w:tcW w:w="628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Inline XBRL Taxonomy Extension Calculation Linkbase Document</w:t>
            </w:r>
          </w:p>
        </w:tc>
        <w:tc>
          <w:tcPr>
            <w:tcW w:w="943"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81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X</w:t>
            </w:r>
          </w:p>
        </w:tc>
      </w:tr>
      <w:tr>
        <w:trPr/>
        <w:tc>
          <w:tcPr>
            <w:tcW w:w="7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101.DEF</w:t>
            </w:r>
          </w:p>
        </w:tc>
        <w:tc>
          <w:tcPr>
            <w:tcW w:w="628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Inline XBRL Taxonomy Extension Definition Linkbase Document</w:t>
            </w:r>
          </w:p>
        </w:tc>
        <w:tc>
          <w:tcPr>
            <w:tcW w:w="943"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81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X</w:t>
            </w:r>
          </w:p>
        </w:tc>
      </w:tr>
      <w:tr>
        <w:trPr/>
        <w:tc>
          <w:tcPr>
            <w:tcW w:w="7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101.LAB</w:t>
            </w:r>
          </w:p>
        </w:tc>
        <w:tc>
          <w:tcPr>
            <w:tcW w:w="628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Inline XBRL Taxonomy Extension Label Linkbase Document</w:t>
            </w:r>
          </w:p>
        </w:tc>
        <w:tc>
          <w:tcPr>
            <w:tcW w:w="943"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81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X</w:t>
            </w:r>
          </w:p>
        </w:tc>
      </w:tr>
      <w:tr>
        <w:trPr/>
        <w:tc>
          <w:tcPr>
            <w:tcW w:w="7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101.PRE</w:t>
            </w:r>
          </w:p>
        </w:tc>
        <w:tc>
          <w:tcPr>
            <w:tcW w:w="628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Inline XBRL Taxonomy Extension Presentation Linkbase Document</w:t>
            </w:r>
          </w:p>
        </w:tc>
        <w:tc>
          <w:tcPr>
            <w:tcW w:w="943"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81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X</w:t>
            </w:r>
          </w:p>
        </w:tc>
      </w:tr>
      <w:tr>
        <w:trPr/>
        <w:tc>
          <w:tcPr>
            <w:tcW w:w="736"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104</w:t>
            </w:r>
          </w:p>
        </w:tc>
        <w:tc>
          <w:tcPr>
            <w:tcW w:w="628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left"/>
              <w:rPr>
                <w:rFonts w:ascii="Times New Roman" w:hAnsi="Times New Roman"/>
                <w:b w:val="false"/>
                <w:sz w:val="20"/>
              </w:rPr>
            </w:pPr>
            <w:r>
              <w:rPr>
                <w:rFonts w:ascii="Times New Roman" w:hAnsi="Times New Roman"/>
                <w:b w:val="false"/>
                <w:sz w:val="20"/>
              </w:rPr>
              <w:t>Cover Page Interactive Data File (formatted as inline XBRL and contained in Exhibit 101</w:t>
            </w:r>
          </w:p>
        </w:tc>
        <w:tc>
          <w:tcPr>
            <w:tcW w:w="943"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817"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691"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pPr>
            <w:r>
              <w:rPr/>
              <w:t> </w:t>
            </w:r>
          </w:p>
        </w:tc>
        <w:tc>
          <w:tcPr>
            <w:tcW w:w="729" w:type="dxa"/>
            <w:tcBorders/>
            <w:shd w:fill="auto" w:val="clear"/>
            <w:tcMar>
              <w:top w:w="0" w:type="dxa"/>
              <w:left w:w="0" w:type="dxa"/>
              <w:bottom w:w="0" w:type="dxa"/>
              <w:right w:w="0" w:type="dxa"/>
            </w:tcMar>
            <w:vAlign w:val="center"/>
          </w:tcPr>
          <w:p>
            <w:pPr>
              <w:pStyle w:val="TableContents"/>
              <w:spacing w:lineRule="auto" w:line="252" w:before="0" w:after="40"/>
              <w:ind w:left="0" w:right="0" w:hanging="0"/>
              <w:jc w:val="center"/>
              <w:rPr>
                <w:rFonts w:ascii="Times New Roman" w:hAnsi="Times New Roman"/>
                <w:b w:val="false"/>
                <w:sz w:val="20"/>
              </w:rPr>
            </w:pPr>
            <w:r>
              <w:rPr>
                <w:rFonts w:ascii="Times New Roman" w:hAnsi="Times New Roman"/>
                <w:b w:val="false"/>
                <w:sz w:val="20"/>
              </w:rPr>
              <w:t>X</w:t>
            </w:r>
          </w:p>
        </w:tc>
      </w:tr>
    </w:tbl>
    <w:p>
      <w:pPr>
        <w:pStyle w:val="TextBody"/>
        <w:pBdr>
          <w:bottom w:val="single" w:sz="4" w:space="1" w:color="000000"/>
        </w:pBdr>
        <w:spacing w:lineRule="auto" w:line="273" w:before="0" w:after="0"/>
        <w:jc w:val="left"/>
        <w:rPr/>
      </w:pPr>
      <w:r>
        <w:rPr/>
        <w:t> </w:t>
      </w:r>
    </w:p>
    <w:p>
      <w:pPr>
        <w:pStyle w:val="TextBody"/>
        <w:spacing w:lineRule="auto" w:line="273" w:before="40" w:after="0"/>
        <w:jc w:val="left"/>
        <w:rPr>
          <w:rFonts w:ascii="Times New Roman" w:hAnsi="Times New Roman"/>
          <w:b w:val="false"/>
          <w:sz w:val="20"/>
        </w:rPr>
      </w:pPr>
      <w:r>
        <w:rPr>
          <w:rFonts w:ascii="Times New Roman" w:hAnsi="Times New Roman"/>
          <w:b w:val="false"/>
          <w:sz w:val="20"/>
        </w:rPr>
        <w:t># Indicates management contract or compensatory plan or arrangement.</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 Certain portions of this agreement have been omitted because the omitted portions are both not material and would likely cause competitive harm if publicly disclosed.</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159</w:t>
      </w:r>
    </w:p>
    <w:p>
      <w:pPr>
        <w:pStyle w:val="HorizontalLine"/>
        <w:rPr/>
      </w:pPr>
      <w:r>
        <w:rPr/>
      </w:r>
    </w:p>
    <w:p>
      <w:pPr>
        <w:pStyle w:val="TextBody"/>
        <w:spacing w:lineRule="auto" w:line="273" w:before="0" w:after="0"/>
        <w:jc w:val="left"/>
        <w:rPr/>
      </w:pPr>
      <w:r>
        <w:rPr/>
        <w:t> </w:t>
      </w:r>
    </w:p>
    <w:p>
      <w:pPr>
        <w:pStyle w:val="TextBody"/>
        <w:spacing w:lineRule="auto" w:line="273" w:before="4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160</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32" w:name="signatures"/>
      <w:bookmarkEnd w:id="32"/>
      <w:r>
        <w:rPr>
          <w:rFonts w:ascii="Times New Roman" w:hAnsi="Times New Roman"/>
          <w:b/>
          <w:sz w:val="20"/>
        </w:rPr>
        <w:t>SIGNATURES</w:t>
      </w:r>
    </w:p>
    <w:p>
      <w:pPr>
        <w:pStyle w:val="TextBody"/>
        <w:spacing w:lineRule="auto" w:line="273" w:before="240" w:after="0"/>
        <w:jc w:val="left"/>
        <w:rPr>
          <w:rFonts w:ascii="Times New Roman" w:hAnsi="Times New Roman"/>
          <w:sz w:val="20"/>
        </w:rPr>
      </w:pPr>
      <w:r>
        <w:rPr>
          <w:rFonts w:ascii="Times New Roman" w:hAnsi="Times New Roman"/>
          <w:b w:val="false"/>
          <w:sz w:val="20"/>
        </w:rPr>
        <w:t>Pursuant to the requirements of Section 13 or 15(d) of the Securities Exchange Act of 1934, as amended, the Registrant has duly caused this Annual Report on Form 10-K to be signed on its behalf by the undersigned, thereunto duly authorized</w:t>
      </w:r>
      <w:r>
        <w:rPr>
          <w:rFonts w:ascii="Times New Roman" w:hAnsi="Times New Roman"/>
          <w:b/>
          <w:sz w:val="20"/>
        </w:rPr>
        <w:t>.</w:t>
      </w:r>
    </w:p>
    <w:p>
      <w:pPr>
        <w:pStyle w:val="TextBody"/>
        <w:spacing w:lineRule="auto" w:line="273" w:before="0" w:after="0"/>
        <w:jc w:val="left"/>
        <w:rPr/>
      </w:pPr>
      <w:r>
        <w:rPr/>
        <w:t> </w:t>
      </w:r>
    </w:p>
    <w:tbl>
      <w:tblPr>
        <w:tblW w:w="4769" w:type="dxa"/>
        <w:jc w:val="left"/>
        <w:tblInd w:w="0" w:type="dxa"/>
        <w:tblCellMar>
          <w:top w:w="28" w:type="dxa"/>
          <w:left w:w="28" w:type="dxa"/>
          <w:bottom w:w="28" w:type="dxa"/>
          <w:right w:w="28" w:type="dxa"/>
        </w:tblCellMar>
      </w:tblPr>
      <w:tblGrid>
        <w:gridCol w:w="2086"/>
        <w:gridCol w:w="146"/>
        <w:gridCol w:w="406"/>
        <w:gridCol w:w="2131"/>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37"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Vaxcyte, Inc.</w:t>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February 28,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213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Grant E. Pickering</w:t>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Grant E. Pickering</w:t>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Executive Officer</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33" w:name="power_attorney"/>
      <w:bookmarkEnd w:id="33"/>
      <w:r>
        <w:rPr>
          <w:rFonts w:ascii="Times New Roman" w:hAnsi="Times New Roman"/>
          <w:b/>
          <w:sz w:val="20"/>
        </w:rPr>
        <w:t>POWER OF ATTORNEY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KNOW ALL PERSONS BY THESE PRESENTS, that each person whose signature appears below constitutes and appoints Grant E. Pickering and Andrew Guggenhime, and each of them, as his or her true and lawful attorneys-in-fact, each with full power of substitution, for him or her in any and all capacities, to sign any amendments to this Annual Report on Form 10-K and to file the same, with exhibits thereto and other documents in connection therewith, with the SEC, hereby ratifying and confirming all that each of said attorneys-in-fact or their substitute or substitutes may do or cause to be done by virtue hereof.</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Pursuant to the requirements of the Securities Exchange Act of 1934, as amended, this Annual Report on Form 10-K has been signed below by the following persons on behalf of the Registrant in the capacities and on the dates indicated.</w:t>
      </w:r>
    </w:p>
    <w:p>
      <w:pPr>
        <w:pStyle w:val="TextBody"/>
        <w:spacing w:lineRule="auto" w:line="273" w:before="0" w:after="0"/>
        <w:jc w:val="left"/>
        <w:rPr/>
      </w:pPr>
      <w:r>
        <w:rPr/>
        <w:t> </w:t>
      </w:r>
    </w:p>
    <w:tbl>
      <w:tblPr>
        <w:tblW w:w="8140" w:type="dxa"/>
        <w:jc w:val="left"/>
        <w:tblInd w:w="0" w:type="dxa"/>
        <w:tblCellMar>
          <w:top w:w="28" w:type="dxa"/>
          <w:left w:w="28" w:type="dxa"/>
          <w:bottom w:w="28" w:type="dxa"/>
          <w:right w:w="28" w:type="dxa"/>
        </w:tblCellMar>
      </w:tblPr>
      <w:tblGrid>
        <w:gridCol w:w="2341"/>
        <w:gridCol w:w="146"/>
        <w:gridCol w:w="3871"/>
        <w:gridCol w:w="146"/>
        <w:gridCol w:w="1636"/>
      </w:tblGrid>
      <w:tr>
        <w:trPr/>
        <w:tc>
          <w:tcPr>
            <w:tcW w:w="2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36" w:type="dxa"/>
            <w:tcBorders/>
            <w:shd w:fill="auto" w:val="clear"/>
            <w:vAlign w:val="center"/>
          </w:tcPr>
          <w:p>
            <w:pPr>
              <w:pStyle w:val="TableContents"/>
              <w:spacing w:before="0" w:after="283"/>
              <w:rPr>
                <w:sz w:val="4"/>
                <w:szCs w:val="4"/>
              </w:rPr>
            </w:pPr>
            <w:r>
              <w:rPr>
                <w:sz w:val="4"/>
                <w:szCs w:val="4"/>
              </w:rPr>
            </w:r>
          </w:p>
        </w:tc>
      </w:tr>
      <w:tr>
        <w:trPr/>
        <w:tc>
          <w:tcPr>
            <w:tcW w:w="23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871"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Title</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3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Date</w:t>
            </w:r>
          </w:p>
        </w:tc>
      </w:tr>
      <w:tr>
        <w:trPr/>
        <w:tc>
          <w:tcPr>
            <w:tcW w:w="23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both"/>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right"/>
              <w:rPr/>
            </w:pPr>
            <w:r>
              <w:rPr/>
              <w:t> </w:t>
            </w:r>
          </w:p>
        </w:tc>
      </w:tr>
      <w:tr>
        <w:trPr/>
        <w:tc>
          <w:tcPr>
            <w:tcW w:w="2341"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Grant E. Pickering</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Chief Executive Officer and Director</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February 28, 2022</w:t>
            </w:r>
          </w:p>
        </w:tc>
      </w:tr>
      <w:tr>
        <w:trPr/>
        <w:tc>
          <w:tcPr>
            <w:tcW w:w="234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Grant E. Pickering</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(Principal Executive)</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Andrew Guggenhime</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President and Chief Financial Officer</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February 28, 2022</w:t>
            </w:r>
          </w:p>
        </w:tc>
      </w:tr>
      <w:tr>
        <w:trPr/>
        <w:tc>
          <w:tcPr>
            <w:tcW w:w="234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Andrew Guggenhime</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i/>
                <w:sz w:val="20"/>
              </w:rPr>
              <w:t>(Principal Financial and Accounting Officer)</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Carlos Paya, M.D., Ph.D.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Director</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February 28, 2022</w:t>
            </w:r>
          </w:p>
        </w:tc>
      </w:tr>
      <w:tr>
        <w:trPr/>
        <w:tc>
          <w:tcPr>
            <w:tcW w:w="234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Carlos Paya, M.D., Ph.D.</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Annie Drapeau</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Director</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February 28, 2022</w:t>
            </w:r>
          </w:p>
        </w:tc>
      </w:tr>
      <w:tr>
        <w:trPr/>
        <w:tc>
          <w:tcPr>
            <w:tcW w:w="234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Annie Drapeau</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Kurt von Emster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Director</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February 28, 2022</w:t>
            </w:r>
          </w:p>
        </w:tc>
      </w:tr>
      <w:tr>
        <w:trPr/>
        <w:tc>
          <w:tcPr>
            <w:tcW w:w="234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Kurt von Emster</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Halley Gilbert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Director</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February 28, 2022</w:t>
            </w:r>
          </w:p>
        </w:tc>
      </w:tr>
      <w:tr>
        <w:trPr/>
        <w:tc>
          <w:tcPr>
            <w:tcW w:w="234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Halley Gilbert</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Peter Hirth, Ph.D.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Director</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February 28, 2022</w:t>
            </w:r>
          </w:p>
        </w:tc>
      </w:tr>
      <w:tr>
        <w:trPr/>
        <w:tc>
          <w:tcPr>
            <w:tcW w:w="234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Peter Hirth, Ph.D.</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Michael Kamarck, Ph.D.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Director</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February 28, 2022</w:t>
            </w:r>
          </w:p>
        </w:tc>
      </w:tr>
      <w:tr>
        <w:trPr/>
        <w:tc>
          <w:tcPr>
            <w:tcW w:w="234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Michael Kamarck, Ph.D.</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Teri Loxam</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Director</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February 28, 2022</w:t>
            </w:r>
          </w:p>
        </w:tc>
      </w:tr>
      <w:tr>
        <w:trPr/>
        <w:tc>
          <w:tcPr>
            <w:tcW w:w="234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Teri Loxam</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r>
        <w:trPr/>
        <w:tc>
          <w:tcPr>
            <w:tcW w:w="23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Heath Lukatch, Ph.D.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Director</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February 28, 2022</w:t>
            </w:r>
          </w:p>
        </w:tc>
      </w:tr>
      <w:tr>
        <w:trPr/>
        <w:tc>
          <w:tcPr>
            <w:tcW w:w="234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Heath Lukatch, Ph.D.</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38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both"/>
              <w:rPr/>
            </w:pPr>
            <w:r>
              <w:rPr/>
              <w:t> </w:t>
            </w:r>
          </w:p>
        </w:tc>
        <w:tc>
          <w:tcPr>
            <w:tcW w:w="1636"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161</w:t>
      </w:r>
    </w:p>
    <w:p>
      <w:pPr>
        <w:pStyle w:val="HorizontalLine"/>
        <w:rPr/>
      </w:pPr>
      <w:r>
        <w:rPr/>
      </w:r>
      <w:r>
        <w:br w:type="page"/>
      </w:r>
    </w:p>
    <w:p>
      <w:pPr>
        <w:pStyle w:val="TextBody"/>
        <w:spacing w:lineRule="auto" w:line="273" w:before="0" w:after="0"/>
        <w:jc w:val="right"/>
        <w:rPr/>
      </w:pPr>
      <w:bookmarkStart w:id="34" w:name="pcvx-ex23_1.htm"/>
      <w:bookmarkStart w:id="35" w:name="kspcvxex23_1"/>
      <w:bookmarkEnd w:id="34"/>
      <w:bookmarkEnd w:id="35"/>
      <w:r>
        <w:rPr/>
        <w:t> </w:t>
      </w:r>
    </w:p>
    <w:p>
      <w:pPr>
        <w:pStyle w:val="TextBody"/>
        <w:spacing w:lineRule="auto" w:line="316" w:before="0" w:after="200"/>
        <w:jc w:val="right"/>
        <w:rPr>
          <w:rFonts w:ascii="Times New Roman" w:hAnsi="Times New Roman"/>
          <w:b/>
          <w:sz w:val="20"/>
        </w:rPr>
      </w:pPr>
      <w:r>
        <w:rPr>
          <w:rFonts w:ascii="Times New Roman" w:hAnsi="Times New Roman"/>
          <w:b/>
          <w:sz w:val="20"/>
        </w:rPr>
        <w:t>Exhibit 23.1</w:t>
      </w:r>
    </w:p>
    <w:p>
      <w:pPr>
        <w:pStyle w:val="TextBody"/>
        <w:spacing w:lineRule="auto" w:line="316" w:before="0" w:after="200"/>
        <w:jc w:val="left"/>
        <w:rPr>
          <w:rFonts w:ascii="Times New Roman" w:hAnsi="Times New Roman"/>
          <w:b/>
          <w:sz w:val="20"/>
        </w:rPr>
      </w:pPr>
      <w:r>
        <w:rPr>
          <w:rFonts w:ascii="Times New Roman" w:hAnsi="Times New Roman"/>
          <w:b/>
          <w:sz w:val="20"/>
        </w:rPr>
        <w:t>CONSENT OF INDEPENDENT REGISTERED PUBLIC ACCOUNTING FIRM</w:t>
      </w:r>
    </w:p>
    <w:p>
      <w:pPr>
        <w:pStyle w:val="TextBody"/>
        <w:spacing w:lineRule="auto" w:line="316" w:before="0" w:after="200"/>
        <w:jc w:val="both"/>
        <w:rPr>
          <w:rFonts w:ascii="Times New Roman" w:hAnsi="Times New Roman"/>
          <w:b w:val="false"/>
          <w:sz w:val="20"/>
        </w:rPr>
      </w:pPr>
      <w:r>
        <w:rPr>
          <w:rFonts w:ascii="Times New Roman" w:hAnsi="Times New Roman"/>
          <w:b w:val="false"/>
          <w:sz w:val="20"/>
        </w:rPr>
        <w:t>We consent to the incorporation by reference in Registration Statement No. 333-257622 on Form S-3ASR and Nos. 333-254824 and 333-239135 on Form S-8 of our reports dated February 28, 2022 relating to the financial statements of Vaxcyte, Inc. and the effectiveness of Vaxcyte, Inc.'s internal control over financial reporting, appearing in this Annual Report on Form 10-K of Vaxcyte, Inc. for the year ended December 31, 2021.</w:t>
      </w:r>
    </w:p>
    <w:p>
      <w:pPr>
        <w:pStyle w:val="TextBody"/>
        <w:spacing w:lineRule="auto" w:line="316" w:before="0" w:after="200"/>
        <w:jc w:val="left"/>
        <w:rPr>
          <w:rFonts w:ascii="Times New Roman" w:hAnsi="Times New Roman"/>
          <w:sz w:val="20"/>
        </w:rPr>
      </w:pPr>
      <w:r>
        <w:rPr>
          <w:rFonts w:ascii="Times New Roman" w:hAnsi="Times New Roman"/>
          <w:b w:val="false"/>
          <w:sz w:val="20"/>
        </w:rPr>
        <w:br/>
      </w:r>
      <w:r>
        <w:rPr>
          <w:rFonts w:ascii="Times New Roman" w:hAnsi="Times New Roman"/>
          <w:sz w:val="20"/>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 Deloitte &amp; Touche</w:t>
        <w:br/>
        <w:t>San Francisco, California</w:t>
      </w:r>
    </w:p>
    <w:p>
      <w:pPr>
        <w:pStyle w:val="TextBody"/>
        <w:spacing w:lineRule="auto" w:line="316" w:before="0" w:after="200"/>
        <w:jc w:val="left"/>
        <w:rPr>
          <w:rFonts w:ascii="Times New Roman" w:hAnsi="Times New Roman"/>
          <w:sz w:val="20"/>
        </w:rPr>
      </w:pPr>
      <w:r>
        <w:rPr>
          <w:rFonts w:ascii="Times New Roman" w:hAnsi="Times New Roman"/>
          <w:b w:val="false"/>
          <w:sz w:val="20"/>
        </w:rPr>
        <w:t>February 28, 2022</w:t>
      </w:r>
      <w:r>
        <w:rPr>
          <w:rFonts w:ascii="Times New Roman" w:hAnsi="Times New Roman"/>
          <w:sz w:val="20"/>
        </w:rPr>
        <w:t xml:space="preserve"> </w:t>
      </w:r>
    </w:p>
    <w:p>
      <w:pPr>
        <w:pStyle w:val="TextBody"/>
        <w:spacing w:lineRule="auto" w:line="316" w:before="0" w:after="200"/>
        <w:jc w:val="left"/>
        <w:rPr/>
      </w:pPr>
      <w:r>
        <w:rPr/>
        <w:t> </w:t>
      </w:r>
    </w:p>
    <w:p>
      <w:pPr>
        <w:pStyle w:val="TextBody"/>
        <w:spacing w:lineRule="auto" w:line="316" w:before="0" w:after="200"/>
        <w:jc w:val="left"/>
        <w:rPr/>
      </w:pPr>
      <w:r>
        <w:rPr/>
        <w:t> </w:t>
      </w:r>
    </w:p>
    <w:p>
      <w:pPr>
        <w:pStyle w:val="TextBody"/>
        <w:spacing w:lineRule="auto" w:line="316" w:before="0" w:after="200"/>
        <w:jc w:val="left"/>
        <w:rPr/>
      </w:pPr>
      <w:r>
        <w:rPr/>
        <w:t> </w:t>
      </w:r>
    </w:p>
    <w:p>
      <w:pPr>
        <w:pStyle w:val="HorizontalLine"/>
        <w:rPr/>
      </w:pPr>
      <w:r>
        <w:rPr/>
      </w:r>
      <w:r>
        <w:br w:type="page"/>
      </w:r>
    </w:p>
    <w:p>
      <w:pPr>
        <w:pStyle w:val="TextBody"/>
        <w:spacing w:lineRule="auto" w:line="273" w:before="0" w:after="0"/>
        <w:jc w:val="right"/>
        <w:rPr>
          <w:rFonts w:ascii="Times New Roman" w:hAnsi="Times New Roman"/>
          <w:b/>
          <w:sz w:val="20"/>
        </w:rPr>
      </w:pPr>
      <w:bookmarkStart w:id="36" w:name="pcvx-ex31_1.htm"/>
      <w:bookmarkStart w:id="37" w:name="kspcvxex31_1"/>
      <w:bookmarkEnd w:id="36"/>
      <w:bookmarkEnd w:id="37"/>
      <w:r>
        <w:rPr>
          <w:rFonts w:ascii="Times New Roman" w:hAnsi="Times New Roman"/>
          <w:b/>
          <w:sz w:val="20"/>
        </w:rPr>
        <w:t>Exhibit 31.1</w:t>
      </w:r>
    </w:p>
    <w:p>
      <w:pPr>
        <w:pStyle w:val="TextBody"/>
        <w:spacing w:lineRule="auto" w:line="273" w:before="36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RULES 13a-14(a) AND 15d-14(a) UNDER THE SECURITIES EXCHANGE ACT OF 1934,</w:t>
      </w:r>
    </w:p>
    <w:p>
      <w:pPr>
        <w:pStyle w:val="TextBody"/>
        <w:spacing w:lineRule="auto" w:line="273" w:before="0" w:after="0"/>
        <w:jc w:val="center"/>
        <w:rPr>
          <w:rFonts w:ascii="Times New Roman" w:hAnsi="Times New Roman"/>
          <w:b/>
          <w:sz w:val="20"/>
        </w:rPr>
      </w:pPr>
      <w:r>
        <w:rPr>
          <w:rFonts w:ascii="Times New Roman" w:hAnsi="Times New Roman"/>
          <w:b/>
          <w:sz w:val="20"/>
        </w:rPr>
        <w:t>AS ADOPTED PURSUANT TO SECTION 302 OF THE SARBANES-OXLEY ACT OF 2002</w:t>
      </w:r>
    </w:p>
    <w:tbl>
      <w:tblPr>
        <w:tblW w:w="206" w:type="dxa"/>
        <w:jc w:val="left"/>
        <w:tblInd w:w="0" w:type="dxa"/>
        <w:tblCellMar>
          <w:top w:w="28" w:type="dxa"/>
          <w:left w:w="28" w:type="dxa"/>
          <w:bottom w:w="28" w:type="dxa"/>
          <w:right w:w="28" w:type="dxa"/>
        </w:tblCellMar>
      </w:tblPr>
      <w:tblGrid>
        <w:gridCol w:w="206"/>
      </w:tblGrid>
      <w:tr>
        <w:trPr/>
        <w:tc>
          <w:tcPr>
            <w:tcW w:w="206" w:type="dxa"/>
            <w:tcBorders/>
            <w:shd w:fill="auto" w:val="clear"/>
            <w:vAlign w:val="center"/>
          </w:tcPr>
          <w:p>
            <w:pPr>
              <w:pStyle w:val="TableContents"/>
              <w:spacing w:before="0" w:after="283"/>
              <w:rPr>
                <w:sz w:val="4"/>
                <w:szCs w:val="4"/>
              </w:rPr>
            </w:pPr>
            <w:r>
              <w:rPr>
                <w:sz w:val="4"/>
                <w:szCs w:val="4"/>
              </w:rPr>
            </w:r>
          </w:p>
        </w:tc>
      </w:tr>
      <w:tr>
        <w:trPr/>
        <w:tc>
          <w:tcPr>
            <w:tcW w:w="206"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rFonts w:ascii="Times New Roman" w:hAnsi="Times New Roman"/>
          <w:b w:val="false"/>
          <w:sz w:val="20"/>
        </w:rPr>
      </w:pPr>
      <w:r>
        <w:rPr>
          <w:rFonts w:ascii="Times New Roman" w:hAnsi="Times New Roman"/>
          <w:b w:val="false"/>
          <w:sz w:val="20"/>
        </w:rPr>
        <w:t>I, Grant E. Pickering, certify that:</w:t>
      </w:r>
    </w:p>
    <w:tbl>
      <w:tblPr>
        <w:tblW w:w="5837" w:type="dxa"/>
        <w:jc w:val="left"/>
        <w:tblInd w:w="0" w:type="dxa"/>
        <w:tblCellMar>
          <w:top w:w="28" w:type="dxa"/>
          <w:left w:w="28" w:type="dxa"/>
          <w:bottom w:w="28" w:type="dxa"/>
          <w:right w:w="28" w:type="dxa"/>
        </w:tblCellMar>
      </w:tblPr>
      <w:tblGrid>
        <w:gridCol w:w="271"/>
        <w:gridCol w:w="5566"/>
      </w:tblGrid>
      <w:tr>
        <w:trPr/>
        <w:tc>
          <w:tcPr>
            <w:tcW w:w="271" w:type="dxa"/>
            <w:tcBorders/>
            <w:shd w:fill="auto" w:val="clear"/>
            <w:vAlign w:val="center"/>
          </w:tcPr>
          <w:p>
            <w:pPr>
              <w:pStyle w:val="TableContents"/>
              <w:spacing w:before="0" w:after="283"/>
              <w:rPr>
                <w:sz w:val="4"/>
                <w:szCs w:val="4"/>
              </w:rPr>
            </w:pPr>
            <w:r>
              <w:rPr>
                <w:sz w:val="4"/>
                <w:szCs w:val="4"/>
              </w:rPr>
            </w:r>
          </w:p>
        </w:tc>
        <w:tc>
          <w:tcPr>
            <w:tcW w:w="5566" w:type="dxa"/>
            <w:tcBorders/>
            <w:shd w:fill="auto" w:val="clear"/>
            <w:vAlign w:val="center"/>
          </w:tcPr>
          <w:p>
            <w:pPr>
              <w:pStyle w:val="TableContents"/>
              <w:spacing w:before="0" w:after="283"/>
              <w:rPr>
                <w:sz w:val="4"/>
                <w:szCs w:val="4"/>
              </w:rPr>
            </w:pPr>
            <w:r>
              <w:rPr>
                <w:sz w:val="4"/>
                <w:szCs w:val="4"/>
              </w:rPr>
            </w:r>
          </w:p>
        </w:tc>
      </w:tr>
      <w:tr>
        <w:trPr/>
        <w:tc>
          <w:tcPr>
            <w:tcW w:w="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w:t>
            </w:r>
          </w:p>
        </w:tc>
        <w:tc>
          <w:tcPr>
            <w:tcW w:w="55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 have reviewed this Annual Report on Form 10-K of Vaxcyte, Inc.;</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43"/>
        <w:gridCol w:w="9962"/>
      </w:tblGrid>
      <w:tr>
        <w:trPr/>
        <w:tc>
          <w:tcPr>
            <w:tcW w:w="243" w:type="dxa"/>
            <w:tcBorders/>
            <w:shd w:fill="auto" w:val="clear"/>
            <w:vAlign w:val="center"/>
          </w:tcPr>
          <w:p>
            <w:pPr>
              <w:pStyle w:val="TableContents"/>
              <w:spacing w:before="0" w:after="283"/>
              <w:rPr>
                <w:sz w:val="4"/>
                <w:szCs w:val="4"/>
              </w:rPr>
            </w:pPr>
            <w:r>
              <w:rPr>
                <w:sz w:val="4"/>
                <w:szCs w:val="4"/>
              </w:rPr>
            </w:r>
          </w:p>
        </w:tc>
        <w:tc>
          <w:tcPr>
            <w:tcW w:w="9962" w:type="dxa"/>
            <w:tcBorders/>
            <w:shd w:fill="auto" w:val="clear"/>
            <w:vAlign w:val="center"/>
          </w:tcPr>
          <w:p>
            <w:pPr>
              <w:pStyle w:val="TableContents"/>
              <w:spacing w:before="0" w:after="283"/>
              <w:rPr>
                <w:sz w:val="4"/>
                <w:szCs w:val="4"/>
              </w:rPr>
            </w:pPr>
            <w:r>
              <w:rPr>
                <w:sz w:val="4"/>
                <w:szCs w:val="4"/>
              </w:rPr>
            </w:r>
          </w:p>
        </w:tc>
      </w:tr>
      <w:tr>
        <w:trPr/>
        <w:tc>
          <w:tcPr>
            <w:tcW w:w="24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w:t>
            </w:r>
          </w:p>
        </w:tc>
        <w:tc>
          <w:tcPr>
            <w:tcW w:w="99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45"/>
        <w:gridCol w:w="9960"/>
      </w:tblGrid>
      <w:tr>
        <w:trPr/>
        <w:tc>
          <w:tcPr>
            <w:tcW w:w="245" w:type="dxa"/>
            <w:tcBorders/>
            <w:shd w:fill="auto" w:val="clear"/>
            <w:vAlign w:val="center"/>
          </w:tcPr>
          <w:p>
            <w:pPr>
              <w:pStyle w:val="TableContents"/>
              <w:spacing w:before="0" w:after="283"/>
              <w:rPr>
                <w:sz w:val="4"/>
                <w:szCs w:val="4"/>
              </w:rPr>
            </w:pPr>
            <w:r>
              <w:rPr>
                <w:sz w:val="4"/>
                <w:szCs w:val="4"/>
              </w:rPr>
            </w:r>
          </w:p>
        </w:tc>
        <w:tc>
          <w:tcPr>
            <w:tcW w:w="996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w:t>
            </w:r>
          </w:p>
        </w:tc>
        <w:tc>
          <w:tcPr>
            <w:tcW w:w="996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41"/>
        <w:gridCol w:w="9964"/>
      </w:tblGrid>
      <w:tr>
        <w:trPr/>
        <w:tc>
          <w:tcPr>
            <w:tcW w:w="241" w:type="dxa"/>
            <w:tcBorders/>
            <w:shd w:fill="auto" w:val="clear"/>
            <w:vAlign w:val="center"/>
          </w:tcPr>
          <w:p>
            <w:pPr>
              <w:pStyle w:val="TableContents"/>
              <w:spacing w:before="0" w:after="283"/>
              <w:rPr>
                <w:sz w:val="4"/>
                <w:szCs w:val="4"/>
              </w:rPr>
            </w:pPr>
            <w:r>
              <w:rPr>
                <w:sz w:val="4"/>
                <w:szCs w:val="4"/>
              </w:rPr>
            </w:r>
          </w:p>
        </w:tc>
        <w:tc>
          <w:tcPr>
            <w:tcW w:w="9964" w:type="dxa"/>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4.</w:t>
            </w:r>
          </w:p>
        </w:tc>
        <w:tc>
          <w:tcPr>
            <w:tcW w:w="996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74"/>
        <w:gridCol w:w="9770"/>
      </w:tblGrid>
      <w:tr>
        <w:trPr/>
        <w:tc>
          <w:tcPr>
            <w:tcW w:w="16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770"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w:t>
            </w:r>
          </w:p>
        </w:tc>
        <w:tc>
          <w:tcPr>
            <w:tcW w:w="977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89"/>
        <w:gridCol w:w="9755"/>
      </w:tblGrid>
      <w:tr>
        <w:trPr/>
        <w:tc>
          <w:tcPr>
            <w:tcW w:w="161"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755"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w:t>
            </w:r>
          </w:p>
        </w:tc>
        <w:tc>
          <w:tcPr>
            <w:tcW w:w="975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w:t>
            </w:r>
          </w:p>
        </w:tc>
        <w:tc>
          <w:tcPr>
            <w:tcW w:w="975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89"/>
        <w:gridCol w:w="9755"/>
      </w:tblGrid>
      <w:tr>
        <w:trPr/>
        <w:tc>
          <w:tcPr>
            <w:tcW w:w="161"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755"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w:t>
            </w:r>
          </w:p>
        </w:tc>
        <w:tc>
          <w:tcPr>
            <w:tcW w:w="975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44"/>
        <w:gridCol w:w="9961"/>
      </w:tblGrid>
      <w:tr>
        <w:trPr/>
        <w:tc>
          <w:tcPr>
            <w:tcW w:w="244" w:type="dxa"/>
            <w:tcBorders/>
            <w:shd w:fill="auto" w:val="clear"/>
            <w:vAlign w:val="center"/>
          </w:tcPr>
          <w:p>
            <w:pPr>
              <w:pStyle w:val="TableContents"/>
              <w:spacing w:before="0" w:after="283"/>
              <w:rPr>
                <w:sz w:val="4"/>
                <w:szCs w:val="4"/>
              </w:rPr>
            </w:pPr>
            <w:r>
              <w:rPr>
                <w:sz w:val="4"/>
                <w:szCs w:val="4"/>
              </w:rPr>
            </w:r>
          </w:p>
        </w:tc>
        <w:tc>
          <w:tcPr>
            <w:tcW w:w="9961" w:type="dxa"/>
            <w:tcBorders/>
            <w:shd w:fill="auto" w:val="clear"/>
            <w:vAlign w:val="center"/>
          </w:tcPr>
          <w:p>
            <w:pPr>
              <w:pStyle w:val="TableContents"/>
              <w:spacing w:before="0" w:after="283"/>
              <w:rPr>
                <w:sz w:val="4"/>
                <w:szCs w:val="4"/>
              </w:rPr>
            </w:pPr>
            <w:r>
              <w:rPr>
                <w:sz w:val="4"/>
                <w:szCs w:val="4"/>
              </w:rPr>
            </w:r>
          </w:p>
        </w:tc>
      </w:tr>
      <w:tr>
        <w:trPr/>
        <w:tc>
          <w:tcPr>
            <w:tcW w:w="24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5.</w:t>
            </w:r>
          </w:p>
        </w:tc>
        <w:tc>
          <w:tcPr>
            <w:tcW w:w="996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81"/>
        <w:gridCol w:w="9763"/>
      </w:tblGrid>
      <w:tr>
        <w:trPr/>
        <w:tc>
          <w:tcPr>
            <w:tcW w:w="16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9763"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w:t>
            </w:r>
          </w:p>
        </w:tc>
        <w:tc>
          <w:tcPr>
            <w:tcW w:w="976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311"/>
        <w:gridCol w:w="9733"/>
      </w:tblGrid>
      <w:tr>
        <w:trPr/>
        <w:tc>
          <w:tcPr>
            <w:tcW w:w="16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9733"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w:t>
            </w:r>
          </w:p>
        </w:tc>
        <w:tc>
          <w:tcPr>
            <w:tcW w:w="973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r>
          </w:p>
        </w:tc>
      </w:tr>
    </w:tbl>
    <w:p>
      <w:pPr>
        <w:pStyle w:val="TextBody"/>
        <w:spacing w:lineRule="auto" w:line="273" w:before="0" w:after="0"/>
        <w:jc w:val="left"/>
        <w:rPr/>
      </w:pPr>
      <w:r>
        <w:rPr/>
        <w:t> </w:t>
      </w:r>
    </w:p>
    <w:p>
      <w:pPr>
        <w:pStyle w:val="HorizontalLine"/>
        <w:rPr/>
      </w:pPr>
      <w:r>
        <w:rPr/>
      </w:r>
    </w:p>
    <w:p>
      <w:pPr>
        <w:pStyle w:val="TextBody"/>
        <w:spacing w:lineRule="auto" w:line="273" w:before="240" w:after="0"/>
        <w:jc w:val="left"/>
        <w:rPr/>
      </w:pPr>
      <w:r>
        <w:rPr/>
        <w:t> </w:t>
      </w:r>
    </w:p>
    <w:tbl>
      <w:tblPr>
        <w:tblW w:w="4769" w:type="dxa"/>
        <w:jc w:val="left"/>
        <w:tblInd w:w="0" w:type="dxa"/>
        <w:tblCellMar>
          <w:top w:w="28" w:type="dxa"/>
          <w:left w:w="28" w:type="dxa"/>
          <w:bottom w:w="28" w:type="dxa"/>
          <w:right w:w="28" w:type="dxa"/>
        </w:tblCellMar>
      </w:tblPr>
      <w:tblGrid>
        <w:gridCol w:w="2086"/>
        <w:gridCol w:w="146"/>
        <w:gridCol w:w="406"/>
        <w:gridCol w:w="2131"/>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February 28,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213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Grant E. Pickering</w:t>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Grant E. Pickering</w:t>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Executive Officer</w:t>
            </w:r>
          </w:p>
        </w:tc>
      </w:tr>
    </w:tbl>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b/>
          <w:sz w:val="20"/>
        </w:rPr>
      </w:pPr>
      <w:bookmarkStart w:id="38" w:name="pcvx-ex31_2.htm"/>
      <w:bookmarkStart w:id="39" w:name="kspcvxex31_2"/>
      <w:bookmarkEnd w:id="38"/>
      <w:bookmarkEnd w:id="39"/>
      <w:r>
        <w:rPr>
          <w:rFonts w:ascii="Times New Roman" w:hAnsi="Times New Roman"/>
          <w:b/>
          <w:sz w:val="20"/>
        </w:rPr>
        <w:t>Exhibit 31.2</w:t>
      </w:r>
    </w:p>
    <w:p>
      <w:pPr>
        <w:pStyle w:val="TextBody"/>
        <w:spacing w:lineRule="auto" w:line="273" w:before="36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RULES 13a-14(a) AND 15d-14(a) UNDER THE SECURITIES EXCHANGE ACT OF 1934,</w:t>
      </w:r>
    </w:p>
    <w:p>
      <w:pPr>
        <w:pStyle w:val="TextBody"/>
        <w:spacing w:lineRule="auto" w:line="273" w:before="0" w:after="0"/>
        <w:jc w:val="center"/>
        <w:rPr>
          <w:rFonts w:ascii="Times New Roman" w:hAnsi="Times New Roman"/>
          <w:b/>
          <w:sz w:val="20"/>
        </w:rPr>
      </w:pPr>
      <w:r>
        <w:rPr>
          <w:rFonts w:ascii="Times New Roman" w:hAnsi="Times New Roman"/>
          <w:b/>
          <w:sz w:val="20"/>
        </w:rPr>
        <w:t>AS ADOPTED PURSUANT TO SECTION 302 OF THE SARBANES-OXLEY ACT OF 2002</w:t>
      </w:r>
    </w:p>
    <w:tbl>
      <w:tblPr>
        <w:tblW w:w="206" w:type="dxa"/>
        <w:jc w:val="left"/>
        <w:tblInd w:w="0" w:type="dxa"/>
        <w:tblCellMar>
          <w:top w:w="28" w:type="dxa"/>
          <w:left w:w="28" w:type="dxa"/>
          <w:bottom w:w="28" w:type="dxa"/>
          <w:right w:w="28" w:type="dxa"/>
        </w:tblCellMar>
      </w:tblPr>
      <w:tblGrid>
        <w:gridCol w:w="206"/>
      </w:tblGrid>
      <w:tr>
        <w:trPr/>
        <w:tc>
          <w:tcPr>
            <w:tcW w:w="206" w:type="dxa"/>
            <w:tcBorders/>
            <w:shd w:fill="auto" w:val="clear"/>
            <w:vAlign w:val="center"/>
          </w:tcPr>
          <w:p>
            <w:pPr>
              <w:pStyle w:val="TableContents"/>
              <w:spacing w:before="0" w:after="283"/>
              <w:rPr>
                <w:sz w:val="4"/>
                <w:szCs w:val="4"/>
              </w:rPr>
            </w:pPr>
            <w:r>
              <w:rPr>
                <w:sz w:val="4"/>
                <w:szCs w:val="4"/>
              </w:rPr>
            </w:r>
          </w:p>
        </w:tc>
      </w:tr>
      <w:tr>
        <w:trPr/>
        <w:tc>
          <w:tcPr>
            <w:tcW w:w="206"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rFonts w:ascii="Times New Roman" w:hAnsi="Times New Roman"/>
          <w:b w:val="false"/>
          <w:sz w:val="20"/>
        </w:rPr>
      </w:pPr>
      <w:r>
        <w:rPr>
          <w:rFonts w:ascii="Times New Roman" w:hAnsi="Times New Roman"/>
          <w:b w:val="false"/>
          <w:sz w:val="20"/>
        </w:rPr>
        <w:t>I, Andrew Guggenhime, certify that:</w:t>
      </w:r>
    </w:p>
    <w:tbl>
      <w:tblPr>
        <w:tblW w:w="5837" w:type="dxa"/>
        <w:jc w:val="left"/>
        <w:tblInd w:w="0" w:type="dxa"/>
        <w:tblCellMar>
          <w:top w:w="28" w:type="dxa"/>
          <w:left w:w="28" w:type="dxa"/>
          <w:bottom w:w="28" w:type="dxa"/>
          <w:right w:w="28" w:type="dxa"/>
        </w:tblCellMar>
      </w:tblPr>
      <w:tblGrid>
        <w:gridCol w:w="271"/>
        <w:gridCol w:w="5566"/>
      </w:tblGrid>
      <w:tr>
        <w:trPr/>
        <w:tc>
          <w:tcPr>
            <w:tcW w:w="271" w:type="dxa"/>
            <w:tcBorders/>
            <w:shd w:fill="auto" w:val="clear"/>
            <w:vAlign w:val="center"/>
          </w:tcPr>
          <w:p>
            <w:pPr>
              <w:pStyle w:val="TableContents"/>
              <w:spacing w:before="0" w:after="283"/>
              <w:rPr>
                <w:sz w:val="4"/>
                <w:szCs w:val="4"/>
              </w:rPr>
            </w:pPr>
            <w:r>
              <w:rPr>
                <w:sz w:val="4"/>
                <w:szCs w:val="4"/>
              </w:rPr>
            </w:r>
          </w:p>
        </w:tc>
        <w:tc>
          <w:tcPr>
            <w:tcW w:w="5566" w:type="dxa"/>
            <w:tcBorders/>
            <w:shd w:fill="auto" w:val="clear"/>
            <w:vAlign w:val="center"/>
          </w:tcPr>
          <w:p>
            <w:pPr>
              <w:pStyle w:val="TableContents"/>
              <w:spacing w:before="0" w:after="283"/>
              <w:rPr>
                <w:sz w:val="4"/>
                <w:szCs w:val="4"/>
              </w:rPr>
            </w:pPr>
            <w:r>
              <w:rPr>
                <w:sz w:val="4"/>
                <w:szCs w:val="4"/>
              </w:rPr>
            </w:r>
          </w:p>
        </w:tc>
      </w:tr>
      <w:tr>
        <w:trPr/>
        <w:tc>
          <w:tcPr>
            <w:tcW w:w="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w:t>
            </w:r>
          </w:p>
        </w:tc>
        <w:tc>
          <w:tcPr>
            <w:tcW w:w="55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 have reviewed this Annual Report on Form 10-K of Vaxcyte, Inc.;</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43"/>
        <w:gridCol w:w="9962"/>
      </w:tblGrid>
      <w:tr>
        <w:trPr/>
        <w:tc>
          <w:tcPr>
            <w:tcW w:w="243" w:type="dxa"/>
            <w:tcBorders/>
            <w:shd w:fill="auto" w:val="clear"/>
            <w:vAlign w:val="center"/>
          </w:tcPr>
          <w:p>
            <w:pPr>
              <w:pStyle w:val="TableContents"/>
              <w:spacing w:before="0" w:after="283"/>
              <w:rPr>
                <w:sz w:val="4"/>
                <w:szCs w:val="4"/>
              </w:rPr>
            </w:pPr>
            <w:r>
              <w:rPr>
                <w:sz w:val="4"/>
                <w:szCs w:val="4"/>
              </w:rPr>
            </w:r>
          </w:p>
        </w:tc>
        <w:tc>
          <w:tcPr>
            <w:tcW w:w="9962" w:type="dxa"/>
            <w:tcBorders/>
            <w:shd w:fill="auto" w:val="clear"/>
            <w:vAlign w:val="center"/>
          </w:tcPr>
          <w:p>
            <w:pPr>
              <w:pStyle w:val="TableContents"/>
              <w:spacing w:before="0" w:after="283"/>
              <w:rPr>
                <w:sz w:val="4"/>
                <w:szCs w:val="4"/>
              </w:rPr>
            </w:pPr>
            <w:r>
              <w:rPr>
                <w:sz w:val="4"/>
                <w:szCs w:val="4"/>
              </w:rPr>
            </w:r>
          </w:p>
        </w:tc>
      </w:tr>
      <w:tr>
        <w:trPr/>
        <w:tc>
          <w:tcPr>
            <w:tcW w:w="24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w:t>
            </w:r>
          </w:p>
        </w:tc>
        <w:tc>
          <w:tcPr>
            <w:tcW w:w="99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45"/>
        <w:gridCol w:w="9960"/>
      </w:tblGrid>
      <w:tr>
        <w:trPr/>
        <w:tc>
          <w:tcPr>
            <w:tcW w:w="245" w:type="dxa"/>
            <w:tcBorders/>
            <w:shd w:fill="auto" w:val="clear"/>
            <w:vAlign w:val="center"/>
          </w:tcPr>
          <w:p>
            <w:pPr>
              <w:pStyle w:val="TableContents"/>
              <w:spacing w:before="0" w:after="283"/>
              <w:rPr>
                <w:sz w:val="4"/>
                <w:szCs w:val="4"/>
              </w:rPr>
            </w:pPr>
            <w:r>
              <w:rPr>
                <w:sz w:val="4"/>
                <w:szCs w:val="4"/>
              </w:rPr>
            </w:r>
          </w:p>
        </w:tc>
        <w:tc>
          <w:tcPr>
            <w:tcW w:w="996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w:t>
            </w:r>
          </w:p>
        </w:tc>
        <w:tc>
          <w:tcPr>
            <w:tcW w:w="996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41"/>
        <w:gridCol w:w="9964"/>
      </w:tblGrid>
      <w:tr>
        <w:trPr/>
        <w:tc>
          <w:tcPr>
            <w:tcW w:w="241" w:type="dxa"/>
            <w:tcBorders/>
            <w:shd w:fill="auto" w:val="clear"/>
            <w:vAlign w:val="center"/>
          </w:tcPr>
          <w:p>
            <w:pPr>
              <w:pStyle w:val="TableContents"/>
              <w:spacing w:before="0" w:after="283"/>
              <w:rPr>
                <w:sz w:val="4"/>
                <w:szCs w:val="4"/>
              </w:rPr>
            </w:pPr>
            <w:r>
              <w:rPr>
                <w:sz w:val="4"/>
                <w:szCs w:val="4"/>
              </w:rPr>
            </w:r>
          </w:p>
        </w:tc>
        <w:tc>
          <w:tcPr>
            <w:tcW w:w="9964" w:type="dxa"/>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4.</w:t>
            </w:r>
          </w:p>
        </w:tc>
        <w:tc>
          <w:tcPr>
            <w:tcW w:w="996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74"/>
        <w:gridCol w:w="9770"/>
      </w:tblGrid>
      <w:tr>
        <w:trPr/>
        <w:tc>
          <w:tcPr>
            <w:tcW w:w="16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770"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w:t>
            </w:r>
          </w:p>
        </w:tc>
        <w:tc>
          <w:tcPr>
            <w:tcW w:w="977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89"/>
        <w:gridCol w:w="9755"/>
      </w:tblGrid>
      <w:tr>
        <w:trPr/>
        <w:tc>
          <w:tcPr>
            <w:tcW w:w="161"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755"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w:t>
            </w:r>
          </w:p>
        </w:tc>
        <w:tc>
          <w:tcPr>
            <w:tcW w:w="975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w:t>
            </w:r>
          </w:p>
        </w:tc>
        <w:tc>
          <w:tcPr>
            <w:tcW w:w="975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89"/>
        <w:gridCol w:w="9755"/>
      </w:tblGrid>
      <w:tr>
        <w:trPr/>
        <w:tc>
          <w:tcPr>
            <w:tcW w:w="161"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755"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w:t>
            </w:r>
          </w:p>
        </w:tc>
        <w:tc>
          <w:tcPr>
            <w:tcW w:w="975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44"/>
        <w:gridCol w:w="9961"/>
      </w:tblGrid>
      <w:tr>
        <w:trPr/>
        <w:tc>
          <w:tcPr>
            <w:tcW w:w="244" w:type="dxa"/>
            <w:tcBorders/>
            <w:shd w:fill="auto" w:val="clear"/>
            <w:vAlign w:val="center"/>
          </w:tcPr>
          <w:p>
            <w:pPr>
              <w:pStyle w:val="TableContents"/>
              <w:spacing w:before="0" w:after="283"/>
              <w:rPr>
                <w:sz w:val="4"/>
                <w:szCs w:val="4"/>
              </w:rPr>
            </w:pPr>
            <w:r>
              <w:rPr>
                <w:sz w:val="4"/>
                <w:szCs w:val="4"/>
              </w:rPr>
            </w:r>
          </w:p>
        </w:tc>
        <w:tc>
          <w:tcPr>
            <w:tcW w:w="9961" w:type="dxa"/>
            <w:tcBorders/>
            <w:shd w:fill="auto" w:val="clear"/>
            <w:vAlign w:val="center"/>
          </w:tcPr>
          <w:p>
            <w:pPr>
              <w:pStyle w:val="TableContents"/>
              <w:spacing w:before="0" w:after="283"/>
              <w:rPr>
                <w:sz w:val="4"/>
                <w:szCs w:val="4"/>
              </w:rPr>
            </w:pPr>
            <w:r>
              <w:rPr>
                <w:sz w:val="4"/>
                <w:szCs w:val="4"/>
              </w:rPr>
            </w:r>
          </w:p>
        </w:tc>
      </w:tr>
      <w:tr>
        <w:trPr/>
        <w:tc>
          <w:tcPr>
            <w:tcW w:w="24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5.</w:t>
            </w:r>
          </w:p>
        </w:tc>
        <w:tc>
          <w:tcPr>
            <w:tcW w:w="996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81"/>
        <w:gridCol w:w="9763"/>
      </w:tblGrid>
      <w:tr>
        <w:trPr/>
        <w:tc>
          <w:tcPr>
            <w:tcW w:w="16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9763"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w:t>
            </w:r>
          </w:p>
        </w:tc>
        <w:tc>
          <w:tcPr>
            <w:tcW w:w="976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311"/>
        <w:gridCol w:w="9733"/>
      </w:tblGrid>
      <w:tr>
        <w:trPr/>
        <w:tc>
          <w:tcPr>
            <w:tcW w:w="16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9733"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w:t>
            </w:r>
          </w:p>
        </w:tc>
        <w:tc>
          <w:tcPr>
            <w:tcW w:w="973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r>
          </w:p>
        </w:tc>
      </w:tr>
    </w:tbl>
    <w:p>
      <w:pPr>
        <w:pStyle w:val="TextBody"/>
        <w:spacing w:lineRule="auto" w:line="273" w:before="0" w:after="0"/>
        <w:jc w:val="left"/>
        <w:rPr/>
      </w:pPr>
      <w:r>
        <w:rPr/>
        <w:t> </w:t>
      </w:r>
    </w:p>
    <w:p>
      <w:pPr>
        <w:pStyle w:val="HorizontalLine"/>
        <w:rPr/>
      </w:pPr>
      <w:r>
        <w:rPr/>
      </w:r>
    </w:p>
    <w:p>
      <w:pPr>
        <w:pStyle w:val="TextBody"/>
        <w:spacing w:lineRule="auto" w:line="273" w:before="240" w:after="0"/>
        <w:jc w:val="left"/>
        <w:rPr/>
      </w:pPr>
      <w:r>
        <w:rPr/>
        <w:t> </w:t>
      </w:r>
    </w:p>
    <w:tbl>
      <w:tblPr>
        <w:tblW w:w="5939" w:type="dxa"/>
        <w:jc w:val="left"/>
        <w:tblInd w:w="0" w:type="dxa"/>
        <w:tblCellMar>
          <w:top w:w="28" w:type="dxa"/>
          <w:left w:w="28" w:type="dxa"/>
          <w:bottom w:w="28" w:type="dxa"/>
          <w:right w:w="28" w:type="dxa"/>
        </w:tblCellMar>
      </w:tblPr>
      <w:tblGrid>
        <w:gridCol w:w="2086"/>
        <w:gridCol w:w="146"/>
        <w:gridCol w:w="406"/>
        <w:gridCol w:w="3301"/>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301"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February 28,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330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Andrew Guggenhime</w:t>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3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Andrew Guggenhime</w:t>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3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President and Chief Financial Officer</w:t>
            </w:r>
          </w:p>
        </w:tc>
      </w:tr>
    </w:tbl>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b/>
          <w:sz w:val="20"/>
        </w:rPr>
      </w:pPr>
      <w:bookmarkStart w:id="40" w:name="pcvx-ex32_1.htm"/>
      <w:bookmarkStart w:id="41" w:name="kspcvxex32_1"/>
      <w:bookmarkEnd w:id="40"/>
      <w:bookmarkEnd w:id="41"/>
      <w:r>
        <w:rPr>
          <w:rFonts w:ascii="Times New Roman" w:hAnsi="Times New Roman"/>
          <w:b/>
          <w:sz w:val="20"/>
        </w:rPr>
        <w:t>Exhibit 32.1</w:t>
      </w:r>
    </w:p>
    <w:p>
      <w:pPr>
        <w:pStyle w:val="TextBody"/>
        <w:spacing w:lineRule="auto" w:line="273" w:before="36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18 U.S.C. SECTION 1350, AS ADOPTED PURSUANT TO</w:t>
      </w:r>
    </w:p>
    <w:p>
      <w:pPr>
        <w:pStyle w:val="TextBody"/>
        <w:spacing w:lineRule="auto" w:line="273" w:before="0" w:after="0"/>
        <w:jc w:val="center"/>
        <w:rPr>
          <w:rFonts w:ascii="Times New Roman" w:hAnsi="Times New Roman"/>
          <w:b/>
          <w:sz w:val="20"/>
        </w:rPr>
      </w:pPr>
      <w:r>
        <w:rPr>
          <w:rFonts w:ascii="Times New Roman" w:hAnsi="Times New Roman"/>
          <w:b/>
          <w:sz w:val="20"/>
        </w:rPr>
        <w:t>SECTION 906 OF THE SARBANES-OXLEY ACT OF 2002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connection with the Annual Report of Vaxcyte, Inc. (the “Company”) on Form 10-K for the annual period ended December 31, 2021 as filed with the Securities and Exchange Commission on the date hereof (the “Report”), I certify, pursuant to 18 U.S.C. Section 1350, as adopted pursuant to Section 906 of the Sarbanes-Oxley Act of 2002, that, to the best of my knowledge: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Report fully complies with the requirements of Section 13(a) or Section15(d) of the Securities Exchange Act of 1934, as amended;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The information contained in the Report fairly presents, in all material respects, the financial condition and results of operations of the Company.</w:t>
      </w:r>
    </w:p>
    <w:p>
      <w:pPr>
        <w:pStyle w:val="TextBody"/>
        <w:spacing w:lineRule="auto" w:line="273" w:before="0" w:after="0"/>
        <w:jc w:val="left"/>
        <w:rPr/>
      </w:pPr>
      <w:r>
        <w:rPr/>
        <w:t> </w:t>
      </w:r>
    </w:p>
    <w:tbl>
      <w:tblPr>
        <w:tblW w:w="4769" w:type="dxa"/>
        <w:jc w:val="left"/>
        <w:tblInd w:w="0" w:type="dxa"/>
        <w:tblCellMar>
          <w:top w:w="28" w:type="dxa"/>
          <w:left w:w="28" w:type="dxa"/>
          <w:bottom w:w="28" w:type="dxa"/>
          <w:right w:w="28" w:type="dxa"/>
        </w:tblCellMar>
      </w:tblPr>
      <w:tblGrid>
        <w:gridCol w:w="2086"/>
        <w:gridCol w:w="146"/>
        <w:gridCol w:w="406"/>
        <w:gridCol w:w="2131"/>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February 28,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213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Grant E.Pickering</w:t>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Grant E. Pickering</w:t>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Executive Officer</w:t>
            </w:r>
          </w:p>
        </w:tc>
      </w:tr>
    </w:tbl>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b/>
          <w:sz w:val="20"/>
        </w:rPr>
      </w:pPr>
      <w:bookmarkStart w:id="42" w:name="pcvx-ex32_2.htm"/>
      <w:bookmarkStart w:id="43" w:name="kspcvxex32_2"/>
      <w:bookmarkEnd w:id="42"/>
      <w:bookmarkEnd w:id="43"/>
      <w:r>
        <w:rPr>
          <w:rFonts w:ascii="Times New Roman" w:hAnsi="Times New Roman"/>
          <w:b/>
          <w:sz w:val="20"/>
        </w:rPr>
        <w:t>Exhibit 32.2</w:t>
      </w:r>
    </w:p>
    <w:p>
      <w:pPr>
        <w:pStyle w:val="TextBody"/>
        <w:spacing w:lineRule="auto" w:line="273" w:before="36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18 U.S.C. SECTION 1350, AS ADOPTED PURSUANT TO</w:t>
      </w:r>
    </w:p>
    <w:p>
      <w:pPr>
        <w:pStyle w:val="TextBody"/>
        <w:spacing w:lineRule="auto" w:line="273" w:before="0" w:after="0"/>
        <w:jc w:val="center"/>
        <w:rPr>
          <w:rFonts w:ascii="Times New Roman" w:hAnsi="Times New Roman"/>
          <w:b/>
          <w:sz w:val="20"/>
        </w:rPr>
      </w:pPr>
      <w:r>
        <w:rPr>
          <w:rFonts w:ascii="Times New Roman" w:hAnsi="Times New Roman"/>
          <w:b/>
          <w:sz w:val="20"/>
        </w:rPr>
        <w:t>SECTION 906 OF THE SARBANES-OXLEY ACT OF 2002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connection with the Annual Report of Vaxcyte, Inc. (the “Company”) on Form 10-K for the annual period ended December 31, 2021 as filed with the Securities and Exchange Commission on the date hereof (the “Report”), I certify, pursuant to 18 U.S.C. Section 1350, as adopted pursuant to Section906 of the Sarbanes-Oxley Act of 2002, that, to the best of my knowledge: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Report fully complies with the requirements of Section 13(a) or Section 15(d) of the Securities Exchange Act of 1934;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The information contained in the Report fairly presents, in all material respects, the financial condition and results of operations of the Company.</w:t>
      </w:r>
    </w:p>
    <w:p>
      <w:pPr>
        <w:pStyle w:val="TextBody"/>
        <w:spacing w:lineRule="auto" w:line="273" w:before="0" w:after="0"/>
        <w:jc w:val="left"/>
        <w:rPr/>
      </w:pPr>
      <w:r>
        <w:rPr/>
        <w:t> </w:t>
      </w:r>
    </w:p>
    <w:tbl>
      <w:tblPr>
        <w:tblW w:w="5939" w:type="dxa"/>
        <w:jc w:val="left"/>
        <w:tblInd w:w="0" w:type="dxa"/>
        <w:tblCellMar>
          <w:top w:w="28" w:type="dxa"/>
          <w:left w:w="28" w:type="dxa"/>
          <w:bottom w:w="28" w:type="dxa"/>
          <w:right w:w="28" w:type="dxa"/>
        </w:tblCellMar>
      </w:tblPr>
      <w:tblGrid>
        <w:gridCol w:w="2086"/>
        <w:gridCol w:w="146"/>
        <w:gridCol w:w="406"/>
        <w:gridCol w:w="3301"/>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301"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February 28,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330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Andrew Guggenhime</w:t>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3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Andrew Guggenhime</w:t>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3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President and Chief Financial Officer</w:t>
            </w:r>
          </w:p>
        </w:tc>
      </w:tr>
    </w:tbl>
    <w:p>
      <w:pPr>
        <w:pStyle w:val="TextBody"/>
        <w:spacing w:lineRule="auto" w:line="273"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hyperlink" Target="https://www.sec.gov/Archives/edgar/data/1649094/000119312520170425/d944845dex31.htm" TargetMode="External"/><Relationship Id="rId25" Type="http://schemas.openxmlformats.org/officeDocument/2006/relationships/hyperlink" Target="https://www.sec.gov/Archives/edgar/data/1649094/000119312520170425/d944845dex32.htm" TargetMode="External"/><Relationship Id="rId26" Type="http://schemas.openxmlformats.org/officeDocument/2006/relationships/hyperlink" Target="https://www.sec.gov/Archives/edgar/data/1649094/000119312520162659/d802328dex41.htm" TargetMode="External"/><Relationship Id="rId27" Type="http://schemas.openxmlformats.org/officeDocument/2006/relationships/hyperlink" Target="https://www.sec.gov/Archives/edgar/data/1649094/000156459021016110/pcvx-ex42_374.htm" TargetMode="External"/><Relationship Id="rId28" Type="http://schemas.openxmlformats.org/officeDocument/2006/relationships/hyperlink" Target="https://www.sec.gov/Archives/edgar/data/1649094/000119312522008768/d259937dex41.htm" TargetMode="External"/><Relationship Id="rId29" Type="http://schemas.openxmlformats.org/officeDocument/2006/relationships/hyperlink" Target="https://www.sec.gov/Archives/edgar/data/1649094/000119312520150234/d802328dex101.htm" TargetMode="External"/><Relationship Id="rId30" Type="http://schemas.openxmlformats.org/officeDocument/2006/relationships/hyperlink" Target="https://www.sec.gov/Archives/edgar/data/1649094/000119312520150234/d802328dex102.htm" TargetMode="External"/><Relationship Id="rId31" Type="http://schemas.openxmlformats.org/officeDocument/2006/relationships/hyperlink" Target="https://www.sec.gov/Archives/edgar/data/1649094/000119312520162659/d802328dex103.htm" TargetMode="External"/><Relationship Id="rId32" Type="http://schemas.openxmlformats.org/officeDocument/2006/relationships/hyperlink" Target="https://www.sec.gov/Archives/edgar/data/0001649094/000119312520162659/d802328dex104.htm" TargetMode="External"/><Relationship Id="rId33" Type="http://schemas.openxmlformats.org/officeDocument/2006/relationships/hyperlink" Target="https://www.sec.gov/Archives/edgar/data/1649094/000119312520150234/d802328dex105.htm" TargetMode="External"/><Relationship Id="rId34" Type="http://schemas.openxmlformats.org/officeDocument/2006/relationships/hyperlink" Target="https://www.sec.gov/Archives/edgar/data/1649094/000119312520150234/d802328dex106.htm" TargetMode="External"/><Relationship Id="rId35" Type="http://schemas.openxmlformats.org/officeDocument/2006/relationships/hyperlink" Target="https://www.sec.gov/Archives/edgar/data/1649094/000119312520150234/d802328dex107.htm" TargetMode="External"/><Relationship Id="rId36" Type="http://schemas.openxmlformats.org/officeDocument/2006/relationships/hyperlink" Target="https://www.sec.gov/Archives/edgar/data/1649094/000119312520150234/d802328dex108.htm" TargetMode="External"/><Relationship Id="rId37" Type="http://schemas.openxmlformats.org/officeDocument/2006/relationships/hyperlink" Target="https://www.sec.gov/Archives/edgar/data/1649094/000119312520150234/d802328dex1011.htm" TargetMode="External"/><Relationship Id="rId38" Type="http://schemas.openxmlformats.org/officeDocument/2006/relationships/hyperlink" Target="https://www.sec.gov/Archives/edgar/data/1649094/000119312520150234/d802328dex1013.htm" TargetMode="External"/><Relationship Id="rId39" Type="http://schemas.openxmlformats.org/officeDocument/2006/relationships/hyperlink" Target="https://www.sec.gov/Archives/edgar/data/1649094/000119312520150234/d802328dex1014.htm" TargetMode="External"/><Relationship Id="rId40" Type="http://schemas.openxmlformats.org/officeDocument/2006/relationships/hyperlink" Target="https://www.sec.gov/Archives/edgar/data/1649094/000119312520150234/d802328dex1015.htm" TargetMode="External"/><Relationship Id="rId41" Type="http://schemas.openxmlformats.org/officeDocument/2006/relationships/hyperlink" Target="https://www.sec.gov/Archives/edgar/data/1649094/000119312520150234/d802328dex1016.htm" TargetMode="External"/><Relationship Id="rId42" Type="http://schemas.openxmlformats.org/officeDocument/2006/relationships/hyperlink" Target="https://www.sec.gov/Archives/edgar/data/1649094/000119312520150234/d802328dex1017.htm" TargetMode="External"/><Relationship Id="rId43" Type="http://schemas.openxmlformats.org/officeDocument/2006/relationships/hyperlink" Target="https://www.sec.gov/Archives/edgar/data/1649094/000119312520150234/d802328dex1018.htm" TargetMode="External"/><Relationship Id="rId44" Type="http://schemas.openxmlformats.org/officeDocument/2006/relationships/hyperlink" Target="https://www.sec.gov/Archives/edgar/data/1649094/000119312520150234/d802328dex1019.htm" TargetMode="External"/><Relationship Id="rId45" Type="http://schemas.openxmlformats.org/officeDocument/2006/relationships/hyperlink" Target="https://www.sec.gov/Archives/edgar/data/1649094/000119312520150234/d802328dex1020.htm" TargetMode="External"/><Relationship Id="rId46" Type="http://schemas.openxmlformats.org/officeDocument/2006/relationships/hyperlink" Target="https://www.sec.gov/Archives/edgar/data/1649094/000119312520150234/d802328dex1021.htm" TargetMode="External"/><Relationship Id="rId47" Type="http://schemas.openxmlformats.org/officeDocument/2006/relationships/hyperlink" Target="https://www.sec.gov/Archives/edgar/data/1649094/000119312521016229/d844599dex101.htm" TargetMode="Externa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93789</Words>
  <CharactersWithSpaces>621759</CharactersWithSpaces>
  <Paragraphs>8840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