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2025</w:t>
      </w:r>
    </w:p>
    <w:p>
      <w:pPr>
        <w:spacing w:after="0" w:line="12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Vaxcyte,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62" w:lineRule="exact"/>
        <w:rPr>
          <w:sz w:val="24"/>
          <w:szCs w:val="24"/>
          <w:color w:val="auto"/>
        </w:rPr>
      </w:pPr>
    </w:p>
    <w:tbl>
      <w:tblPr>
        <w:tblLayout w:type="fixed"/>
        <w:tblInd w:w="700" w:type="dxa"/>
        <w:tblCellMar>
          <w:top w:w="0" w:type="dxa"/>
          <w:left w:w="0" w:type="dxa"/>
          <w:bottom w:w="0" w:type="dxa"/>
          <w:right w:w="0" w:type="dxa"/>
        </w:tblCellMar>
      </w:tblPr>
      <w:tr>
        <w:trPr>
          <w:trHeight w:val="235"/>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1601"/>
              <w:spacing w:after="0"/>
              <w:rPr>
                <w:sz w:val="20"/>
                <w:szCs w:val="20"/>
                <w:color w:val="auto"/>
              </w:rPr>
            </w:pPr>
            <w:r>
              <w:rPr>
                <w:rFonts w:ascii="Times New Roman" w:cs="Times New Roman" w:eastAsia="Times New Roman" w:hAnsi="Times New Roman"/>
                <w:sz w:val="18"/>
                <w:szCs w:val="18"/>
                <w:b w:val="1"/>
                <w:bCs w:val="1"/>
                <w:color w:val="auto"/>
              </w:rPr>
              <w:t>01-39323</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46-4233385</w:t>
            </w:r>
          </w:p>
        </w:tc>
        <w:tc>
          <w:tcPr>
            <w:tcW w:w="0" w:type="dxa"/>
            <w:vAlign w:val="bottom"/>
          </w:tcPr>
          <w:p>
            <w:pPr>
              <w:spacing w:after="0"/>
              <w:rPr>
                <w:sz w:val="1"/>
                <w:szCs w:val="1"/>
                <w:color w:val="auto"/>
              </w:rPr>
            </w:pPr>
          </w:p>
        </w:tc>
      </w:tr>
      <w:tr>
        <w:trPr>
          <w:trHeight w:val="138"/>
        </w:trPr>
        <w:tc>
          <w:tcPr>
            <w:tcW w:w="3220" w:type="dxa"/>
            <w:vAlign w:val="bottom"/>
          </w:tcPr>
          <w:p>
            <w:pPr>
              <w:jc w:val="center"/>
              <w:ind w:right="820"/>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81"/>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825 Industrial Road</w:t>
            </w:r>
          </w:p>
        </w:tc>
        <w:tc>
          <w:tcPr>
            <w:tcW w:w="3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20" w:type="dxa"/>
            <w:vAlign w:val="bottom"/>
          </w:tcPr>
          <w:p>
            <w:pPr>
              <w:jc w:val="center"/>
              <w:ind w:right="8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Suite 300</w:t>
            </w:r>
          </w:p>
        </w:tc>
        <w:tc>
          <w:tcPr>
            <w:tcW w:w="3720" w:type="dxa"/>
            <w:vAlign w:val="bottom"/>
          </w:tcPr>
          <w:p>
            <w:pPr>
              <w:spacing w:after="0"/>
              <w:rPr>
                <w:sz w:val="15"/>
                <w:szCs w:val="15"/>
                <w:color w:val="auto"/>
              </w:rPr>
            </w:pPr>
          </w:p>
        </w:tc>
        <w:tc>
          <w:tcPr>
            <w:tcW w:w="228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94070</w:t>
            </w:r>
          </w:p>
        </w:tc>
        <w:tc>
          <w:tcPr>
            <w:tcW w:w="0" w:type="dxa"/>
            <w:vAlign w:val="bottom"/>
          </w:tcPr>
          <w:p>
            <w:pPr>
              <w:spacing w:after="0"/>
              <w:rPr>
                <w:sz w:val="1"/>
                <w:szCs w:val="1"/>
                <w:color w:val="auto"/>
              </w:rPr>
            </w:pPr>
          </w:p>
        </w:tc>
      </w:tr>
      <w:tr>
        <w:trPr>
          <w:trHeight w:val="240"/>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San Carlos , California</w:t>
            </w:r>
          </w:p>
        </w:tc>
        <w:tc>
          <w:tcPr>
            <w:tcW w:w="37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837-0111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60" w:type="dxa"/>
            <w:vAlign w:val="bottom"/>
          </w:tcPr>
          <w:p>
            <w:pPr>
              <w:spacing w:after="0"/>
              <w:rPr>
                <w:sz w:val="18"/>
                <w:szCs w:val="18"/>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2"/>
                <w:szCs w:val="22"/>
                <w:color w:val="auto"/>
              </w:rPr>
            </w:pP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PCVX</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08" w:lineRule="exact"/>
        <w:rPr>
          <w:sz w:val="20"/>
          <w:szCs w:val="20"/>
          <w:color w:val="auto"/>
        </w:rPr>
      </w:pPr>
    </w:p>
    <w:p>
      <w:pPr>
        <w:ind w:left="20" w:right="120"/>
        <w:spacing w:after="0" w:line="266" w:lineRule="auto"/>
        <w:rPr>
          <w:sz w:val="20"/>
          <w:szCs w:val="20"/>
          <w:color w:val="auto"/>
        </w:rPr>
      </w:pPr>
      <w:r>
        <w:rPr>
          <w:rFonts w:ascii="Times New Roman" w:cs="Times New Roman" w:eastAsia="Times New Roman" w:hAnsi="Times New Roman"/>
          <w:sz w:val="18"/>
          <w:szCs w:val="18"/>
          <w:color w:val="auto"/>
        </w:rPr>
        <w:t>On June 12, 2025, Vaxcyte, Inc. (the “Company”) held its Annual Meeting of Stockholders. The following is a brief description of each matter voted upon at the meeting and the number of votes cast for, withheld or against, the number of abstentions and the number of broker non-votes with respect to each matter, as applicable.</w:t>
      </w:r>
    </w:p>
    <w:p>
      <w:pPr>
        <w:spacing w:after="0" w:line="68" w:lineRule="exact"/>
        <w:rPr>
          <w:sz w:val="20"/>
          <w:szCs w:val="20"/>
          <w:color w:val="auto"/>
        </w:rPr>
      </w:pPr>
    </w:p>
    <w:p>
      <w:pPr>
        <w:ind w:left="360" w:right="40" w:hanging="332"/>
        <w:spacing w:after="0" w:line="266" w:lineRule="auto"/>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nominees to serve as Class II directors until the Company’s 2028 Annual Meeting of Stockholders and until their successors have been duly elected and qualified, or, if sooner, until the director’s death, resignation or removal. The following three Class II directors were re-elected by the votes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32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1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5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50"/>
        </w:trPr>
        <w:tc>
          <w:tcPr>
            <w:tcW w:w="20" w:type="dxa"/>
            <w:vAlign w:val="bottom"/>
          </w:tcPr>
          <w:p>
            <w:pPr>
              <w:spacing w:after="0"/>
              <w:rPr>
                <w:sz w:val="21"/>
                <w:szCs w:val="21"/>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Furey</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120,748,379</w:t>
            </w:r>
          </w:p>
        </w:tc>
        <w:tc>
          <w:tcPr>
            <w:tcW w:w="240" w:type="dxa"/>
            <w:vAlign w:val="bottom"/>
            <w:tcBorders>
              <w:top w:val="single" w:sz="8" w:color="CCEEFF"/>
            </w:tcBorders>
            <w:shd w:val="clear" w:color="auto" w:fill="CCEEFF"/>
          </w:tcPr>
          <w:p>
            <w:pPr>
              <w:spacing w:after="0"/>
              <w:rPr>
                <w:sz w:val="21"/>
                <w:szCs w:val="21"/>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365,989</w:t>
            </w:r>
          </w:p>
        </w:tc>
        <w:tc>
          <w:tcPr>
            <w:tcW w:w="240" w:type="dxa"/>
            <w:vAlign w:val="bottom"/>
            <w:tcBorders>
              <w:top w:val="single" w:sz="8" w:color="CCEEFF"/>
            </w:tcBorders>
            <w:shd w:val="clear" w:color="auto" w:fill="CCEEFF"/>
          </w:tcPr>
          <w:p>
            <w:pPr>
              <w:spacing w:after="0"/>
              <w:rPr>
                <w:sz w:val="21"/>
                <w:szCs w:val="21"/>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4,004,992</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Jacks Lee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107,272,337</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13,842,031</w:t>
            </w:r>
          </w:p>
        </w:tc>
        <w:tc>
          <w:tcPr>
            <w:tcW w:w="240" w:type="dxa"/>
            <w:vAlign w:val="bottom"/>
          </w:tcPr>
          <w:p>
            <w:pPr>
              <w:spacing w:after="0"/>
              <w:rPr>
                <w:sz w:val="23"/>
                <w:szCs w:val="23"/>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4,004,992</w:t>
            </w:r>
          </w:p>
        </w:tc>
      </w:tr>
      <w:tr>
        <w:trPr>
          <w:trHeight w:val="270"/>
        </w:trPr>
        <w:tc>
          <w:tcPr>
            <w:tcW w:w="20" w:type="dxa"/>
            <w:vAlign w:val="bottom"/>
          </w:tcPr>
          <w:p>
            <w:pPr>
              <w:spacing w:after="0"/>
              <w:rPr>
                <w:sz w:val="23"/>
                <w:szCs w:val="23"/>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Heath Lukatch, Ph.D.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99,231,889</w:t>
            </w: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21,882,479</w:t>
            </w:r>
          </w:p>
        </w:tc>
        <w:tc>
          <w:tcPr>
            <w:tcW w:w="240" w:type="dxa"/>
            <w:vAlign w:val="bottom"/>
            <w:shd w:val="clear" w:color="auto" w:fill="CCEEFF"/>
          </w:tcPr>
          <w:p>
            <w:pPr>
              <w:spacing w:after="0"/>
              <w:rPr>
                <w:sz w:val="23"/>
                <w:szCs w:val="23"/>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4,004,992</w:t>
            </w:r>
          </w:p>
        </w:tc>
      </w:tr>
    </w:tbl>
    <w:p>
      <w:pPr>
        <w:spacing w:after="0" w:line="400" w:lineRule="exact"/>
        <w:rPr>
          <w:sz w:val="20"/>
          <w:szCs w:val="20"/>
          <w:color w:val="auto"/>
        </w:rPr>
      </w:pPr>
    </w:p>
    <w:p>
      <w:pPr>
        <w:ind w:left="360" w:right="460" w:hanging="332"/>
        <w:spacing w:after="0" w:line="282"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as the Company’s independent registered public accounting firm for the fiscal year ending December 31, 2025. The appointment was ratified by the votes indicated: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28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3"/>
        </w:trPr>
        <w:tc>
          <w:tcPr>
            <w:tcW w:w="4600" w:type="dxa"/>
            <w:vAlign w:val="bottom"/>
            <w:tcBorders>
              <w:top w:val="single" w:sz="8" w:color="auto"/>
            </w:tcBorders>
            <w:shd w:val="clear" w:color="auto" w:fill="CCEEFF"/>
          </w:tcPr>
          <w:p>
            <w:pPr>
              <w:jc w:val="right"/>
              <w:ind w:right="1750"/>
              <w:spacing w:after="0"/>
              <w:rPr>
                <w:sz w:val="20"/>
                <w:szCs w:val="20"/>
                <w:color w:val="auto"/>
              </w:rPr>
            </w:pPr>
            <w:r>
              <w:rPr>
                <w:rFonts w:ascii="Times New Roman" w:cs="Times New Roman" w:eastAsia="Times New Roman" w:hAnsi="Times New Roman"/>
                <w:sz w:val="18"/>
                <w:szCs w:val="18"/>
                <w:color w:val="auto"/>
              </w:rPr>
              <w:t>124,849,714</w:t>
            </w:r>
          </w:p>
        </w:tc>
        <w:tc>
          <w:tcPr>
            <w:tcW w:w="26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245,362</w:t>
            </w:r>
          </w:p>
        </w:tc>
        <w:tc>
          <w:tcPr>
            <w:tcW w:w="28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24,285</w:t>
            </w:r>
          </w:p>
        </w:tc>
      </w:tr>
    </w:tbl>
    <w:p>
      <w:pPr>
        <w:spacing w:after="0" w:line="200" w:lineRule="exact"/>
        <w:rPr>
          <w:sz w:val="20"/>
          <w:szCs w:val="20"/>
          <w:color w:val="auto"/>
        </w:rPr>
      </w:pPr>
    </w:p>
    <w:p>
      <w:pPr>
        <w:spacing w:after="0" w:line="227" w:lineRule="exact"/>
        <w:rPr>
          <w:sz w:val="20"/>
          <w:szCs w:val="20"/>
          <w:color w:val="auto"/>
        </w:rPr>
      </w:pPr>
    </w:p>
    <w:p>
      <w:pPr>
        <w:ind w:left="360" w:right="420" w:hanging="332"/>
        <w:spacing w:after="0" w:line="282" w:lineRule="auto"/>
        <w:tabs>
          <w:tab w:leader="none" w:pos="3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the Company’s named executive officers. The approval of the non-binding resolution on named executive officer compensation was approved by the votes indicated:</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5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77,119,045</w:t>
            </w:r>
          </w:p>
        </w:tc>
        <w:tc>
          <w:tcPr>
            <w:tcW w:w="18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43,969,206</w:t>
            </w:r>
          </w:p>
        </w:tc>
        <w:tc>
          <w:tcPr>
            <w:tcW w:w="1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26,117</w:t>
            </w:r>
          </w:p>
        </w:tc>
        <w:tc>
          <w:tcPr>
            <w:tcW w:w="180" w:type="dxa"/>
            <w:vAlign w:val="bottom"/>
            <w:tcBorders>
              <w:top w:val="single" w:sz="8" w:color="CCEEFF"/>
            </w:tcBorders>
            <w:shd w:val="clear" w:color="auto" w:fill="CCEEFF"/>
          </w:tcPr>
          <w:p>
            <w:pPr>
              <w:spacing w:after="0"/>
              <w:rPr>
                <w:sz w:val="19"/>
                <w:szCs w:val="19"/>
                <w:color w:val="auto"/>
              </w:rPr>
            </w:pPr>
          </w:p>
        </w:tc>
        <w:tc>
          <w:tcPr>
            <w:tcW w:w="350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4,004,992</w:t>
            </w:r>
          </w:p>
        </w:tc>
      </w:tr>
      <w:tr>
        <w:trPr>
          <w:trHeight w:val="22"/>
        </w:trPr>
        <w:tc>
          <w:tcPr>
            <w:tcW w:w="2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right="660" w:hanging="332"/>
        <w:spacing w:after="0" w:line="266" w:lineRule="auto"/>
        <w:tabs>
          <w:tab w:leader="none" w:pos="3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amendment and restatement of the Company’s Amended and Restated Certificate of Incorporation to provide for officer exculpation as permitted by recent amendments to the Delaware General Corporation Law. The amendment and restatement of the Company’s Amended and Restated Certificate of Incorporation was approved by the votes indicated: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40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112,270,039</w:t>
            </w:r>
          </w:p>
        </w:tc>
        <w:tc>
          <w:tcPr>
            <w:tcW w:w="1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8,815,788</w:t>
            </w:r>
          </w:p>
        </w:tc>
        <w:tc>
          <w:tcPr>
            <w:tcW w:w="1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28,541</w:t>
            </w:r>
          </w:p>
        </w:tc>
        <w:tc>
          <w:tcPr>
            <w:tcW w:w="18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4,004,992</w:t>
            </w:r>
          </w:p>
        </w:tc>
        <w:tc>
          <w:tcPr>
            <w:tcW w:w="560" w:type="dxa"/>
            <w:vAlign w:val="bottom"/>
          </w:tcPr>
          <w:p>
            <w:pPr>
              <w:spacing w:after="0"/>
              <w:rPr>
                <w:sz w:val="19"/>
                <w:szCs w:val="19"/>
                <w:color w:val="auto"/>
              </w:rPr>
            </w:pPr>
          </w:p>
        </w:tc>
      </w:tr>
      <w:tr>
        <w:trPr>
          <w:trHeight w:val="1020"/>
        </w:trPr>
        <w:tc>
          <w:tcPr>
            <w:tcW w:w="2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0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VAXCYTE, INC.</w:t>
      </w:r>
    </w:p>
    <w:p>
      <w:pPr>
        <w:spacing w:after="0" w:line="324" w:lineRule="exact"/>
        <w:rPr>
          <w:sz w:val="20"/>
          <w:szCs w:val="20"/>
          <w:color w:val="auto"/>
        </w:rPr>
      </w:pPr>
    </w:p>
    <w:p>
      <w:pPr>
        <w:ind w:left="20"/>
        <w:spacing w:after="0"/>
        <w:tabs>
          <w:tab w:leader="none" w:pos="680" w:val="left"/>
          <w:tab w:leader="none" w:pos="5560" w:val="left"/>
          <w:tab w:leader="none" w:pos="7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Guggenhime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Andrew Guggenhime</w:t>
      </w:r>
    </w:p>
    <w:p>
      <w:pPr>
        <w:spacing w:after="0" w:line="2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sectPr>
      <w:pgSz w:w="11900" w:h="16838" w:orient="portrait"/>
      <w:cols w:equalWidth="0" w:num="1">
        <w:col w:w="11200"/>
      </w:cols>
      <w:pgMar w:left="320" w:top="10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2025-06-17T15:30:59Z</dcterms:created>
  <dcterms:modified xsi:type="dcterms:W3CDTF">2025-06-17T15:30:59Z</dcterms:modified>
</cp:coreProperties>
</file>