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0490d8k.htm"/>
      <w:bookmarkStart w:id="1" w:name="ksd15049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Vaxcyte,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001-39323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46-4233385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825 Industrial Road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Suite 300</w:t>
            </w:r>
          </w:p>
          <w:p>
            <w:pPr>
              <w:pStyle w:val="TableContents"/>
              <w:bidi w:val="0"/>
              <w:spacing w:before="0" w:after="20"/>
              <w:jc w:val="center"/>
              <w:rPr>
                <w:rFonts w:ascii="Times New Roman" w:hAnsi="Times New Roman"/>
                <w:b/>
                <w:sz w:val="20"/>
              </w:rPr>
            </w:pPr>
            <w:r>
              <w:rPr>
                <w:rFonts w:ascii="Times New Roman" w:hAnsi="Times New Roman"/>
                <w:b/>
                <w:sz w:val="20"/>
              </w:rPr>
              <w:t>San Carlos,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94070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(650) 837-0111</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055" w:type="dxa"/>
        <w:jc w:val="left"/>
        <w:tblInd w:w="0" w:type="dxa"/>
        <w:tblLayout w:type="fixed"/>
        <w:tblCellMar>
          <w:top w:w="0" w:type="dxa"/>
          <w:left w:w="0" w:type="dxa"/>
          <w:bottom w:w="0" w:type="dxa"/>
          <w:right w:w="0" w:type="dxa"/>
        </w:tblCellMar>
      </w:tblPr>
      <w:tblGrid>
        <w:gridCol w:w="4145"/>
        <w:gridCol w:w="60"/>
        <w:gridCol w:w="740"/>
        <w:gridCol w:w="60"/>
        <w:gridCol w:w="3050"/>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45" w:type="dxa"/>
            <w:tcBorders/>
            <w:vAlign w:val="center"/>
          </w:tcPr>
          <w:p>
            <w:pPr>
              <w:pStyle w:val="TableContents"/>
              <w:bidi w:val="0"/>
              <w:spacing w:before="0" w:after="283"/>
              <w:jc w:val="center"/>
              <w:rPr/>
            </w:pPr>
            <w:r>
              <w:rPr/>
              <w:t>Common Stock, $0.001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PCVX</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On October 9, 2026, Vaxcyte, Inc. (“</w:t>
      </w:r>
      <w:r>
        <w:rPr>
          <w:rFonts w:ascii="Times New Roman" w:hAnsi="Times New Roman"/>
          <w:b/>
          <w:i/>
          <w:sz w:val="20"/>
        </w:rPr>
        <w:t>Vaxcyte</w:t>
      </w:r>
      <w:r>
        <w:rPr>
          <w:rFonts w:ascii="Times New Roman" w:hAnsi="Times New Roman"/>
          <w:sz w:val="20"/>
        </w:rPr>
        <w:t>”) consummated the sale and issuance of $575,000,000 aggregate principal amount of its 1.50% Convertible Senior Notes due 2032 (the “</w:t>
      </w:r>
      <w:r>
        <w:rPr>
          <w:rFonts w:ascii="Times New Roman" w:hAnsi="Times New Roman"/>
          <w:b/>
          <w:i/>
          <w:sz w:val="20"/>
        </w:rPr>
        <w:t>Notes</w:t>
      </w:r>
      <w:r>
        <w:rPr>
          <w:rFonts w:ascii="Times New Roman" w:hAnsi="Times New Roman"/>
          <w:sz w:val="20"/>
        </w:rPr>
        <w:t>”) to certain underwriters (the “</w:t>
      </w:r>
      <w:r>
        <w:rPr>
          <w:rFonts w:ascii="Times New Roman" w:hAnsi="Times New Roman"/>
          <w:b/>
          <w:i/>
          <w:sz w:val="20"/>
        </w:rPr>
        <w:t>Debt Offering</w:t>
      </w:r>
      <w:r>
        <w:rPr>
          <w:rFonts w:ascii="Times New Roman" w:hAnsi="Times New Roman"/>
          <w:sz w:val="20"/>
        </w:rPr>
        <w:t>”). The Notes were issued pursuant to, and are governed by, an indenture (the “</w:t>
      </w:r>
      <w:r>
        <w:rPr>
          <w:rFonts w:ascii="Times New Roman" w:hAnsi="Times New Roman"/>
          <w:b/>
          <w:i/>
          <w:sz w:val="20"/>
        </w:rPr>
        <w:t>Base Indenture</w:t>
      </w:r>
      <w:r>
        <w:rPr>
          <w:rFonts w:ascii="Times New Roman" w:hAnsi="Times New Roman"/>
          <w:sz w:val="20"/>
        </w:rPr>
        <w:t>”), dated as of October 9, 2026, between Vaxcyte and U.S. Bank Trust Company, National Association, as trustee (the “</w:t>
      </w:r>
      <w:r>
        <w:rPr>
          <w:rFonts w:ascii="Times New Roman" w:hAnsi="Times New Roman"/>
          <w:b/>
          <w:i/>
          <w:sz w:val="20"/>
        </w:rPr>
        <w:t>Trustee</w:t>
      </w:r>
      <w:r>
        <w:rPr>
          <w:rFonts w:ascii="Times New Roman" w:hAnsi="Times New Roman"/>
          <w:sz w:val="20"/>
        </w:rPr>
        <w:t>”), as supplemented by a First Supplemental Indenture (the “</w:t>
      </w:r>
      <w:r>
        <w:rPr>
          <w:rFonts w:ascii="Times New Roman" w:hAnsi="Times New Roman"/>
          <w:b/>
          <w:i/>
          <w:sz w:val="20"/>
        </w:rPr>
        <w:t>Supplemental Indenture</w:t>
      </w:r>
      <w:r>
        <w:rPr>
          <w:rFonts w:ascii="Times New Roman" w:hAnsi="Times New Roman"/>
          <w:sz w:val="20"/>
        </w:rPr>
        <w:t>,” and the Base Indenture, as supplemented by the Supplemental Indenture, the “</w:t>
      </w:r>
      <w:r>
        <w:rPr>
          <w:rFonts w:ascii="Times New Roman" w:hAnsi="Times New Roman"/>
          <w:b/>
          <w:i/>
          <w:sz w:val="20"/>
        </w:rPr>
        <w:t>Indenture</w:t>
      </w:r>
      <w:r>
        <w:rPr>
          <w:rFonts w:ascii="Times New Roman" w:hAnsi="Times New Roman"/>
          <w:sz w:val="20"/>
        </w:rPr>
        <w:t xml:space="preserve">”), dated as of October 9, 2026, between Vaxcyte and the Trustee. </w:t>
      </w:r>
    </w:p>
    <w:p>
      <w:pPr>
        <w:pStyle w:val="TextBody"/>
        <w:bidi w:val="0"/>
        <w:spacing w:before="240" w:after="0"/>
        <w:jc w:val="left"/>
        <w:rPr>
          <w:rFonts w:ascii="Times New Roman" w:hAnsi="Times New Roman"/>
          <w:sz w:val="20"/>
        </w:rPr>
      </w:pPr>
      <w:r>
        <w:rPr>
          <w:rFonts w:ascii="Times New Roman" w:hAnsi="Times New Roman"/>
          <w:sz w:val="20"/>
        </w:rPr>
        <w:t>The Notes are senior, unsecured obligations and will accrue interest at a rate of 1.50% per annum, payable semi-annually in arrears on April 15 and October 15 of each year, beginning on April 15, 2027. The Notes will mature on October 15, 2032 unless earlier repurchased, redeemed or converted. Before July 15, 2032, noteholders will have the right to convert their Notes only upon the occurrence of certain events. From and after July 15, 2032, noteholders may convert their Notes at any time at their election until the close of business on the second scheduled trading day immediately before the maturity date. Vaxcyte will settle conversions by paying or delivering, as applicable, cash, shares of its common stock, par value $0.001 per share (“</w:t>
      </w:r>
      <w:r>
        <w:rPr>
          <w:rFonts w:ascii="Times New Roman" w:hAnsi="Times New Roman"/>
          <w:b/>
          <w:i/>
          <w:sz w:val="20"/>
        </w:rPr>
        <w:t>Common Stock</w:t>
      </w:r>
      <w:r>
        <w:rPr>
          <w:rFonts w:ascii="Times New Roman" w:hAnsi="Times New Roman"/>
          <w:sz w:val="20"/>
        </w:rPr>
        <w:t xml:space="preserve">”) or a combination of cash and shares of Common Stock, at its election. The initial conversion rate is 11.1607 shares of Common Stock per $1,000 principal amount of Notes, which represents an initial conversion price of approximately $89.60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redeemable (a “provisional redemption”), in whole or in part (subject to certain limitations described below), at Vaxcyte’s option at any time, and from time to time, on or after October 22, 2029 and on or before the 20th scheduled trading day immediately before the maturity date, at a cash redemption price equal to the principal amount of the Notes to be redeemed, plus accrued and unpaid interest, if any, to, but excluding, the redemption date, but only if the last reported sale price per share of Common Stock exceeds 130% of the conversion price on (x) each of at least 20 trading days, whether or not consecutive, during the 30 consecutive trading days ending on, and including, the trading day immediately before the date Vaxcyte sends the related redemption notice; and (y) the trading day immediately before the date Vaxcyte sends such notice. However, Vaxcyte may not redeem less than all of the outstanding Notes pursuant to a provisional redemption unless at least $75.0 million aggregate principal amount of Notes are outstanding and not called for redemption as of the time Vaxcyte sends the related redemption notice. In addition, calling any Note for provisional redemption will constitute a Make-Whole Fundamental Change with respect to that Note, in which case the conversion rate applicable to the conversion of that Note will be increased in certain circumstances if it is converted after it is called for provisional redemption.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Vaxcyte will also have the right to redeem (a “cleanup redemption”) all, but not less than all, of the Notes, at any time, at a cash redemption price equal to the principal amount of the Notes to be redeemed, plus accrued and unpaid interest, if any, to, but excluding, the redemption date, but only if the principal amount of the Notes outstanding at the time Vaxcyte sends the related redemption notice is less than 10% of the aggregate principal amount of the Notes issued in the Debt Offering. Calling the Notes for cleanup redemption will constitute a Make-Whole Fundamental Change, which will require Vaxcyte to increase the conversion rate in certain circumstances for a specified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If certain corporate events that constitute a “Fundamental Change” (as defined in the Indenture) occur, then, subject to a limited exception for certain cash mergers, noteholders may require Vaxcyte to repurchase their Notes at a cash repurchase price equal to the principal amount of the Notes to be repurchased, plus accrued and unpaid interest, if any, to, but excluding, the fundamental change repurchase date. The definition of Fundamental Change includes certain business combination transactions involving Vaxcyte and certain de-listing events with respect to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Notes have customary provisions relating to the occurrence of “Events of Default” (as defined in the Indenture). If an Event of Default involving bankruptcy, insolvency or reorganization events with respect to Vaxcyte (and not solely with respect to a significant subsidiary of Vaxcyte) occurs, then the principal amount of, and all accrued and unpaid interest on, all of the Notes then outstanding will immediately become due and payable without any further action or notice by any person. If any other Event of Default occurs and is continuing, then the Trustee, by notice to Vaxcyte, or noteholders of at least 25% of the aggregate principal amount of Notes then outstanding, by notice to Vaxcyte and the Trustee, may declare the principal amount of, and all accrued and unpaid interest on, all of the Notes then outstanding to become due and payable immediately.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above description of the Indenture and the Notes is a summary and is not complete. Copies of the Base Indenture, the Supplemental Indenture and the form of the certificate representing the Notes are filed as Exhibits 4.1, 4.2, and 4.3, respectively, to this Current Report on Form 8-K, and the above summary is qualified by reference to the terms of the Base Indenture, the Supplemental Indenture and the Notes set forth in such exhibits. </w:t>
      </w:r>
    </w:p>
    <w:p>
      <w:pPr>
        <w:pStyle w:val="TextBody"/>
        <w:bidi w:val="0"/>
        <w:spacing w:before="360" w:after="0"/>
        <w:jc w:val="left"/>
        <w:rPr>
          <w:rFonts w:ascii="Times New Roman" w:hAnsi="Times New Roman"/>
          <w:b/>
          <w:sz w:val="20"/>
        </w:rPr>
      </w:pPr>
      <w:r>
        <w:rPr>
          <w:rFonts w:ascii="Times New Roman" w:hAnsi="Times New Roman"/>
          <w:b/>
          <w:sz w:val="20"/>
        </w:rPr>
        <w:t xml:space="preserve">Item 2.03 Creation of a Direct Financial Obligation or an Obligation under an Off-Balance Sheet Arrangement of a Registrant.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1.01 of this Current Report on Form 8-K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On October 6, 2026, Vaxcyte entered into an underwriting agreement (the “</w:t>
      </w:r>
      <w:r>
        <w:rPr>
          <w:rFonts w:ascii="Times New Roman" w:hAnsi="Times New Roman"/>
          <w:b/>
          <w:i/>
          <w:sz w:val="20"/>
        </w:rPr>
        <w:t>Equity Underwriting Agreement</w:t>
      </w:r>
      <w:r>
        <w:rPr>
          <w:rFonts w:ascii="Times New Roman" w:hAnsi="Times New Roman"/>
          <w:sz w:val="20"/>
        </w:rPr>
        <w:t>”) with Jefferies LLC and Leerink Partners LLC, as representatives of the several underwriters named therein (collectively, the “</w:t>
      </w:r>
      <w:r>
        <w:rPr>
          <w:rFonts w:ascii="Times New Roman" w:hAnsi="Times New Roman"/>
          <w:b/>
          <w:i/>
          <w:sz w:val="20"/>
        </w:rPr>
        <w:t>Equity Underwriters</w:t>
      </w:r>
      <w:r>
        <w:rPr>
          <w:rFonts w:ascii="Times New Roman" w:hAnsi="Times New Roman"/>
          <w:sz w:val="20"/>
        </w:rPr>
        <w:t>”), relating to the issuance and sale (the “</w:t>
      </w:r>
      <w:r>
        <w:rPr>
          <w:rFonts w:ascii="Times New Roman" w:hAnsi="Times New Roman"/>
          <w:b/>
          <w:i/>
          <w:sz w:val="20"/>
        </w:rPr>
        <w:t>Equity Offering</w:t>
      </w:r>
      <w:r>
        <w:rPr>
          <w:rFonts w:ascii="Times New Roman" w:hAnsi="Times New Roman"/>
          <w:sz w:val="20"/>
        </w:rPr>
        <w:t>” and together with the Debt Offering, the “</w:t>
      </w:r>
      <w:r>
        <w:rPr>
          <w:rFonts w:ascii="Times New Roman" w:hAnsi="Times New Roman"/>
          <w:b/>
          <w:i/>
          <w:sz w:val="20"/>
        </w:rPr>
        <w:t>Concurrent Offerings</w:t>
      </w:r>
      <w:r>
        <w:rPr>
          <w:rFonts w:ascii="Times New Roman" w:hAnsi="Times New Roman"/>
          <w:sz w:val="20"/>
        </w:rPr>
        <w:t xml:space="preserve">”) of 7,412,500 shares of Common Stock, at a price to the public of $64.00 per share, and pre-funded warrants to purchase 400,000 shares of its Common Stock at a price to the public of $63.999 per pre-funded warrant, which is the price per share at which shares of Common Stock were sold to the public in the Equity Offering, minus $0.001. The exercise price of each pre-funded warrant equals $0.001 per share and each pre-funded warrant is exercisable from the date of issuance until fully exercised, subject to an ownership limitation. Pursuant to the Equity Underwriting Agreement, the Equity Underwriters agreed to purchase the shares of Common Stock from Vaxcyte at a price of $60.64 per share and the pre-funded warrants at a price of $60.639 per pre-funded warrant. Vaxcyte also granted the Equity Underwriters a 30-day option to purchase up to an additional 1,171,875 shares of Common Stock from Vaxcyte, which was exercised in full by the Equity Underwriters on October 7, 2026. All of the shares and pre-funded warrants in the Equity Offering were sold by Vaxcyte. </w:t>
      </w:r>
    </w:p>
    <w:p>
      <w:pPr>
        <w:pStyle w:val="TextBody"/>
        <w:bidi w:val="0"/>
        <w:spacing w:before="240" w:after="0"/>
        <w:jc w:val="left"/>
        <w:rPr>
          <w:rFonts w:ascii="Times New Roman" w:hAnsi="Times New Roman"/>
          <w:sz w:val="20"/>
        </w:rPr>
      </w:pPr>
      <w:r>
        <w:rPr>
          <w:rFonts w:ascii="Times New Roman" w:hAnsi="Times New Roman"/>
          <w:sz w:val="20"/>
        </w:rPr>
        <w:t>On October 6, 2026, Vaxcyte entered into an underwriting agreement (the “</w:t>
      </w:r>
      <w:r>
        <w:rPr>
          <w:rFonts w:ascii="Times New Roman" w:hAnsi="Times New Roman"/>
          <w:b/>
          <w:i/>
          <w:sz w:val="20"/>
        </w:rPr>
        <w:t>Debt Underwriting Agreement</w:t>
      </w:r>
      <w:r>
        <w:rPr>
          <w:rFonts w:ascii="Times New Roman" w:hAnsi="Times New Roman"/>
          <w:sz w:val="20"/>
        </w:rPr>
        <w:t>” and together with the Equity Underwriting Agreement, the “</w:t>
      </w:r>
      <w:r>
        <w:rPr>
          <w:rFonts w:ascii="Times New Roman" w:hAnsi="Times New Roman"/>
          <w:b/>
          <w:i/>
          <w:sz w:val="20"/>
        </w:rPr>
        <w:t>Underwriting Agreements</w:t>
      </w:r>
      <w:r>
        <w:rPr>
          <w:rFonts w:ascii="Times New Roman" w:hAnsi="Times New Roman"/>
          <w:sz w:val="20"/>
        </w:rPr>
        <w:t>”) with Jefferies LLC and Leerink Partners LLC, as representatives of the several underwriters named therein (collectively, the “</w:t>
      </w:r>
      <w:r>
        <w:rPr>
          <w:rFonts w:ascii="Times New Roman" w:hAnsi="Times New Roman"/>
          <w:b/>
          <w:i/>
          <w:sz w:val="20"/>
        </w:rPr>
        <w:t>Debt Underwriters</w:t>
      </w:r>
      <w:r>
        <w:rPr>
          <w:rFonts w:ascii="Times New Roman" w:hAnsi="Times New Roman"/>
          <w:sz w:val="20"/>
        </w:rPr>
        <w:t xml:space="preserve">”), agreeing, subject to customary conditions, to issue and sell $500,000,000 aggregate principal amount of its 1.50% Convertible Senior Notes due 2032 to the Debt Underwriters. Vaxcyte also granted to the Debt Underwriters a 30-day over-allotment option to purchase up to an additional $75.0 million aggregate principal amount of Notes, on the same terms and conditions, which was exercised in full by the Debt Underwriters on October 7, 2026.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to Vaxcyte from the Equity Offering and the Debt Offering, respectively, including the exercise by the Equity Underwriters of their 30-day option to purchase additional shares and by the Debt Underwriters of their 30-day over-allotment option to purchase additional Notes, were approximately $544.3 million and $558.7 million, in each case after deducting underwriting discounts and commissions and other estimated offering expenses payable by Vaxcyte.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Agreements contain customary representations, warranties and covenants by Vaxcyte, customary conditions to closing, indemnification obligations of Vaxcyte, the Equity Underwriters and the Debt Underwriters, including for liabilities under the Securities Act of 1933, as amended, other obligations of the parties and termination provisions. The representations, warranties and covenants contained in the Underwriting Agreements were made only for purposes of such agreements and as of specific dates, and were solely for the benefit of the parties to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Concurrent Offerings closed on October 9, 2026. </w:t>
      </w:r>
    </w:p>
    <w:p>
      <w:pPr>
        <w:pStyle w:val="TextBody"/>
        <w:bidi w:val="0"/>
        <w:spacing w:before="240" w:after="0"/>
        <w:jc w:val="left"/>
        <w:rPr>
          <w:rFonts w:ascii="Times New Roman" w:hAnsi="Times New Roman"/>
          <w:sz w:val="20"/>
        </w:rPr>
      </w:pPr>
      <w:r>
        <w:rPr>
          <w:rFonts w:ascii="Times New Roman" w:hAnsi="Times New Roman"/>
          <w:sz w:val="20"/>
        </w:rPr>
        <w:t xml:space="preserve">The Equity Underwriting Agreement, Debt Underwriting Agreement and form of pre-funded warrant are filed herewith as Exhibits 1.1, 1.2 and 4.4, respectively. The foregoing descriptions of the terms of the Equity Underwriting Agreement, the Debt Underwriting Agreement and the pre-funded warrants are qualified in their entirety by reference to such exhibits hereto. Copies of the opinions of Skadden, Arps, Slate, Meagher &amp; Flom LLP relating to the legality of the issuance and sale of the securities in the Equity Offering and the Debt Offering are filed herewith as Exhibits 5.1 and 5.2, respectively. </w:t>
      </w:r>
    </w:p>
    <w:p>
      <w:pPr>
        <w:pStyle w:val="TextBody"/>
        <w:bidi w:val="0"/>
        <w:spacing w:before="240" w:after="0"/>
        <w:jc w:val="left"/>
        <w:rPr>
          <w:rFonts w:ascii="Times New Roman" w:hAnsi="Times New Roman"/>
          <w:sz w:val="20"/>
        </w:rPr>
      </w:pPr>
      <w:r>
        <w:rPr>
          <w:rFonts w:ascii="Times New Roman" w:hAnsi="Times New Roman"/>
          <w:sz w:val="20"/>
        </w:rPr>
        <w:t xml:space="preserve">Each of the Concurrent Offerings was made pursuant to Vaxcyte’s effective registration statement on Form S-3 (Registration Statement No. 333-279735), as previously filed with the Securities and Exchange Commission, and a related prospectus and prospectus supplement for each offering.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b/>
              </w:rPr>
            </w:pPr>
            <w:r>
              <w:rPr>
                <w:b/>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0490dex11.htm">
              <w:r>
                <w:rPr>
                  <w:rStyle w:val="InternetLink"/>
                </w:rPr>
                <w:t xml:space="preserve">Underwriting Agreement, dated October 6, 2026 (Equity Offering)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0490dex12.htm">
              <w:r>
                <w:rPr>
                  <w:rStyle w:val="InternetLink"/>
                </w:rPr>
                <w:t xml:space="preserve">Underwriting Agreement, dated October 6, 2026 (Debt Offering)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0490dex41.htm">
              <w:r>
                <w:rPr>
                  <w:rStyle w:val="InternetLink"/>
                </w:rPr>
                <w:t xml:space="preserve">Indenture by and between Vaxcyte, Inc. and U.S. Bank Trust Company, National Association, as trustee, dated October 9,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0490dex42.htm">
              <w:r>
                <w:rPr>
                  <w:rStyle w:val="InternetLink"/>
                </w:rPr>
                <w:t xml:space="preserve">First Supplemental Indenture by and between Vaxcyte, Inc. and U.S. Bank Trust Company, National Association, as trustee, dated October 9,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0490dex42.htm">
              <w:r>
                <w:rPr>
                  <w:rStyle w:val="InternetLink"/>
                </w:rPr>
                <w:t xml:space="preserve">Form of certificate representing the 1.50% Convertible Senior Notes due 2032 (included as Exhibit A to the First Supplemental Indenture filed as Exhibit 4.2)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0490dex11.htm">
              <w:r>
                <w:rPr>
                  <w:rStyle w:val="InternetLink"/>
                </w:rPr>
                <w:t xml:space="preserve">Form of Pre-Funded Warrant (included as Exhibit B to the Underwriting Agreement filed as Exhibit 1.1)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0490dex51.htm">
              <w:r>
                <w:rPr>
                  <w:rStyle w:val="InternetLink"/>
                </w:rPr>
                <w:t xml:space="preserve">Opinion of Skadden, Arps, Slate, Meagher &amp; Flom LLP (Equity Offering)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5.2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0490dex52.htm">
              <w:r>
                <w:rPr>
                  <w:rStyle w:val="InternetLink"/>
                </w:rPr>
                <w:t xml:space="preserve">Opinion of Skadden, Arps, Slate, Meagher &amp; Flom LLP (Debt Offering)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0490dex51.htm">
              <w:r>
                <w:rPr>
                  <w:rStyle w:val="InternetLink"/>
                </w:rPr>
                <w:t xml:space="preserve">Consent of Skadden, Arps, Slate, Meagher &amp; Flom LLP (contained in Exhibit 5.1) (Equity Offering)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23.2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0490dex52.htm">
              <w:r>
                <w:rPr>
                  <w:rStyle w:val="InternetLink"/>
                </w:rPr>
                <w:t xml:space="preserve">Consent of Skadden, Arps, Slate, Meagher &amp; Flom LLP (contained in Exhibit 5.2) (Debt Offering)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6585" w:type="dxa"/>
        <w:jc w:val="left"/>
        <w:tblInd w:w="0" w:type="dxa"/>
        <w:tblLayout w:type="fixed"/>
        <w:tblCellMar>
          <w:top w:w="0" w:type="dxa"/>
          <w:left w:w="0" w:type="dxa"/>
          <w:bottom w:w="0" w:type="dxa"/>
          <w:right w:w="0" w:type="dxa"/>
        </w:tblCellMar>
      </w:tblPr>
      <w:tblGrid>
        <w:gridCol w:w="2150"/>
        <w:gridCol w:w="60"/>
        <w:gridCol w:w="60"/>
        <w:gridCol w:w="60"/>
        <w:gridCol w:w="365"/>
        <w:gridCol w:w="60"/>
        <w:gridCol w:w="3830"/>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5" w:type="dxa"/>
            <w:gridSpan w:val="3"/>
            <w:tcBorders/>
            <w:vAlign w:val="center"/>
          </w:tcPr>
          <w:p>
            <w:pPr>
              <w:pStyle w:val="TableContents"/>
              <w:bidi w:val="0"/>
              <w:spacing w:before="0" w:after="283"/>
              <w:jc w:val="left"/>
              <w:rPr/>
            </w:pPr>
            <w:r>
              <w:rPr/>
              <w:t>VAXCYTE, INC.</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890"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pPr>
            <w:r>
              <w:rPr/>
              <w:t>Date: October 9,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Andrew Guggenhime</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b/>
              </w:rPr>
            </w:pPr>
            <w:r>
              <w:rPr>
                <w:b/>
              </w:rPr>
              <w:t>Andrew Guggenhime</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b/>
              </w:rPr>
            </w:pPr>
            <w:r>
              <w:rPr>
                <w:b/>
              </w:rPr>
              <w:t>President and Chief Financial Officer</w:t>
            </w:r>
          </w:p>
        </w:tc>
      </w:tr>
    </w:tbl>
    <w:p>
      <w:pPr>
        <w:pStyle w:val="TextBody"/>
        <w:bidi w:val="0"/>
        <w:spacing w:before="0" w:after="0"/>
        <w:jc w:val="right"/>
        <w:rPr>
          <w:rFonts w:ascii="Times New Roman" w:hAnsi="Times New Roman"/>
          <w:b/>
          <w:sz w:val="20"/>
        </w:rPr>
      </w:pPr>
      <w:bookmarkStart w:id="2" w:name="d150490dex11.htm"/>
      <w:bookmarkStart w:id="3" w:name="ksd150490dex11"/>
      <w:bookmarkEnd w:id="2"/>
      <w:bookmarkEnd w:id="3"/>
      <w:r>
        <w:rPr>
          <w:rFonts w:ascii="Times New Roman" w:hAnsi="Times New Roman"/>
          <w:b/>
          <w:sz w:val="20"/>
        </w:rPr>
        <w:t xml:space="preserve">Exhibit 1.1 </w:t>
      </w:r>
      <w:r>
        <w:br w:type="page"/>
      </w:r>
    </w:p>
    <w:p>
      <w:pPr>
        <w:pStyle w:val="TextBody"/>
        <w:bidi w:val="0"/>
        <w:spacing w:before="12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VAXCYTE, INC. </w:t>
      </w:r>
    </w:p>
    <w:p>
      <w:pPr>
        <w:pStyle w:val="TextBody"/>
        <w:bidi w:val="0"/>
        <w:spacing w:before="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120" w:after="0"/>
        <w:jc w:val="center"/>
        <w:rPr>
          <w:rFonts w:ascii="Times New Roman" w:hAnsi="Times New Roman"/>
          <w:sz w:val="20"/>
        </w:rPr>
      </w:pPr>
      <w:r>
        <w:rPr>
          <w:rFonts w:ascii="Times New Roman" w:hAnsi="Times New Roman"/>
          <w:sz w:val="20"/>
        </w:rPr>
        <w:t xml:space="preserve">7,412,500 Shares of Common Stock </w:t>
      </w:r>
    </w:p>
    <w:p>
      <w:pPr>
        <w:pStyle w:val="TextBody"/>
        <w:bidi w:val="0"/>
        <w:spacing w:before="0" w:after="0"/>
        <w:jc w:val="center"/>
        <w:rPr>
          <w:rFonts w:ascii="Times New Roman" w:hAnsi="Times New Roman"/>
          <w:sz w:val="20"/>
        </w:rPr>
      </w:pPr>
      <w:r>
        <w:rPr>
          <w:rFonts w:ascii="Times New Roman" w:hAnsi="Times New Roman"/>
          <w:sz w:val="20"/>
        </w:rPr>
        <w:t xml:space="preserve">and Pre-Funded Warrants to Purchase 400,000 Shares of Common Stock </w:t>
      </w:r>
    </w:p>
    <w:p>
      <w:pPr>
        <w:pStyle w:val="TextBody"/>
        <w:bidi w:val="0"/>
        <w:spacing w:before="120" w:after="0"/>
        <w:jc w:val="center"/>
        <w:rPr>
          <w:rFonts w:ascii="Times New Roman" w:hAnsi="Times New Roman"/>
          <w:sz w:val="20"/>
        </w:rPr>
      </w:pPr>
      <w:r>
        <w:rPr>
          <w:rFonts w:ascii="Times New Roman" w:hAnsi="Times New Roman"/>
          <w:sz w:val="20"/>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October 6, 2026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240" w:after="0"/>
        <w:jc w:val="left"/>
        <w:rPr>
          <w:rFonts w:ascii="Times New Roman" w:hAnsi="Times New Roman"/>
          <w:sz w:val="20"/>
        </w:rPr>
      </w:pPr>
      <w:r>
        <w:rPr>
          <w:rFonts w:ascii="Times New Roman" w:hAnsi="Times New Roman"/>
          <w:sz w:val="20"/>
        </w:rPr>
        <w:t xml:space="preserve">c/o 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Vaxcyte, Inc., a Delaware corporation (the “Company”), confirms its agreement with Jefferies LLC (“Jefferies”), Leerink Partners LLC (“Leerink Partners”) and each of the other Underwriters named in Schedule A hereto (collectively, the “Underwriters,” which term shall also include any underwriter substituted as hereinafter provided in Section 10 hereof), for whom Jefferies and Leerink Partners are acting as representatives (in such capacity, the “Representatives”), with respect to (i) the sale by the Company and the purchase by the Underwriters, acting severally and not jointly, of the respective numbers of shares (the “Initial Shares”) of common stock, par value $0.001 per share, of the Company (“Common Stock”) and pre-funded warrants to purchase the respective number of shares of Common Stock at an exercise price equal to $0.001 per share in the form of Exhibit B hereto (the “Pre-Funded Warrants”), in each case as set forth in Schedule A hereto and (ii) the grant by the Company to the Underwriters, acting severally and not jointly, of the option described in Section 2(b) hereof to purchase all or any part of 1,171,875 additional shares of Common Stock. The Initial Shares and all or any part of the 1,171,875 shares of Common Stock subject to the option described in Section 2(b) hereof (the “Option Shares”) are herein called, collectively, the “Shares.” The shares of Common Stock issuable upon exercise of the Pre-Funded Warrants are hereinafter referred to as the “Warrant Shares.” The Shares and the Pre-Funded Warrants are herein referred to as the “Securities.” In the event that the Company has only one subsidiary, then all references herein to “subsidiaries” of the Company shall be deemed to refer to such single subsidiary,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Substantially concurrently with the offering of the Securities, the Company will, among other things, issue and sell up to $500,000,000 aggregate principal amount of its 1.50% Convertible Senior Notes due 2032 (the “Convertible Notes”) (or $575,000,000 if the several underwriters named in Schedule A of the Notes Underwriting Agreement (as defined below) exercise their over-allotment option to purchase additional Convertible Notes in full) pursuant to a separate underwriting agreement (the “Notes Underwriting Agreement”) and separate prospectus supplement (such offering, the “Concurrent Notes Offering”).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offering of the Securities is not contingent upon the completion of the Concurrent Notes Offering, the Concurrent Notes Offering is not contingent upon the completion of the offering of the Securities, and the Securities are not being offered together with the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understands that the Underwriters propose to make a public offering of the Securities as soon as the Representatives deem advisable after this Agreement has been executed and delivered.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prepared and filed with the Securities and Exchange Commission (the “Commission”) an automatic shelf registration statement on Form S-3 (File No. 333-279735), covering the public offering and sale of certain securities, including the Securities and the Warrant Shares, under the Securities Act of 1933, as amended (the “1933 Act”), and the rules and regulations promulgated thereunder (the “1933 Act Regulations”), which automatic shelf registration statement became effective under Rule 462(e) under the 1933 Act Regulations (“Rule 462(e)”). Such registration statement, as of any time, means such registration statement as amended by any post-effective amendments thereto to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under the 1933 Act Regulations (“Rule 430B”), is referred to herein as the “Registration Statement;” provided, however, that the “Registration Statement”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Rule 430B. Each preliminary prospectus used in connection with the offering of the Securities, including the documents incorporated or deemed to be incorporated by reference therein pursuant to Item 12 of Form S-3 under the 1933 Act, are collectively referred to herein as a “preliminary prospectus.” Promptly after execution and delivery of this Agreement, the Company will prepare and file a final prospectus relating to the Securities in accordance with the provisions of Rule 424(b) under the 1933 Act Regulations (“Rule 424(b)”).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 collectively referred to herein as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w:t>
      </w:r>
    </w:p>
    <w:p>
      <w:pPr>
        <w:pStyle w:val="TextBody"/>
        <w:bidi w:val="0"/>
        <w:spacing w:before="120" w:after="0"/>
        <w:jc w:val="left"/>
        <w:rPr/>
      </w:pPr>
      <w:r>
        <w:rPr/>
        <w:t>“</w:t>
      </w:r>
      <w:r>
        <w:rPr>
          <w:rFonts w:ascii="Times New Roman" w:hAnsi="Times New Roman"/>
          <w:sz w:val="20"/>
        </w:rPr>
        <w:t xml:space="preserve">Applicable Time” means 9:00 P.M., New York City time, on October 6, 2026 or such other time as agreed by the Company and the Representatives. </w:t>
      </w:r>
    </w:p>
    <w:p>
      <w:pPr>
        <w:pStyle w:val="TextBody"/>
        <w:bidi w:val="0"/>
        <w:spacing w:before="120" w:after="0"/>
        <w:jc w:val="left"/>
        <w:rPr/>
      </w:pPr>
      <w:r>
        <w:rPr/>
        <w:t>“</w:t>
      </w:r>
      <w:r>
        <w:rPr>
          <w:rFonts w:ascii="Times New Roman" w:hAnsi="Times New Roman"/>
          <w:sz w:val="20"/>
        </w:rPr>
        <w:t xml:space="preserve">General Disclosure Package”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Schedule B-1 hereto, all considered together. </w:t>
      </w:r>
    </w:p>
    <w:p>
      <w:pPr>
        <w:pStyle w:val="TextBody"/>
        <w:bidi w:val="0"/>
        <w:spacing w:before="120" w:after="0"/>
        <w:jc w:val="left"/>
        <w:rPr/>
      </w:pPr>
      <w:r>
        <w:rPr/>
        <w:t>“</w:t>
      </w:r>
      <w:r>
        <w:rPr>
          <w:rFonts w:ascii="Times New Roman" w:hAnsi="Times New Roman"/>
          <w:sz w:val="20"/>
        </w:rPr>
        <w:t xml:space="preserve">Issuer Free Writing Prospectus” means any “issuer free writing prospectus,” as defined in Rule 433 of the 1933 Act Regulations (“Rule 433”), including without limitation any “free writing prospectus” (as defined in Rule 405 of the 1933 Act Regulations (“Rule 405”)) relating to the Securities that is (i) required to be filed with the Commission by the Company, (ii) a “road show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 </w:t>
      </w:r>
    </w:p>
    <w:p>
      <w:pPr>
        <w:pStyle w:val="TextBody"/>
        <w:bidi w:val="0"/>
        <w:spacing w:before="120" w:after="0"/>
        <w:jc w:val="left"/>
        <w:rPr/>
      </w:pPr>
      <w:r>
        <w:rPr/>
        <w:t>“</w:t>
      </w:r>
      <w:r>
        <w:rPr>
          <w:rFonts w:ascii="Times New Roman" w:hAnsi="Times New Roman"/>
          <w:sz w:val="20"/>
        </w:rPr>
        <w:t>Issuer General Use Free Writing Prospectus” means any Issuer Free Writing Prospectus that is intended for general distribution to prospective investors (other than a “</w:t>
      </w:r>
      <w:r>
        <w:rPr>
          <w:rFonts w:ascii="Times New Roman" w:hAnsi="Times New Roman"/>
          <w:i/>
          <w:sz w:val="20"/>
        </w:rPr>
        <w:t>bona fide</w:t>
      </w:r>
      <w:r>
        <w:rPr>
          <w:rFonts w:ascii="Times New Roman" w:hAnsi="Times New Roman"/>
          <w:sz w:val="20"/>
        </w:rPr>
        <w:t xml:space="preserve"> electronic road show,” as defined in Rule 433 (the “Bona Fide Electronic Road Show”)), as evidenced by its being specified in Schedule B-2 hereto. </w:t>
      </w:r>
    </w:p>
    <w:p>
      <w:pPr>
        <w:pStyle w:val="TextBody"/>
        <w:bidi w:val="0"/>
        <w:spacing w:before="120" w:after="0"/>
        <w:jc w:val="left"/>
        <w:rPr/>
      </w:pPr>
      <w:r>
        <w:rPr/>
        <w:t>“</w:t>
      </w:r>
      <w:r>
        <w:rPr>
          <w:rFonts w:ascii="Times New Roman" w:hAnsi="Times New Roman"/>
          <w:sz w:val="20"/>
        </w:rPr>
        <w:t xml:space="preserve">Issuer Limited Use Free Writing Prospectus” means any Issuer Free Writing Prospectus that is not an Issuer General Use Free Writing Prospectus. </w:t>
      </w:r>
    </w:p>
    <w:p>
      <w:pPr>
        <w:pStyle w:val="TextBody"/>
        <w:bidi w:val="0"/>
        <w:spacing w:before="120" w:after="0"/>
        <w:jc w:val="left"/>
        <w:rPr/>
      </w:pPr>
      <w:r>
        <w:rPr/>
        <w:t>“</w:t>
      </w:r>
      <w:r>
        <w:rPr>
          <w:rFonts w:ascii="Times New Roman" w:hAnsi="Times New Roman"/>
          <w:sz w:val="20"/>
        </w:rPr>
        <w:t xml:space="preserve">Testing-the-Waters Communication” means any oral or written communication with potential investors undertaken in reliance on Rule 163B of the 1933 Act. </w:t>
      </w:r>
    </w:p>
    <w:p>
      <w:pPr>
        <w:pStyle w:val="TextBody"/>
        <w:bidi w:val="0"/>
        <w:spacing w:before="120" w:after="0"/>
        <w:jc w:val="left"/>
        <w:rPr/>
      </w:pPr>
      <w:r>
        <w:rPr/>
        <w:t>“</w:t>
      </w:r>
      <w:r>
        <w:rPr>
          <w:rFonts w:ascii="Times New Roman" w:hAnsi="Times New Roman"/>
          <w:sz w:val="20"/>
        </w:rPr>
        <w:t xml:space="preserve">Written Testing-the-Waters Communication” means any Testing-the-Waters Communication that is a written communication within the meaning of Rule 405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Securities Exchange Act of 1934, as amended, and the rules and regulations promulgated thereunder (collectively, the “1934 Act”), incorporated or deemed to be incorporated by reference in the Registration Statement, such preliminary prospectus or the Prospectus, as the case may be, at or after the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 by the Company</w:t>
      </w:r>
      <w:r>
        <w:rPr>
          <w:rFonts w:ascii="Times New Roman" w:hAnsi="Times New Roman"/>
          <w:sz w:val="20"/>
        </w:rPr>
        <w:t xml:space="preserve">. The Company represents and warrants to each Underwriter as of the date hereof, the Applicable Time, the Closing Time (as defined below) and any Date of Delivery (as defined below), and agrees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Registration Statement and Prospectuses</w:t>
      </w:r>
      <w:r>
        <w:rPr>
          <w:rFonts w:ascii="Times New Roman" w:hAnsi="Times New Roman"/>
          <w:sz w:val="20"/>
        </w:rPr>
        <w:t xml:space="preserve">. The Company meets the requirements for use of Form S-3 under the 1933 Act. The Registration Statement is an “automatic shelf registration statement” (as defined in Rule 405) and the Securities have been and remain eligible for registration by the Company on such automatic shelf registration statement. Each of the Registration Statement and any post-effective amendment 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by the Commission and no proceedings for any of those purposes have been instituted or, to the Company’s knowledge, are pending or threatened by the Commission. The Company has complied with each request (if any) from the Commission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of the Registration Statement and any post-effective amendment thereto, at the time of its effectiveness, each deemed effective date with respect to the Underwriters pursuant to Rule 430B(f)(2) under the 1933 Act Regulations, the Applicable Time, the Closing Time and any Date of Delivery complied and will comply in all material respects with the requirements of the 1933 Act and the 1933 Act Regulations. Each preliminary prospectus, the Prospectus and any amendment or supplement thereto, at the time each was filed with the Commission, and, in each case, at the Applicable Time, the Closing Time and any Date of Delivery complied and will comply in all material respects with the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 </w:t>
      </w:r>
    </w:p>
    <w:p>
      <w:pPr>
        <w:pStyle w:val="TextBody"/>
        <w:bidi w:val="0"/>
        <w:spacing w:before="120" w:after="0"/>
        <w:jc w:val="left"/>
        <w:rPr>
          <w:rFonts w:ascii="Times New Roman" w:hAnsi="Times New Roman"/>
          <w:sz w:val="20"/>
        </w:rPr>
      </w:pPr>
      <w:r>
        <w:rPr>
          <w:rFonts w:ascii="Times New Roman" w:hAnsi="Times New Roman"/>
          <w:sz w:val="20"/>
        </w:rPr>
        <w:t xml:space="preserve">The documents incorporated or deemed to be incorporated by reference in the Registration Statement and the Prospectus, when they became effective or at the time they were or hereafter are filed with the Commission, complied and will comply in all material respects with the requirements of the 1934 Act and the rules and regulations of the Commission under the 1934 Act (the “1934 Act Regulations”).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Accurate Disclosure</w:t>
      </w:r>
      <w:r>
        <w:rPr>
          <w:rFonts w:ascii="Times New Roman" w:hAnsi="Times New Roman"/>
          <w:sz w:val="20"/>
        </w:rPr>
        <w:t xml:space="preserve">. Neither the Registration Statement nor any amendment thereto, at its effective time, on the date hereof, at the Closing Time or at any Date of Delivery, contained, contains or will contain an untrue statement of a material fact or omitted, omits or will omit to state a material fact required to be stated therein or necessary to make the statements therein not misleading. At the Applicable Time and any Date of Delivery, none of (A) the General Disclosure Package, (B) any individual Issuer Limited Use Free Writing Prospectus, when considered together with the General Disclosure Package or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time of filing with the Commission pursuant to Rule 424(b), at the Closing Time or at any Date of Delivery included, includes, or will include an untrue statement of a material fact or omitted, omits or will omit to state a material fact necessary in order to make the statements therein, in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the Representatives expressly for use therein. For purposes of this Agreement, the only information so furnished shall be the information in the first paragraph under the heading “Underwriting–Commissions and Discounts,” the information in the second, third and fourth paragraphs under the heading “Underwriting–Price Stabilization and Short Positions” and the information under the heading “Underwriting–Electronic Distribution” in each case contained in the most recent preliminary prospectus that is distributed to investors prior to the Applicable Time and in the Prospectus (collectively, the “Underwriter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Issuer Free Writing Prospectuses</w:t>
      </w:r>
      <w:r>
        <w:rPr>
          <w:rFonts w:ascii="Times New Roman" w:hAnsi="Times New Roman"/>
          <w:sz w:val="20"/>
        </w:rPr>
        <w:t xml:space="preserve">.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the Underwriter Information. The Company has made available a Bona Fide Electronic Road Show in compliance with Rule 433(d)(8)(ii) such that no filing of any “road show” (as defined in Rule 433(h)) is required in connection with the offering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Well-Known Seasoned Issuer</w:t>
      </w:r>
      <w:r>
        <w:rPr>
          <w:rFonts w:ascii="Times New Roman" w:hAnsi="Times New Roman"/>
          <w:sz w:val="20"/>
        </w:rPr>
        <w:t xml:space="preserve">. (A) At the original effectiveness of the Registration Statement, (B) at the time of the most recent amendment thereto for the purposes of complying with Section 10(a)(3) of the 1933 Act (whether such amendment was by post-effective amendment, incorporated report filed pursuant to Section 13 or 15(d) of the 1934 Act or form of prospectus), (C) at the time the Company or any person acting on its behalf (within the meaning, for this clause only, of Rule 163(c) under the 1933 Act) made any offer relating to the Securities in reliance on the exemption of Rule 163 under the 1933 Act, and (D) as of the Applicable Time, the Company was and is a “well-known seasoned issuer” (as defined in Rule 405).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Testing-the-Waters Materials</w:t>
      </w:r>
      <w:r>
        <w:rPr>
          <w:rFonts w:ascii="Times New Roman" w:hAnsi="Times New Roman"/>
          <w:sz w:val="20"/>
        </w:rPr>
        <w:t xml:space="preserve">. The Company (A) has not engaged in any Testing-the-Waters Communication other than Testing-the-Waters Communications with the consent of the Representatives with entities that the Company has a reasonable basis to believe are qualified institutional buyers within the meaning of Rule 144A under the 1933 Act or institutions that are accredited investors within the meaning of Rule 501 under the 1933 Act and (B) has not authorized anyone other than the Representatives to engage in Testing-the-Waters Communications, in each case, in connection with the offering of the Securities. The Company reconfirms that the Representatives have been authorized to act on its behalf in undertaking Testing-the-Waters Communications specifically authorized by the Company. The Company has not distributed any Written Testing-the-Waters Communications other than those listed on Schedule C hereto.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Company Not Ineligible Issuer</w:t>
      </w:r>
      <w:r>
        <w:rPr>
          <w:rFonts w:ascii="Times New Roman" w:hAnsi="Times New Roman"/>
          <w:sz w:val="20"/>
        </w:rPr>
        <w:t xml:space="preserve">. At the time of filing the Registration Statement and any post-effective amendment thereto, at the earliest time thereafter that the Company or another offering participant made a </w:t>
      </w:r>
      <w:r>
        <w:rPr>
          <w:rFonts w:ascii="Times New Roman" w:hAnsi="Times New Roman"/>
          <w:i/>
          <w:sz w:val="20"/>
        </w:rPr>
        <w:t>bona fide</w:t>
      </w:r>
      <w:r>
        <w:rPr>
          <w:rFonts w:ascii="Times New Roman" w:hAnsi="Times New Roman"/>
          <w:sz w:val="20"/>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Independent Accountants</w:t>
      </w:r>
      <w:r>
        <w:rPr>
          <w:rFonts w:ascii="Times New Roman" w:hAnsi="Times New Roman"/>
          <w:sz w:val="20"/>
        </w:rPr>
        <w:t xml:space="preserve">. The accountants who certified the financial statements included in the Registration Statement, the General Disclosure Package and the Prospectus are independent public accountants as required by the 1933 Act, the 1933 Act Regulations, the 1934 Act, the 1934 Act Regulations and the Public Company Accounting Oversight Board.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Financial Statements</w:t>
      </w:r>
      <w:r>
        <w:rPr>
          <w:rFonts w:ascii="Times New Roman" w:hAnsi="Times New Roman"/>
          <w:sz w:val="20"/>
        </w:rPr>
        <w:t xml:space="preserve">. The financial statements included or incorporated by reference in the Registration Statement, the General Disclosure Package and the Prospectus, together with the related notes, present fairly, in all material respects, the financial position of the Company and its consolidated subsidiaries at the dates indicated and the statement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stockholders’ equity and cash flows of the Company and its consolidated subsidiaries for the periods specified; said financial statements have been prepared in conformity with U.S. generally accepted accounting principles (“GAAP”) applied on a consistent basis throughout the periods involved except, in the case of unaudited interim financial statements, subject to normal year-end audit adjustments and the exclusion of certain footnotes as permitted by the applicable rules of the Commission. The selected financial data and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or incorporated by reference in the Registration Statement, the General Disclosure Package or the Prospectus under the 1933 Act or the 1933 Act Regulations. The interactive data in eXtensible Business Reporting Language incorporated by reference in the Registration Statement, the General Disclosure Package and the Prospectus fairly presents the information called for in all material respects and has been prepared in accordance with the Commission’s rules and guidelines applicable thereto.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No Material Adverse Change in Business</w:t>
      </w:r>
      <w:r>
        <w:rPr>
          <w:rFonts w:ascii="Times New Roman" w:hAnsi="Times New Roman"/>
          <w:sz w:val="20"/>
        </w:rPr>
        <w:t xml:space="preserve">. Except as otherwise stated therein, since the respective dates as of which information is given in the Registration Statement, the General Disclosure Package or the Prospectus, (A) there has been no material adverse change in the condition, financial or otherwise, or in the earnings, business affairs or business prospects of the Company and its subsidiaries considered as one enterprise, whether or not arising in the ordinary course of business (a “Material Adverse Effect”),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sz w:val="20"/>
          <w:u w:val="single"/>
        </w:rPr>
        <w:t>Good Standing of the Company</w:t>
      </w:r>
      <w:r>
        <w:rPr>
          <w:rFonts w:ascii="Times New Roman" w:hAnsi="Times New Roman"/>
          <w:sz w:val="20"/>
        </w:rPr>
        <w:t xml:space="preserve">. The Company has been duly incorporated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(to the extent the concept of “good standing” is applicable in each such jurisdiction) in which such qualification is required, whether by reason of the ownership or leasing of property or the conduct of business, except where the failure so to qualify or to be in good standing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sz w:val="20"/>
          <w:u w:val="single"/>
        </w:rPr>
        <w:t>Good Standing of Subsidiaries</w:t>
      </w:r>
      <w:r>
        <w:rPr>
          <w:rFonts w:ascii="Times New Roman" w:hAnsi="Times New Roman"/>
          <w:sz w:val="20"/>
        </w:rPr>
        <w:t xml:space="preserve">. Each “significant subsidiary” of the Company (as such term is defined in Rule 1-02 of Regulation S-X) (each, a “Subsidiary” and, collectively, the “Subsidiaries”)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the General Disclosure Package and the Prospectus and is duly qualified to transact business and is in good standing in each jurisdiction in which such qualification is required, whether by reason of the ownership or leasing of property or the conduct of business, except where the failure to so qualify or to be in good standing would not result in a Material Adverse Effect. Except as otherwise disclosed in the Registration Statement, the General Disclosure Package and the Prospectus, all of the issued and outstanding capital stock of each Subsidiary has been duly authorized and validly issued, is fully paid and non-assessable and is owned by the Company, directly or through subsidiaries, free and clear of any security interest, mortgage, pledge, lien, encumbrance, claim or equity. None of the outstanding shares of capital stock of any Subsidiary were issued in violation of the preemptive or similar rights of any securityholder of such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w:t>
      </w:r>
      <w:r>
        <w:rPr>
          <w:rFonts w:ascii="Times New Roman" w:hAnsi="Times New Roman"/>
          <w:sz w:val="20"/>
          <w:u w:val="single"/>
        </w:rPr>
        <w:t>Capitalization</w:t>
      </w:r>
      <w:r>
        <w:rPr>
          <w:rFonts w:ascii="Times New Roman" w:hAnsi="Times New Roman"/>
          <w:sz w:val="20"/>
        </w:rPr>
        <w:t xml:space="preserve">. As of the Closing Time, the authorized capital stock is as set forth in the Registration Statement, the General Disclosure Package and the Prospectus under the caption “Description of Capital Stock”, and the issued and outstanding shares of capital stock of the Company are as set forth in the Registration Statement, the General Disclosure Package and the Prospectus in the column entitled “Actual” under the caption “Capitalization” (except for subsequent issuances, if any, pursuant to this Agreement, pursuant to reservations, agreements or employee benefit or equity incentive plans referred to in the Registration Statement, the General Disclosure Package and the Prospectus or pursuant to the exercise of convertible securities or options referred to in the Registration Statement, the General Disclosure Package and the Prospectus).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except as have been validly waived. </w:t>
      </w:r>
    </w:p>
    <w:p>
      <w:pPr>
        <w:pStyle w:val="TextBody"/>
        <w:bidi w:val="0"/>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sz w:val="20"/>
          <w:u w:val="single"/>
        </w:rPr>
        <w:t>Stock Plans</w:t>
      </w:r>
      <w:r>
        <w:rPr>
          <w:rFonts w:ascii="Times New Roman" w:hAnsi="Times New Roman"/>
          <w:sz w:val="20"/>
        </w:rPr>
        <w:t xml:space="preserve">. With respect to the stock options granted pursuant to the stock-based compensation plans of the Company and any of its subsidiaries (the “Company Stock Plans”), each grant of a stock option was made in accordance with the terms of the Company Stock Plans and all applicable laws and regulatory rules or requirements, including all applicable federal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sz w:val="20"/>
          <w:u w:val="single"/>
        </w:rPr>
        <w:t>Authorization of Agreement</w:t>
      </w:r>
      <w:r>
        <w:rPr>
          <w:rFonts w:ascii="Times New Roman" w:hAnsi="Times New Roman"/>
          <w:sz w:val="20"/>
        </w:rPr>
        <w:t xml:space="preserve">.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(xvi) </w:t>
      </w:r>
      <w:r>
        <w:rPr>
          <w:rFonts w:ascii="Times New Roman" w:hAnsi="Times New Roman"/>
          <w:sz w:val="20"/>
          <w:u w:val="single"/>
        </w:rPr>
        <w:t>Authorization and Description of Securities</w:t>
      </w:r>
      <w:r>
        <w:rPr>
          <w:rFonts w:ascii="Times New Roman" w:hAnsi="Times New Roman"/>
          <w:sz w:val="20"/>
        </w:rPr>
        <w:t xml:space="preserve">.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Company, except as have been duly and validly waived in writing as of the date of this Agreement. The Pre-Funded Warrants have been duly authorized by the Company and, when executed and delivered by the Company in accordance with this Agreement, will constitute valid and legally binding agreements of the Company, enforceable against the Company in accordance with their terms, except as enforceability may be limited by applicable bankruptcy, insolvency or similar laws affecting creditors’ rights generally or by equitable principles relating to enforceability. The Pre-Funded Warrants conform in all material respects to the descriptions thereof in the Registration Statement, the General Disclosure Package or the Prospectus. The Warrant Shares have been duly authorized and validly reserved for issuance upon exercise of the Pre-Funded Warrants in a number sufficient to meet the current exercise requirements. The Warrant Shares, when issued and delivered upon exercise of the Pre-Funded Warrants in accordance therewith, will be validly issued, fully paid and non-assessable, and the issuance of the Warrant Shares will not be subject to any preemptive or other similar rights to subscribe for or purchase the Warrant Shares, and the Warrant Shares will conform in all material respects to the descriptions thereof in the Registration Statement, the General Disclosure Package or the Prospectus. The Common Stock conforms, in all material respects, to all statements relating thereto contained in the Registration Statement, the General Disclosure Package and the Prospectus and such descriptions conform, in all material respects, to the rights set forth in the instruments defining the same. No holder of Securities will be subject to personal liability solely by reason of being such a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(xvii) </w:t>
      </w:r>
      <w:r>
        <w:rPr>
          <w:rFonts w:ascii="Times New Roman" w:hAnsi="Times New Roman"/>
          <w:sz w:val="20"/>
          <w:u w:val="single"/>
        </w:rPr>
        <w:t>Registration Rights</w:t>
      </w:r>
      <w:r>
        <w:rPr>
          <w:rFonts w:ascii="Times New Roman" w:hAnsi="Times New Roman"/>
          <w:sz w:val="20"/>
        </w:rPr>
        <w:t xml:space="preserve">.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 and have been waived. </w:t>
      </w:r>
    </w:p>
    <w:p>
      <w:pPr>
        <w:pStyle w:val="TextBody"/>
        <w:bidi w:val="0"/>
        <w:spacing w:before="120" w:after="0"/>
        <w:jc w:val="left"/>
        <w:rPr>
          <w:rFonts w:ascii="Times New Roman" w:hAnsi="Times New Roman"/>
          <w:sz w:val="20"/>
        </w:rPr>
      </w:pPr>
      <w:r>
        <w:rPr>
          <w:rFonts w:ascii="Times New Roman" w:hAnsi="Times New Roman"/>
          <w:sz w:val="20"/>
        </w:rPr>
        <w:t xml:space="preserve">(xviii) </w:t>
      </w:r>
      <w:r>
        <w:rPr>
          <w:rFonts w:ascii="Times New Roman" w:hAnsi="Times New Roman"/>
          <w:sz w:val="20"/>
          <w:u w:val="single"/>
        </w:rPr>
        <w:t>Absence of Violations, Defaults and Conflicts</w:t>
      </w:r>
      <w:r>
        <w:rPr>
          <w:rFonts w:ascii="Times New Roman" w:hAnsi="Times New Roman"/>
          <w:sz w:val="20"/>
        </w:rPr>
        <w:t xml:space="preserve">. Neither the Company nor any of its subsidiaries is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“Agreements and Instruments”), except for such defaults that would not, singly or in the aggregate, reasonably be expected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“Governmental Entity”), except for such violations that would not, singly or in the aggregate, reasonably be expected to result in a Material Adverse Effect. The execution, delivery and performance of this Agreement and the consummation of the transactions contemplated herein and in the Registration Statement, the General Disclosure Package and the Prospectus (including the issuance and sale of the Securities and the Warrant Shares and the use of the proceeds from the sale of the Securities as described therein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singly or in the aggregate, reasonably be expected to result in a Material Adverse Effect), nor will such action result in any violation of (x) the provisions of the charter, bylaws or similar organizational document of the Company or any of its subsidiaries or (y) any law, statute, rule, regulation, judgment, order, writ or decree of any Governmental Entity (except, in the case of clause (y), for such violations that would not, singly or in the aggregate, reasonably be expected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(xix) </w:t>
      </w:r>
      <w:r>
        <w:rPr>
          <w:rFonts w:ascii="Times New Roman" w:hAnsi="Times New Roman"/>
          <w:sz w:val="20"/>
          <w:u w:val="single"/>
        </w:rPr>
        <w:t>Absence of Labor Dispute</w:t>
      </w:r>
      <w:r>
        <w:rPr>
          <w:rFonts w:ascii="Times New Roman" w:hAnsi="Times New Roman"/>
          <w:sz w:val="20"/>
        </w:rPr>
        <w:t xml:space="preserve">. No labor dispute with the employees of the Company or any of its subsidiaries exists or, to the knowledge of the Company, is imminent, and the Company is not aware of any existing or imminent labor disturbance by the employees of any of its or any subsidiary’s principal suppliers, manufacturers, customers or contractors, which, in either case, would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 </w:t>
      </w:r>
      <w:r>
        <w:rPr>
          <w:rFonts w:ascii="Times New Roman" w:hAnsi="Times New Roman"/>
          <w:sz w:val="20"/>
          <w:u w:val="single"/>
        </w:rPr>
        <w:t>Compliance with ERISA</w:t>
      </w:r>
      <w:r>
        <w:rPr>
          <w:rFonts w:ascii="Times New Roman" w:hAnsi="Times New Roman"/>
          <w:sz w:val="20"/>
        </w:rPr>
        <w:t xml:space="preserve">. (A) Each employee benefit plan, within the meaning of Section 3(3) of the Employee Retirement 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“Code”)) would have any liability (each, a “Plan”) has been maintained in compliance with its terms and the requirements of any applicable statutes, orders, rules and regulations, including but not limited to ERISA and the Code; (B) no prohibited transaction, within the meaning of Section 406 of ERISA or Section 4975 of the Code, has occurred with respect to any Plan, excluding transactions effected pursuant to a statutory or administrative exemption; (C)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(D)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(E) the fair market value of the assets of each Plan exceeds the present value of all benefits accrued under such Plan (determined based on those assumptions used to fund such Plan); (F) no “reportable event” (within the meaning of Section 4043(c) of ERISA and the regulations promulgated thereunder) has occurred or is reasonably expected to occur; (G) each Plan that is intended to be qualified under Section 401(a) of the Code is so qualified, and nothing has occurred, whether by action or by failure to act, which would cause the loss of such qualification; (H)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 none of the following events has occurred or is reasonably likely to occur: (x)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(y) a material increase in the Company’s “accumulated post-retirement benefit obligations” (within the meaning of Accounting Standards Codification Topic 715-60) compared to the amount of such obligations in the Company’s most recently completed fiscal year, except in each case with respect to the events or conditions set forth in (A) through (I) hereof, as would not, individually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(xxi) </w:t>
      </w:r>
      <w:r>
        <w:rPr>
          <w:rFonts w:ascii="Times New Roman" w:hAnsi="Times New Roman"/>
          <w:sz w:val="20"/>
          <w:u w:val="single"/>
        </w:rPr>
        <w:t>Absence of Proceedings</w:t>
      </w:r>
      <w:r>
        <w:rPr>
          <w:rFonts w:ascii="Times New Roman" w:hAnsi="Times New Roman"/>
          <w:sz w:val="20"/>
        </w:rPr>
        <w:t xml:space="preserve">. Except as disclosed in the Registration Statement, the General Disclosure Package and the Prospectus, there is no action, suit, proceeding, inquiry or investigation before or brought by any Governmental Entity now pending or, to the knowledge of the Company, threatened, against or affecting the Company or any of its subsidiaries, which would reasonably be expected to result in a Material Adverse Effect, or which would reasonably be expected to materially and adversely affect their respective properties or assets or the consummation of the transactions contemplated in this Agreement or the performance by the Company of its obligations hereunder. </w:t>
      </w:r>
    </w:p>
    <w:p>
      <w:pPr>
        <w:pStyle w:val="TextBody"/>
        <w:bidi w:val="0"/>
        <w:spacing w:before="120" w:after="0"/>
        <w:jc w:val="left"/>
        <w:rPr>
          <w:rFonts w:ascii="Times New Roman" w:hAnsi="Times New Roman"/>
          <w:sz w:val="20"/>
        </w:rPr>
      </w:pPr>
      <w:r>
        <w:rPr>
          <w:rFonts w:ascii="Times New Roman" w:hAnsi="Times New Roman"/>
          <w:sz w:val="20"/>
        </w:rPr>
        <w:t xml:space="preserve">(xxii) </w:t>
      </w:r>
      <w:r>
        <w:rPr>
          <w:rFonts w:ascii="Times New Roman" w:hAnsi="Times New Roman"/>
          <w:sz w:val="20"/>
          <w:u w:val="single"/>
        </w:rPr>
        <w:t>Accuracy of Exhibits</w:t>
      </w:r>
      <w:r>
        <w:rPr>
          <w:rFonts w:ascii="Times New Roman" w:hAnsi="Times New Roman"/>
          <w:sz w:val="20"/>
        </w:rPr>
        <w:t xml:space="preserve">. There are no contracts or documents that are required under the 1933 Act or the 1933 Act Regulations to be described in the Registration Statement, the General Disclosure Package or the Prospectus or to be filed as exhibits to the Registration Statement which have not been so described and filed as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(xxiii) </w:t>
      </w:r>
      <w:r>
        <w:rPr>
          <w:rFonts w:ascii="Times New Roman" w:hAnsi="Times New Roman"/>
          <w:sz w:val="20"/>
          <w:u w:val="single"/>
        </w:rPr>
        <w:t>Absence of Further Requirements</w:t>
      </w:r>
      <w:r>
        <w:rPr>
          <w:rFonts w:ascii="Times New Roman" w:hAnsi="Times New Roman"/>
          <w:sz w:val="20"/>
        </w:rPr>
        <w:t xml:space="preserve">.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the 1933 Act, the 1933 Act Regulations, the rules of the Nasdaq Global Select Market, state securities laws or the rules of Financial Industry Regulatory Authority, Inc. (“FINRA”). </w:t>
      </w:r>
    </w:p>
    <w:p>
      <w:pPr>
        <w:pStyle w:val="TextBody"/>
        <w:bidi w:val="0"/>
        <w:spacing w:before="120" w:after="0"/>
        <w:jc w:val="left"/>
        <w:rPr>
          <w:rFonts w:ascii="Times New Roman" w:hAnsi="Times New Roman"/>
          <w:sz w:val="20"/>
        </w:rPr>
      </w:pPr>
      <w:r>
        <w:rPr>
          <w:rFonts w:ascii="Times New Roman" w:hAnsi="Times New Roman"/>
          <w:sz w:val="20"/>
        </w:rPr>
        <w:t xml:space="preserve">(xxiv) </w:t>
      </w:r>
      <w:r>
        <w:rPr>
          <w:rFonts w:ascii="Times New Roman" w:hAnsi="Times New Roman"/>
          <w:sz w:val="20"/>
          <w:u w:val="single"/>
        </w:rPr>
        <w:t>Possession of Licenses and Permits</w:t>
      </w:r>
      <w:r>
        <w:rPr>
          <w:rFonts w:ascii="Times New Roman" w:hAnsi="Times New Roman"/>
          <w:sz w:val="20"/>
        </w:rPr>
        <w:t xml:space="preserve">. The Company and its subsidiaries possess such certificates, approvals, clearances, registrations, franchises, exemptions, licenses, permits and other authorizations (collectively, “Governmental Licenses”) issued by the appropriate Governmental Entities necessary to conduct the business now operated by it, except where the failure to so possess would not, singly or in the aggregate, reasonably be expected to result in a Material Adverse Effect. The Company and its subsidiaries are in compliance with the terms and conditions of all Governmental Licenses, except where the failure to so comply would not, singly or in the aggregate, reasonably be expected to result in a Material Adverse Effect. All of the Governmental Licenses are valid and in full force and effect, except where the invalidity of such Governmental Licenses or the failure of such Governmental Licenses to be in full force and effect would not, singly or in the aggregate, reasonably be expected to result in a Material Adverse Effect. Neither the Company nor any of its subsidiaries has received any notice of proceedings relating to the revocation or modification of any Governmental Licenses that, singly or in the aggregate, if the subject of an unfavorable decision, ruling or finding,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(xxv) </w:t>
      </w:r>
      <w:r>
        <w:rPr>
          <w:rFonts w:ascii="Times New Roman" w:hAnsi="Times New Roman"/>
          <w:sz w:val="20"/>
          <w:u w:val="single"/>
        </w:rPr>
        <w:t>Regulatory Compliance</w:t>
      </w:r>
      <w:r>
        <w:rPr>
          <w:rFonts w:ascii="Times New Roman" w:hAnsi="Times New Roman"/>
          <w:sz w:val="20"/>
        </w:rPr>
        <w:t xml:space="preserve">. The Company: (i) has operated and currently operates its business in compliance in all material respects with applicable provisions of the Health Care Laws (as defined below) of the Food and Drug Administration (“FDA”), the Department of Health and Human Services (“HHS”) and any comparable foreign or other regulatory authority to which they are subject (collectively, the “Applicable Regulatory Authorities”) applicable to the ownership, testing, development, manufacture, packaging, processing, use, distribution, storage, import, export or disposal of any of the Company’s or its subsidiaries’ product candidates or any product manufactured or distributed by the Company and its subsidiaries; (ii) has not received any FDA Form 483, written notice of adverse finding, warning letter, untitled letter or other correspondence or written notice from any court or arbitrator or governmental or regulatory authority alleging or asserting non-compliance with (A) any Health Care Laws or (B) any licenses, certificates, approvals, clearances, exemptions, authorizations, permits and supplements or amendments thereto required by any such Health Care Laws (“Regulatory Authorizations”); (iii) possesses all Regulatory Authorizations required to conduct its business as currently conducted and such Regulatory Authorizations are valid and in full force and effect and neither the Company nor any of its subsidiaries are in violation, in any material respect, of any term of any such Regulatory Authorizations; (iv) has not received written notice of any claim, action, suit, audit, survey, proceeding, hearing, enforcement, investigation, arbitration or other action from the Applicable Regulatory Authorities or any other third party alleging that any product operation or activity is in material violation of any Health Care Laws or Regulatory Authorizations and has no knowledge that the Applicable Regulatory Authorities or any other third party is considering any such claim, litigation, arbitration, action, suit, investigation or proceeding; (v) has not received written notice that any of the Applicable Regulatory Authorities has taken, is taking or intends to take action to limit, suspend, modify or revoke any material Regulatory Authorizations and has no knowledge that any of the Applicable Regulatory Authorities is considering such action; (vi) has filed, obtained, maintained or submitted all material reports, documents, forms, notices, applications,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records, claims, submissions and supplements or amendments as required by any Health Care Laws or Regulatory Authorizations and that all such reports, documents, forms, notices, applications, records, claims, submissions and supplements or amendments were materially complete and correct on the date filed (or were materially corrected or supplemented by a subsequent submission); (vii) is not a party to and does not have any ongoing reporting obligations pursuant to any corporate integrity agreements, deferred prosecution agreements, monitoring agreements, consent decrees, settlement orders, plans of correction or similar agreements with or imposed by any Applicable Regulatory Authority; and (viii) along with its employees, officers, directors and agents, has not been excluded, suspended, debarred or is otherwise ineligible from participation in any government health care program or human clinical research or, to the knowledge of the Company, is subject to a governmental inquiry, investigation, proceeding, or other similar action that could reasonably be expected to result in debarment, suspension, or exclusion or ineligibility. The term “Health Care Laws” means Title XVIII of the Social Security Act, 42 U.S.C. §§ 1395-1395hhh (the Medicare statute); Title XIX of the Social Security Act, 42 U.S.C. §§ 1396-1396v (the Medicaid statute); the Federal Anti-Kickback Statute, 42 U.S.C. § 1320a-7b(b); the civil False Claims Act, 31 U.S.C. §§ 3729 et seq.; the criminal False Claims Act, 42 U.S.C. 1320a-7b(a); any criminal laws relating to health care fraud and abuse, including but not limited to 18 U.S.C. Sections 286, 287, 1001, 1035, 1347 and 1349, and the health care fraud criminal provisions under the Health Insurance Portability and Accountability Act of 1996, 42 U.S.C. §§ 1320d et seq., (“HIPAA”); the Civil Monetary Penalties Law, 42 U.S.C. §§ 1320a-7a; the Physician Payments Sunshine Act, 42 U.S.C. § 1320a-7h; the Exclusions Law, 42 U.S.C. § 1320a-7; HIPAA, as amended by the Health Information Technology for Economic and Clinical Health Act, 42 U.S.C. §§ 17921 et seq.; the Federal Food, Drug, and Cosmetic Act, 21 U.S.C. §§ 301 et seq.; the Public Health Service Act, 42 U.S.C. §§ 201 et seq.; each as amended, and the regulations promulgated pursuant to such laws; and any similar foreign, federal, state and local laws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(xxvi) </w:t>
      </w:r>
      <w:r>
        <w:rPr>
          <w:rFonts w:ascii="Times New Roman" w:hAnsi="Times New Roman"/>
          <w:sz w:val="20"/>
          <w:u w:val="single"/>
        </w:rPr>
        <w:t>Manufacturing and Suppliers</w:t>
      </w:r>
      <w:r>
        <w:rPr>
          <w:rFonts w:ascii="Times New Roman" w:hAnsi="Times New Roman"/>
          <w:sz w:val="20"/>
        </w:rPr>
        <w:t xml:space="preserve">. To the Company’s knowledge, the manufacturing facilities and operations of its suppliers have been operated and are currently operated in compliance in all material respects with all applicable statutes, rules, regulations and policies of the Applicable Regulatory Authorities, including, without limitation, the Health Care Laws. </w:t>
      </w:r>
    </w:p>
    <w:p>
      <w:pPr>
        <w:pStyle w:val="TextBody"/>
        <w:bidi w:val="0"/>
        <w:spacing w:before="120" w:after="0"/>
        <w:jc w:val="left"/>
        <w:rPr>
          <w:rFonts w:ascii="Times New Roman" w:hAnsi="Times New Roman"/>
          <w:sz w:val="20"/>
        </w:rPr>
      </w:pPr>
      <w:r>
        <w:rPr>
          <w:rFonts w:ascii="Times New Roman" w:hAnsi="Times New Roman"/>
          <w:sz w:val="20"/>
        </w:rPr>
        <w:t xml:space="preserve">(xxvii) </w:t>
      </w:r>
      <w:r>
        <w:rPr>
          <w:rFonts w:ascii="Times New Roman" w:hAnsi="Times New Roman"/>
          <w:sz w:val="20"/>
          <w:u w:val="single"/>
        </w:rPr>
        <w:t>Studies, Tests and Trials</w:t>
      </w:r>
      <w:r>
        <w:rPr>
          <w:rFonts w:ascii="Times New Roman" w:hAnsi="Times New Roman"/>
          <w:sz w:val="20"/>
        </w:rPr>
        <w:t xml:space="preserve">. None of the Company’s product candidates have received marketing approval or licensure from any Applicable Regulatory Authority. All clinical and pre-clinical studies and trials conducted by or on behalf of or sponsored by the Company, or in which the Company has participated, with respect to the Company’s product candidates, including any such studies and trials that are described in the Registration Statement, General Disclosure Package and the Prospectus, or the results of which are referred to in the Registration Statement, General Disclosure Package and the Prospectus, as applicable (collectively, “Company Trials”), were, and if still pending are, being conducted in all material respects in accordance with the Health Care Laws, including, without limitation, current Good Clinical Practices and Good Laboratory Practices, and with standard medical and scientific research procedures and any applicable rules, regulations and policies of the jurisdiction in which such trials and studies are being conducted; the descriptions in the Registration Statement, General Disclosure Package and the Prospectus of the results of any Company Trials are accurate and complete descriptions in all material respects and fairly present the data derived therefrom; the Company has no knowledge of any other studies or trials not described in the Registration Statement, General Disclosure Package and the Prospectus, the results of which are inconsistent with or call into question the results described or referred to in the Registration Statement, General Disclosure Package and the Prospectus; the Company has operated at all times and is currently in compliance in all material respects with all applicable Health Care Laws of the Applicable Regulatory Authorities; the Company has not received, and the Company does not have knowledge after due inquiry that any of its collaboration partners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received, any written notices, correspondence or other communications from the Applicable Regulatory Authorities or any other governmental entity requiring or threatening the termination, material modification or suspension of Company Trials, other than ordinary course communications with respect to modifications in connection with the design and implementation of such studies or trials, and, to the Company’s knowledge, there are no reasonable grounds for the same. No investigational new drug application or comparable submission filed by or on behalf of the Company or any of its subsidiaries has been terminated or suspended by the FDA or any other Applicable Regulatory Authority. The Company has obtained (or caused to be obtained) informed consent by or on behalf of each human subject who participated in a Company Trial. In using or disclosing patient information received by the Company in connection with a Company Trial, the Company has complied in all material respects with all applicable laws and regulatory rules or requirements, including, without limitation, HIPAA and the rules and regulations thereunder. To the Company’s knowledge, none of the Company Trials involved any investigator who has been disqualified as a clinical investigator or has been found by the FDA to have engaged in scientific misconduct. </w:t>
      </w:r>
    </w:p>
    <w:p>
      <w:pPr>
        <w:pStyle w:val="TextBody"/>
        <w:bidi w:val="0"/>
        <w:spacing w:before="120" w:after="0"/>
        <w:jc w:val="left"/>
        <w:rPr>
          <w:rFonts w:ascii="Times New Roman" w:hAnsi="Times New Roman"/>
          <w:sz w:val="20"/>
        </w:rPr>
      </w:pPr>
      <w:r>
        <w:rPr>
          <w:rFonts w:ascii="Times New Roman" w:hAnsi="Times New Roman"/>
          <w:sz w:val="20"/>
        </w:rPr>
        <w:t xml:space="preserve">(xxviii) </w:t>
      </w:r>
      <w:r>
        <w:rPr>
          <w:rFonts w:ascii="Times New Roman" w:hAnsi="Times New Roman"/>
          <w:sz w:val="20"/>
          <w:u w:val="single"/>
        </w:rPr>
        <w:t>Title to Property</w:t>
      </w:r>
      <w:r>
        <w:rPr>
          <w:rFonts w:ascii="Times New Roman" w:hAnsi="Times New Roman"/>
          <w:sz w:val="20"/>
        </w:rPr>
        <w:t xml:space="preserve">.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 (B) do not, singly or in the aggregate, materially and adversely affect the value of such property and do not materially interfere with the use made and proposed to be made of such property by the Company or any of its subsidiaries; and all of the leases and subleases of the Company or any of its subsidiaries considered as one enterprise, and under which the Company or any of its subsidiaries holds properties described in the Registration Statement, the General Disclosure Package or the Prospectus, are in full force and effect, and neither the Company nor any such subsidiary has received any notice of any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 except to the extent that such failure to be in effect or such claim or adverse effect on the Company’s rights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(xxix) </w:t>
      </w:r>
      <w:r>
        <w:rPr>
          <w:rFonts w:ascii="Times New Roman" w:hAnsi="Times New Roman"/>
          <w:sz w:val="20"/>
          <w:u w:val="single"/>
        </w:rPr>
        <w:t>Possession of Intellectual Property</w:t>
      </w:r>
      <w:r>
        <w:rPr>
          <w:rFonts w:ascii="Times New Roman" w:hAnsi="Times New Roman"/>
          <w:sz w:val="20"/>
        </w:rPr>
        <w:t xml:space="preserve">.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it as described in the Registration Statement, the General Disclosure Package and the Prospectus, and neither the Company nor any of its subsidiaries has received any notice or is otherwise aware of any infringement of or conflict with asserted rights of others with respect to any Intellectual Property or of any facts or circumstances that would render any Intellectual Property invalid or inadequate to protect the interest of the Company therein, and which infringement or conflict (if the subject of any unfavorable decision, ruling or finding) or invalidity or inadequacy, singly or in the aggregate, would reasonably be expected to result in a Material Adverse Effect. All Intellectual Property owned by the Company and any of its subsidiaries and registered with any Governmental Entity has been duly maintained in all material respects in accordance with applicable law, including submission of all necessary filings and payment of fees in accordance with the legal and administrative requirements of the appropriate jurisdictions. Neither the Company nor any of its subsidiaries has received any notice that any issued patents with the Intellectual Property are invalid or unenforceable, and is not otherwise aware of any facts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circumstances that would render any issued patents within the Intellectual Property invalid or unenforceable. All material technical information developed by and belonging to the Company and its subsidiaries that has not been disclosed in a patent application has been kept confidential and, to the Company’s knowledge, there is no infringement or misappropriation by third parties of any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(xxx) </w:t>
      </w:r>
      <w:r>
        <w:rPr>
          <w:rFonts w:ascii="Times New Roman" w:hAnsi="Times New Roman"/>
          <w:sz w:val="20"/>
          <w:u w:val="single"/>
        </w:rPr>
        <w:t>Environmental Laws</w:t>
      </w:r>
      <w:r>
        <w:rPr>
          <w:rFonts w:ascii="Times New Roman" w:hAnsi="Times New Roman"/>
          <w:sz w:val="20"/>
        </w:rPr>
        <w:t xml:space="preserve">. Except as described in the Registration Statement, the General Disclosure Package and the Prospectus or would not, singly or in the aggregate,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“Hazardous Materials”) or to the manufacture, processing, distribution, use, treatment, storage, disposal, transport or handling of Hazardous Materials (collectively, “Environmental Laws”), (B) the Company and its subsidiaries have all permits, authorizations and approvals required for its operations under any applicable Environmental Laws and are each in compliance with their requirements, (C) there are no pending, or to the Company’s knowledge, threatened administrative, regulatory or judicial actions, suits, demands, demand letters, claims, liens, notices of noncompliance or violation, investigations or proceedings relating to any Environmental Law against the Company or any of its subsidiaries and (D) there are no events or circumstances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(xxxi) </w:t>
      </w:r>
      <w:r>
        <w:rPr>
          <w:rFonts w:ascii="Times New Roman" w:hAnsi="Times New Roman"/>
          <w:sz w:val="20"/>
          <w:u w:val="single"/>
        </w:rPr>
        <w:t>Accounting Controls and Disclosure Controls</w:t>
      </w:r>
      <w:r>
        <w:rPr>
          <w:rFonts w:ascii="Times New Roman" w:hAnsi="Times New Roman"/>
          <w:sz w:val="20"/>
        </w:rPr>
        <w:t xml:space="preserve">. The Company and its subsidiaries, on a consolidated basis, maintain a system of internal control over financial reporting (as defined under Rule 13a-15 and Rule 15d-15 under the 1934 Act Regulations) and a system of internal accounting controls, each designed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incorporated by reference in the Registration Statement, the General Disclosure Package and the Prospectus fairly presents the information called for in all material respects and is prepared in accordance with the Commission’s rules and guidelines applicable thereto.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and adversely affected, or is reasonably likely to materially and adversely affect, the Company’s internal control over financial reporting. The Company and each of its subsidiaries maintain a system of disclosure controls and procedures (as defined in Rule 13a-15 and Rule 15d-15 under the 1934 Act Regulations) that is designed to provide reasonable assurance that the information required to be disclosed by the Company in the reports that it files or submits under the 1934 Act is recorded,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 </w:t>
      </w:r>
    </w:p>
    <w:p>
      <w:pPr>
        <w:pStyle w:val="TextBody"/>
        <w:bidi w:val="0"/>
        <w:spacing w:before="120" w:after="0"/>
        <w:jc w:val="left"/>
        <w:rPr>
          <w:rFonts w:ascii="Times New Roman" w:hAnsi="Times New Roman"/>
          <w:sz w:val="20"/>
        </w:rPr>
      </w:pPr>
      <w:r>
        <w:rPr>
          <w:rFonts w:ascii="Times New Roman" w:hAnsi="Times New Roman"/>
          <w:sz w:val="20"/>
        </w:rPr>
        <w:t xml:space="preserve">(xxxii) </w:t>
      </w:r>
      <w:r>
        <w:rPr>
          <w:rFonts w:ascii="Times New Roman" w:hAnsi="Times New Roman"/>
          <w:sz w:val="20"/>
          <w:u w:val="single"/>
        </w:rPr>
        <w:t>Compliance with the Sarbanes-Oxley Act.</w:t>
      </w:r>
      <w:r>
        <w:rPr>
          <w:rFonts w:ascii="Times New Roman" w:hAnsi="Times New Roman"/>
          <w:sz w:val="20"/>
        </w:rPr>
        <w:t xml:space="preserve"> There is and has been no failure on the part of the Company or, to the Company’s knowledge, any of the Company’s directors or officers, in their capacities as such, to comply in all material respects with any applicable provision of the Sarbanes-Oxley Act of 2002 and the rules and regulations promulgated in connection therewith, including Section 402 related to loans and Sections 302 and 906 related to certifications. </w:t>
      </w:r>
    </w:p>
    <w:p>
      <w:pPr>
        <w:pStyle w:val="TextBody"/>
        <w:bidi w:val="0"/>
        <w:spacing w:before="120" w:after="0"/>
        <w:jc w:val="left"/>
        <w:rPr>
          <w:rFonts w:ascii="Times New Roman" w:hAnsi="Times New Roman"/>
          <w:sz w:val="20"/>
        </w:rPr>
      </w:pPr>
      <w:r>
        <w:rPr>
          <w:rFonts w:ascii="Times New Roman" w:hAnsi="Times New Roman"/>
          <w:sz w:val="20"/>
        </w:rPr>
        <w:t xml:space="preserve">(xxxiii) </w:t>
      </w:r>
      <w:r>
        <w:rPr>
          <w:rFonts w:ascii="Times New Roman" w:hAnsi="Times New Roman"/>
          <w:sz w:val="20"/>
          <w:u w:val="single"/>
        </w:rPr>
        <w:t>Payment of Taxes</w:t>
      </w:r>
      <w:r>
        <w:rPr>
          <w:rFonts w:ascii="Times New Roman" w:hAnsi="Times New Roman"/>
          <w:sz w:val="20"/>
        </w:rPr>
        <w:t xml:space="preserve">. All United States federal income tax returns of the Company and its subsidiaries required by law to be filed have been filed and all taxes shown by such returns or otherwise assessed, which are due and payable, have been paid, except for any such assessment that is currently being contested and as to which adequate reserves have been provided or any such assessment as would not have a Material Adverse Effect. The Company and its subsidiaries have filed all other tax returns that are required to have been filed by it pursuant to applicable foreign, state, local or other law except insofar as the failure to file such returns would not, singly or in the aggregate, result in a Material Adverse Effect, and has paid all taxes due pursuant to such returns or pursuant to any assessment received by the Company and its subsidiaries, except for such taxes, if any, as are being contested in good faith and as to which adequate reserves have been established by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or any such assessment or re-assessment as would not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(xxxiv) </w:t>
      </w:r>
      <w:r>
        <w:rPr>
          <w:rFonts w:ascii="Times New Roman" w:hAnsi="Times New Roman"/>
          <w:sz w:val="20"/>
          <w:u w:val="single"/>
        </w:rPr>
        <w:t>Insurance</w:t>
      </w:r>
      <w:r>
        <w:rPr>
          <w:rFonts w:ascii="Times New Roman" w:hAnsi="Times New Roman"/>
          <w:sz w:val="20"/>
        </w:rPr>
        <w:t xml:space="preserve">. The Company and its subsidiaries carry or are entitled to the benefits of insurance, with financially sound and reputable insurers, in such amounts and covering such risks as the Company reasonably believes is generally maintained by companies of established repute and comparable size engaged in the same or similar business, and all such insurance is in full force and effect.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Neither the Company nor any of its subsidiaries has been denied any insurance coverage which it has sought or for which it has applied. </w:t>
      </w:r>
    </w:p>
    <w:p>
      <w:pPr>
        <w:pStyle w:val="TextBody"/>
        <w:bidi w:val="0"/>
        <w:spacing w:before="120" w:after="0"/>
        <w:jc w:val="left"/>
        <w:rPr>
          <w:rFonts w:ascii="Times New Roman" w:hAnsi="Times New Roman"/>
          <w:sz w:val="20"/>
        </w:rPr>
      </w:pPr>
      <w:r>
        <w:rPr>
          <w:rFonts w:ascii="Times New Roman" w:hAnsi="Times New Roman"/>
          <w:sz w:val="20"/>
        </w:rPr>
        <w:t xml:space="preserve">(xxxv) </w:t>
      </w:r>
      <w:r>
        <w:rPr>
          <w:rFonts w:ascii="Times New Roman" w:hAnsi="Times New Roman"/>
          <w:sz w:val="20"/>
          <w:u w:val="single"/>
        </w:rPr>
        <w:t>Investment Company Act</w:t>
      </w:r>
      <w:r>
        <w:rPr>
          <w:rFonts w:ascii="Times New Roman" w:hAnsi="Times New Roman"/>
          <w:sz w:val="20"/>
        </w:rPr>
        <w:t xml:space="preserve">. The Company is not required, and upon the issuance and sale of the Securities as herein contemplated and the Convertible Notes in the Concurrent Notes Offering and the application of the net proceeds therefrom as described in the Registration Statement, the General Disclosure Package and the Prospectus, will not be required, to register as an “investment company” under the Investment Company Act of 1940, as amended (the “1940 Act”). </w:t>
      </w:r>
    </w:p>
    <w:p>
      <w:pPr>
        <w:pStyle w:val="TextBody"/>
        <w:bidi w:val="0"/>
        <w:spacing w:before="120" w:after="0"/>
        <w:jc w:val="left"/>
        <w:rPr>
          <w:rFonts w:ascii="Times New Roman" w:hAnsi="Times New Roman"/>
          <w:sz w:val="20"/>
        </w:rPr>
      </w:pPr>
      <w:r>
        <w:rPr>
          <w:rFonts w:ascii="Times New Roman" w:hAnsi="Times New Roman"/>
          <w:sz w:val="20"/>
        </w:rPr>
        <w:t xml:space="preserve">(xxxvi) </w:t>
      </w:r>
      <w:r>
        <w:rPr>
          <w:rFonts w:ascii="Times New Roman" w:hAnsi="Times New Roman"/>
          <w:sz w:val="20"/>
          <w:u w:val="single"/>
        </w:rPr>
        <w:t>Absence of Manipulation</w:t>
      </w:r>
      <w:r>
        <w:rPr>
          <w:rFonts w:ascii="Times New Roman" w:hAnsi="Times New Roman"/>
          <w:sz w:val="20"/>
        </w:rPr>
        <w:t xml:space="preserve">. Neither the Company nor any controlled affiliate of the Company has taken, nor will the Company or any controlled affiliate take, directly or indirectly, any action which is designed, or would reasonably be expected, to cause or result in, or which constitutes, the stabilization or manipulation of the price of any security of the Company to facilitate the sale or resale of the Securities or to result in a violation of Regulation M under the 1934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(xxxvii) </w:t>
      </w:r>
      <w:r>
        <w:rPr>
          <w:rFonts w:ascii="Times New Roman" w:hAnsi="Times New Roman"/>
          <w:sz w:val="20"/>
          <w:u w:val="single"/>
        </w:rPr>
        <w:t>Foreign Corrupt Practices Act</w:t>
      </w:r>
      <w:r>
        <w:rPr>
          <w:rFonts w:ascii="Times New Roman" w:hAnsi="Times New Roman"/>
          <w:sz w:val="20"/>
        </w:rPr>
        <w:t xml:space="preserve">. None of the Company, any of its subsidiaries or, to the knowledge of the Company, any director, officer,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controlled affiliates have conducted their businesses in compliance with the FCPA and have instituted and maintain policies and procedures designed to ensure, and which are reasonably expected to continue to ensure, continued compliance therewith. </w:t>
      </w:r>
    </w:p>
    <w:p>
      <w:pPr>
        <w:pStyle w:val="TextBody"/>
        <w:bidi w:val="0"/>
        <w:spacing w:before="120" w:after="0"/>
        <w:jc w:val="left"/>
        <w:rPr>
          <w:rFonts w:ascii="Times New Roman" w:hAnsi="Times New Roman"/>
          <w:sz w:val="20"/>
        </w:rPr>
      </w:pPr>
      <w:r>
        <w:rPr>
          <w:rFonts w:ascii="Times New Roman" w:hAnsi="Times New Roman"/>
          <w:sz w:val="20"/>
        </w:rPr>
        <w:t xml:space="preserve">(xxxviii) </w:t>
      </w:r>
      <w:r>
        <w:rPr>
          <w:rFonts w:ascii="Times New Roman" w:hAnsi="Times New Roman"/>
          <w:sz w:val="20"/>
          <w:u w:val="single"/>
        </w:rPr>
        <w:t>Money Laundering Laws</w:t>
      </w:r>
      <w:r>
        <w:rPr>
          <w:rFonts w:ascii="Times New Roman" w:hAnsi="Times New Roman"/>
          <w:sz w:val="20"/>
        </w:rPr>
        <w:t xml:space="preserve">.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“Money Laundering Laws”); and no action, suit or proceeding by or before any Governmental Entity involving the Company or any of its subsidiaries with respect to the Money Laundering Laws is pending or, to the best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 xml:space="preserve">(xxxix) </w:t>
      </w:r>
      <w:r>
        <w:rPr>
          <w:rFonts w:ascii="Times New Roman" w:hAnsi="Times New Roman"/>
          <w:sz w:val="20"/>
          <w:u w:val="single"/>
        </w:rPr>
        <w:t>OFAC</w:t>
      </w:r>
      <w:r>
        <w:rPr>
          <w:rFonts w:ascii="Times New Roman" w:hAnsi="Times New Roman"/>
          <w:sz w:val="20"/>
        </w:rPr>
        <w:t xml:space="preserve">. None of the Company, any of its subsidiaries nor, to the knowledge of the Company, any director, officer, agent, employee, affiliate or representative of the Company or any of its subsidiaries is an individual or entity (“Person”) currently the subject or target of any sanctions administered or enforced by the United States Government, including, without limitation, the U.S. Department of the Treasury’s Office of Foreign Assets Control (“OFAC”), the United Nations Security Council (“UNSC”), the European Union, His Majesty’s Treasury (“HMT”), or other relevant sanctions authority (collectively, “Sanctions”), nor is the Company located, organized or resident in a country or territory that is the subject of Sanctions; and the Company will not directly or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 </w:t>
      </w:r>
    </w:p>
    <w:p>
      <w:pPr>
        <w:pStyle w:val="TextBody"/>
        <w:bidi w:val="0"/>
        <w:spacing w:before="120" w:after="0"/>
        <w:jc w:val="left"/>
        <w:rPr>
          <w:rFonts w:ascii="Times New Roman" w:hAnsi="Times New Roman"/>
          <w:sz w:val="20"/>
        </w:rPr>
      </w:pPr>
      <w:r>
        <w:rPr>
          <w:rFonts w:ascii="Times New Roman" w:hAnsi="Times New Roman"/>
          <w:sz w:val="20"/>
        </w:rPr>
        <w:t xml:space="preserve">(xl) </w:t>
      </w:r>
      <w:r>
        <w:rPr>
          <w:rFonts w:ascii="Times New Roman" w:hAnsi="Times New Roman"/>
          <w:sz w:val="20"/>
          <w:u w:val="single"/>
        </w:rPr>
        <w:t>Lending Relationship</w:t>
      </w:r>
      <w:r>
        <w:rPr>
          <w:rFonts w:ascii="Times New Roman" w:hAnsi="Times New Roman"/>
          <w:i/>
          <w:sz w:val="20"/>
        </w:rPr>
        <w:t xml:space="preserve">. </w:t>
      </w:r>
      <w:r>
        <w:rPr>
          <w:rFonts w:ascii="Times New Roman" w:hAnsi="Times New Roman"/>
          <w:sz w:val="20"/>
        </w:rPr>
        <w:t xml:space="preserve">Except as disclosed in the Registration Statement, the General Disclosure Package and the Prospectus, the Company (i) does not have any material lending or other relationship with any banking or lending affiliate of any Underwriter and (ii) does not intend to use any of the proceeds from the sale of the Securities to repay any outstanding debt owed to any affiliate of any Underwriter. </w:t>
      </w:r>
    </w:p>
    <w:p>
      <w:pPr>
        <w:pStyle w:val="TextBody"/>
        <w:bidi w:val="0"/>
        <w:spacing w:before="120" w:after="0"/>
        <w:jc w:val="left"/>
        <w:rPr>
          <w:rFonts w:ascii="Times New Roman" w:hAnsi="Times New Roman"/>
          <w:sz w:val="20"/>
        </w:rPr>
      </w:pPr>
      <w:r>
        <w:rPr>
          <w:rFonts w:ascii="Times New Roman" w:hAnsi="Times New Roman"/>
          <w:sz w:val="20"/>
        </w:rPr>
        <w:t xml:space="preserve">(xli) </w:t>
      </w:r>
      <w:r>
        <w:rPr>
          <w:rFonts w:ascii="Times New Roman" w:hAnsi="Times New Roman"/>
          <w:sz w:val="20"/>
          <w:u w:val="single"/>
        </w:rPr>
        <w:t>Statistical and Market-Related Data</w:t>
      </w:r>
      <w:r>
        <w:rPr>
          <w:rFonts w:ascii="Times New Roman" w:hAnsi="Times New Roman"/>
          <w:sz w:val="20"/>
        </w:rPr>
        <w:t xml:space="preserve">. Any statistical and market-related data included in the Registration Statement, the General Disclosure Package or the Prospectus are based on or derived from sources that the Company believes, after reasonable inquiry, to be reliable and accurate and, to the extent required, the Company has obtained the written consent to the use of such data from such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(xlii) </w:t>
      </w:r>
      <w:r>
        <w:rPr>
          <w:rFonts w:ascii="Times New Roman" w:hAnsi="Times New Roman"/>
          <w:sz w:val="20"/>
          <w:u w:val="single"/>
        </w:rPr>
        <w:t>Cybersecurity</w:t>
      </w:r>
      <w:r>
        <w:rPr>
          <w:rFonts w:ascii="Times New Roman" w:hAnsi="Times New Roman"/>
          <w:sz w:val="20"/>
        </w:rPr>
        <w:t>. (A) The Company has no knowledge of any security breach, attack or other compromise of or relating to the Company or its subsidiaries information technology and computer systems, networks, hardware, software, and data (including the data of its customers, employees, suppliers, vendors and any third party data maintained by or on behalf of the Company and its subsidiaries), equipment or technology (“</w:t>
      </w:r>
      <w:r>
        <w:rPr>
          <w:rFonts w:ascii="Times New Roman" w:hAnsi="Times New Roman"/>
          <w:sz w:val="20"/>
          <w:u w:val="single"/>
        </w:rPr>
        <w:t>IT Systems and Data</w:t>
      </w:r>
      <w:r>
        <w:rPr>
          <w:rFonts w:ascii="Times New Roman" w:hAnsi="Times New Roman"/>
          <w:sz w:val="20"/>
        </w:rPr>
        <w:t xml:space="preserve">”); (B) neither the Company nor its subsidiaries have been notified of, and has no knowledge of any event or condition that would reasonably be expected to result in, any security breach, attack or other compromise to its IT Systems and Data; (C) the Company and its subsidiaries have complied, and is presently in compliance with, all applicable laws, statutes or any judgment, order, rule or regulation of any court or arbitrator or governmental or regulatory authority and all industry guidelines, standards, internal policies and contractual obligations relating to the privacy and security of IT Systems and Data and to the protection of such IT Systems and Data from unauthorized use, access, misappropriation or modification, except as would not, singly or in the aggregate, result in a Material Adverse Effect; and (D) the Company and its subsidiaries have implemented backup and disaster recovery technology consistent with industry standards and practices.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Officer’s Certificates</w:t>
      </w:r>
      <w:r>
        <w:rPr>
          <w:rFonts w:ascii="Times New Roman" w:hAnsi="Times New Roman"/>
          <w:sz w:val="20"/>
        </w:rPr>
        <w:t xml:space="preserve">. Any certificate signed by any officer of the Company or any of its subsidiaries delivered to the Representatives or to counsel for the Underwriters shall be deemed a representation and warranty by the Company to each Underwriter as to the matters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Sale and Delivery to Underwriters;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Initial Shares and Pre-Funded Warrants</w:t>
      </w:r>
      <w:r>
        <w:rPr>
          <w:rFonts w:ascii="Times New Roman" w:hAnsi="Times New Roman"/>
          <w:sz w:val="20"/>
        </w:rPr>
        <w:t xml:space="preserve">. On the basis of the representations and warranties herein contained and subject to the terms and conditions herein set forth, the Company agrees to sell to each Underwriter, severally and not jointly, and each Underwriter, severally and not jointly, agrees to purchase from the Company, at the price per share set forth in Schedule A, that number of Initial Shares and Pre-Funded Warrants set forth in Schedule A opposite the name of such Underwriter, plus any additional number of Initial Shares and Pre-Funded Warrants which such Underwriter may become obligated to purchase pursuant to the provisions of Section 10 hereof, subject, in each case, to such adjustments among the Underwriters as the Representatives in their sole discretion shall make to eliminate any sales or purchases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Option Shares</w:t>
      </w:r>
      <w:r>
        <w:rPr>
          <w:rFonts w:ascii="Times New Roman" w:hAnsi="Times New Roman"/>
          <w:sz w:val="20"/>
        </w:rPr>
        <w:t xml:space="preserve">. In addition, on the basis of the representations and warranties herein contained and subject to the terms and conditions herein set forth, the Company hereby grants an option to the Underwriters, severally and not jointly, to purchase up to an additional 1,171,875 shares of Common Stock, at the price per share set forth in Schedule A, less an amount per share equal to any dividends or distributions declared by the Company and payable on the Initial Shares but not payable on the Option Shares. The option hereby granted may be exercised for 30 days after the date hereof and may be exercised in whole or in part at any time from time to time upon notice by the Representatives to the Company setting forth the number of Option Shares as to which the several Underwriters are then exercising the option and the time and date of payment and delivery for such Option Shares. Any such time and date of delivery (a “Date of Delivery”) shall be determined by the Representatives, but shall not be earlier than two full business days (except in the case of Option Shares being delivered at the Closing Time) nor later than seven full business days after the exercise of said option, nor in any event prior to the Closing Time. If the option is exercised as to all or any portion of the Option Shares, each of the Underwriters, acting severally and not jointly, will purchase that proportion of the total number of Option Shares then being purchased which the number of Initial Shares set forth in Schedule A opposite the name of such Underwriter bears to the total number of Initial Shares, subject, in each case, to such adjustments as the Representatives in their sole discretion shall make to eliminate any sales or purchases of fractional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Payment</w:t>
      </w:r>
      <w:r>
        <w:rPr>
          <w:rFonts w:ascii="Times New Roman" w:hAnsi="Times New Roman"/>
          <w:sz w:val="20"/>
        </w:rPr>
        <w:t xml:space="preserve">. Payment of the purchase price for, and delivery of certificates or security entitlements for, the Initial Shares and the Pre-Funded Warrants shall be made at the offices of Latham &amp; Watkins LLP, 801 Jefferson Ave, Ste 300, Redwood City, CA 94063, or at such other place as shall be agreed upon by the Representatives and the Company, at 9:00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“Closing Time”). Delivery of the Initial Shares at the Closing Time shall be made through the facilities of The Depository Trust Company unless the Representatives shall otherwise instruct. The Pre-Funded Warrants shall be delivered to the purchasers of the Pre-Funded Warrants in definitive form, registered in such names and in such denominations as the purchasers of the Pre-Funded Warrants shall request in writing not later than the Closing Time. The Pre-Funded Warrants will be made available for inspection by the Representatives on the business day prior to the Closing Time. The Company and the Representatives shall instruct purchasers of the Pre-Funded Warrants in the public offering to make payment for the Pre-Funded Warrants on the Closing Time to the Company by wire transfer in immediately available funds to the account specified by the Company at a purchase price of $63.999 per Pre-Funded Warrant, in lieu of payment by the Underwriters for such Pre-Funded Warrants, and the Company shall deliver such Pre-Funded Warrants to such purchasers on the Closing Time in definitive form against such payment, in lieu of the Company’s obligation to deliver such Pre-Funded Warrants to the Underwriters; provided that the Company shall promptly (but in no event later than the Closing Time) pay $3.36 per such Pre-Funded Warrant to the Underwriters by wire transfer in immediately available funds to the account specified by the Representatives. In the event that the purchasers of the Pre-Funded Warrants in the public offering fail to make payment to the Company for all or part of the Pre-Funded Warrants on the Closing Time, the Representatives may elect, by written notice to the Company, to receive shares of Common Stock in lieu of all or a portion of such Pre-Funded Warrants to be delivered to the Underwriters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event that any or all of the Option Shares are purchased by the Underwriters, payment of the purchase price for, and delivery of certificates or security entitlements for, such Option Shares shall be made at the above-mentioned offices, or at such other place as shall be agreed upon by the Representatives and the Company, on each Date of Delivery as specified in the notice from the Representatives to the Company. Delivery of the Option Shares on each such Date of Delivery shall be made through the facilities of The Depository Trust Company unless the Representatives shall otherwise instruct. </w:t>
      </w:r>
    </w:p>
    <w:p>
      <w:pPr>
        <w:pStyle w:val="TextBody"/>
        <w:bidi w:val="0"/>
        <w:spacing w:before="240" w:after="0"/>
        <w:jc w:val="left"/>
        <w:rPr>
          <w:rFonts w:ascii="Times New Roman" w:hAnsi="Times New Roman"/>
          <w:sz w:val="20"/>
        </w:rPr>
      </w:pPr>
      <w:r>
        <w:rPr>
          <w:rFonts w:ascii="Times New Roman" w:hAnsi="Times New Roman"/>
          <w:sz w:val="20"/>
        </w:rPr>
        <w:t xml:space="preserve">Payment shall be made to the Company by wire transfer of immediately available funds to a bank account designated by the Company against delivery to the Representatives for the respective accounts of the Underwriters of certificates or security entitlements for the Securities to be purchased by them (which delivery shall be made through the facilities of The Depository Trust Company unless the Representatives shall otherwise instruct). It is understood that each Underwriter has authorized the Representatives, for its account, to accept delivery of, receipt for, and make payment of the purchase price for, the Initial Shares, the Pre-Funded Warrants and the Option Shares, if any, which it has agreed to purchase. Jefferies, individually and not as representative of the Underwriters, may (but shall not be obligated to) make payment of the purchase price for the Initial Shares, the Pre-Funded Warrants or the Option Shares, if any, to be purchased by any Underwriter whose funds have not been received by the Closing Time or the relevant Date of Delivery, as the case may be, but such payment shall not relieve such Underwriter from its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Covenants of the Company</w:t>
      </w:r>
      <w:r>
        <w:rPr>
          <w:rFonts w:ascii="Times New Roman" w:hAnsi="Times New Roman"/>
          <w:sz w:val="20"/>
        </w:rPr>
        <w:t xml:space="preserve">. The Company covenants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Compliance with Securities Regulations and Commission Requests</w:t>
      </w:r>
      <w:r>
        <w:rPr>
          <w:rFonts w:ascii="Times New Roman" w:hAnsi="Times New Roman"/>
          <w:sz w:val="20"/>
        </w:rPr>
        <w:t xml:space="preserve">. The Company, subject to Section 3(b), will comply with the requirements of Rule 430B, and will notify the Representatives promptly,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use reasonable efforts to prevent the issuance of any stop order, prevention or suspension and, if any such order is issued, to obtain the lifting thereof as soon as practicable. The Company shall pay the required Commission filing fees relating to the Securities within the time required by Rule 456(b)(1)(i) under the 1933 Act Regulations without regard to the proviso therein and otherwise in accordance with Rules 456(b) and 457(r) under the 1933 Act Regulations (including, if applicable, by updating the “Calculation of Registration Fee” table in accordance with Rule 456(b)(1)(ii) either in a post-effective amendment to the Registration Statement or on the cover page of a prospectus filed pursuant to Rule 424(b)).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Continued Compliance with Securities Laws</w:t>
      </w:r>
      <w:r>
        <w:rPr>
          <w:rFonts w:ascii="Times New Roman" w:hAnsi="Times New Roman"/>
          <w:sz w:val="20"/>
        </w:rPr>
        <w:t xml:space="preserve">. The Company will comply with the 1933 Act, the 1933 Act Regulations, the 1934 Act and the 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(“Rule 172”),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reasonably object. The Company will furnish to the Underwriters such number of copies of such amendment or supplement as the Underwriters may reasonably request. The Company has given the Representative(s) notice of any filings made pursuant to the 1934 Act or 1934 Act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within 48 hours prior to the Applicable Time; the Company will give the Representative(s) notice of its intention to make any such filing from the Applicable Time to the Closing Time and will furnish the Representative(s) with copies of any such documents a reasonable amount of time prior to such proposed filing, as the case may be, and will not file or use any such document to which the Representative(s) or counsel for the Underwriters shall reasonably object.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Delivery of Registration Statements</w:t>
      </w:r>
      <w:r>
        <w:rPr>
          <w:rFonts w:ascii="Times New Roman" w:hAnsi="Times New Roman"/>
          <w:sz w:val="20"/>
        </w:rPr>
        <w:t xml:space="preserve">. If requested in writing, the Company will deliver to the Representatives and counsel for the Underwriters, without charge, conformed copies of the Registration Statement as originally filed and each amendment thereto (including exhibits filed therewith or incorporated by reference therein and documents incorporated or deemed to be incorporated by reference therein) and of all consents and certificates of experts, and will also deliver to the Representatives,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Delivery of Prospectuses</w:t>
      </w:r>
      <w:r>
        <w:rPr>
          <w:rFonts w:ascii="Times New Roman" w:hAnsi="Times New Roman"/>
          <w:sz w:val="20"/>
        </w:rPr>
        <w:t xml:space="preserve">. The Company has delivered to each Underwriter, without charge, as many copies of each preliminary prospectus 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Blue Sky Qualifications</w:t>
      </w:r>
      <w:r>
        <w:rPr>
          <w:rFonts w:ascii="Times New Roman" w:hAnsi="Times New Roman"/>
          <w:sz w:val="20"/>
        </w:rPr>
        <w:t xml:space="preserve">. The Company will use its reasonable best efforts, in cooperation with the Underwriters, to qualify the Securities for offering and sale under the applicable securities laws of such states and other jurisdictions (domestic or foreign) as the Representatives may reasonably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Rule 158</w:t>
      </w:r>
      <w:r>
        <w:rPr>
          <w:rFonts w:ascii="Times New Roman" w:hAnsi="Times New Roman"/>
          <w:sz w:val="20"/>
        </w:rPr>
        <w:t xml:space="preserve">. The Company will timely file such reports pursuant to the 1934 Act as are necessary in order to make generally available (which may be satisfied by filing with the Commission pursuant to EDGAR) to its securityholders as soon as practicable an earnings statement for the purposes of, and to provide to the Underwriters the benefits contemplated by, the last paragraph of Section 11(a) of the 1933 Act.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Use of Proceeds</w:t>
      </w:r>
      <w:r>
        <w:rPr>
          <w:rFonts w:ascii="Times New Roman" w:hAnsi="Times New Roman"/>
          <w:sz w:val="20"/>
        </w:rPr>
        <w:t xml:space="preserve">. The Company will use the net proceeds received by it from the sale of the Securities in all material respects in the manner specified in the Registration Statement, the General Disclosure Package and the Prospectus under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Listing</w:t>
      </w:r>
      <w:r>
        <w:rPr>
          <w:rFonts w:ascii="Times New Roman" w:hAnsi="Times New Roman"/>
          <w:sz w:val="20"/>
        </w:rPr>
        <w:t xml:space="preserve">. The Company will use its reasonable best efforts to effect and maintain the listing of the Common Stock (including the Shares and the Warrant Shares) on the Nasdaq Global Select Market.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Maintenance of Registration. </w:t>
      </w:r>
      <w:r>
        <w:rPr>
          <w:rFonts w:ascii="Times New Roman" w:hAnsi="Times New Roman"/>
          <w:sz w:val="20"/>
        </w:rPr>
        <w:t xml:space="preserve">The Company shall, at all times while the Company is subject to the reporting requirements of Section 13 or 15(d) of the 1934 Act and while any Pre-Funded Warrants are outstanding, use its best efforts to maintain a registration statement covering the issuance and sale of the Warrant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Warrant Shares Reserved. </w:t>
      </w:r>
      <w:r>
        <w:rPr>
          <w:rFonts w:ascii="Times New Roman" w:hAnsi="Times New Roman"/>
          <w:sz w:val="20"/>
        </w:rPr>
        <w:t xml:space="preserve">The Company shall, at all times while any Pre-Funded Warrants are outstanding, reserve and keep available out of the aggregate of its authorized but unissued and otherwise unreserved shares of Common Stock, solely for the purpose of enabling it to issue Warrant Shares upon exercise of such Pre-Funded Warrants, the maximum number of Warrant Shares then issuable and deliverable upon the exercise of the then-outstanding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Restriction on Sale of Securities</w:t>
      </w:r>
      <w:r>
        <w:rPr>
          <w:rFonts w:ascii="Times New Roman" w:hAnsi="Times New Roman"/>
          <w:sz w:val="20"/>
        </w:rPr>
        <w:t xml:space="preserve">. During a period of 60 days from the date of the Prospectus (the “Restricted Period”), the Company will not, without the prior written consent of Jefferies and Leerink Partners,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The foregoing sentence shall not apply to (A) the Securities to be sold hereunder and any Warrant Shares issued upon exercise of the Pre-Funded Warrants, (B) any shares of Common Stock issued by the Company upon the exercise of an option or warrant or the conversion of a security outstanding on the date hereof and referred to in the Registration Statement, the General Disclosure Package and the Prospectus, (C) the Convertible Notes to be sold in the Concurrent Notes Offering and any shares of Common Stock of the Company issued upon conversion of the Convertible Notes, (D) any shares of Common Stock issued or equity awards to purchase or receive Common Stock granted pursuant to employee benefit or equity incentive plans of the Company referred to in the Registration Statement, the General Disclosure Package and the Prospectus, (E) any shares of Common Stock issued pursuant to any non-employee director stock plan or dividend reinvestment plan referred to in the Registration Statement, the General Disclosure Package and the Prospectus, (F) the filing by the Company of a registration statement on Form S-8 or any successor form thereto with respect to the registration of securities to be offered under any employee benefit or equity incentive plans of the Company referred to in the Registration Statement, the General Disclosure Package and the Prospectus, (G) the issuance by the Company of shares of Common Stock in connection with sales under an “at-the-market” equity offering program pursuant to a Sales Agreement (the “Sales Agreement”) between the Company and Leerink Partners dated as of February 24, 2026, provided no sales shall be made under the Sales Agreement until the thirtieth day following the date of the Prospectus, or (H) shares of Common Stock or other securities issued in connection with a transaction that includes a commercial relationship (including strategic alliances, commercial lending relationships, joint ventures and strategic acquisitions), provided that (i) the aggregate number of shares issued pursuant to this clause (H) (on an as-converted or as-exercised basis, as the case may be) shall not exceed five percent (5%) of the total number of outstanding shares of Common Stock immediately following the issuance and sale of the Securities hereunder and (ii) the recipient of any such shares of Common Stock or securities issued pursuant to this clause (H) during the Restricted Period shall enter into an agreement substantially in the form of Exhibit A hereto.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Reporting Requirements</w:t>
      </w:r>
      <w:r>
        <w:rPr>
          <w:rFonts w:ascii="Times New Roman" w:hAnsi="Times New Roman"/>
          <w:sz w:val="20"/>
        </w:rPr>
        <w:t xml:space="preserve">. The Company, during the period when a Prospectus relating to the Securities is (or, but for the exception afforded 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Issuer Free Writing Prospectuses</w:t>
      </w:r>
      <w:r>
        <w:rPr>
          <w:rFonts w:ascii="Times New Roman" w:hAnsi="Times New Roman"/>
          <w:sz w:val="20"/>
        </w:rPr>
        <w:t xml:space="preserve">. The Company agrees that, unless it obtains the prior written consent of the Representatives, it will not 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Schedule B-2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 Each Underwriter represents that it has not made, and agrees that, without the prior consent of the Company, it will not make any offer relating to the Securities that would constitute a “free writing prospectus” required to be filed by the Company with the Commission or retained by the Company under Rule 433; provided that the Company will be deemed to have consented to any “road show” that is a written communication within the meaning of Rule 433(d)(8)(i) that has been reviewed by the Company. The Company shall prepare a final term sheet relating to this offering of the Securities and the Concurrent Notes Offering in a form approved by the Representatives (as set forth in Schedule B-1 hereto) and to file such term sheet pursuant to and within the time required by Rule 433(d)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Certification Regarding Beneficial Owners</w:t>
      </w:r>
      <w:r>
        <w:rPr>
          <w:rFonts w:ascii="Times New Roman" w:hAnsi="Times New Roman"/>
          <w:sz w:val="20"/>
        </w:rPr>
        <w:t xml:space="preserve">. The Company will deliver to the Representatives, on the date of execution of this Agreement, a properly completed and executed Certification Regarding Beneficial Owners of Legal Entity Customers, together with copies of identifying documentation, and the Company undertakes to provide such additional supporting documentation as the Representatives may reasonably request in connection with the verification of the foregoing certification.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Testing-the-Waters Materials</w:t>
      </w:r>
      <w:r>
        <w:rPr>
          <w:rFonts w:ascii="Times New Roman" w:hAnsi="Times New Roman"/>
          <w:sz w:val="20"/>
        </w:rPr>
        <w:t xml:space="preserve">. If at any time following the distribution of any Written Testing-the-Waters Communication there occurred or occurs an event or development as a result of which such Written Testing-the-Waters Communication prepared or authorized by the Company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 provided, however, that this covenant shall not apply to any statements or omissions in a Written Testing-the-Waters Communication prepared or authorized by the Company made in reliance upon and in conformity with the Underwriter Information.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Payment of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Expenses</w:t>
      </w:r>
      <w:r>
        <w:rPr>
          <w:rFonts w:ascii="Times New Roman" w:hAnsi="Times New Roman"/>
          <w:sz w:val="20"/>
        </w:rPr>
        <w:t xml:space="preserve">. The Company will pay or cause to be paid all expenses incident to the performance of its obligations under this Agreement, 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thereto and the reasonable costs associated with electronic delivery of any of the foregoing by the Underwriters to investors, (iii) the preparation, issuance and delivery of the certificates or security entitlements for the Securities to the Underwriters, including any stock or other transfer taxes and any stamp or other duties payable upon the sale, issuance or delivery of the Securities to the Underwriters, (iv) the fees and disbursements of the Company’s counsel, accountants and other advisors, (v) the qualification of the Securities under securities laws in accordance with the provisions of Section 3(e) hereof, including filing fees and the reasonable fees and disbursements of counsel for the Underwriters in connection therewith and in connection with the preparation of the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with the Company’s consent in connection with the road show presentations, travel and lodging expenses of the representatives and officers of the Company and any such consultants (provided that the lodging and any car travel expenses of the Representatives shall be paid by the Underwriters), and 50% of the cost of aircraft and other transportation chartered in connection with the road show, (viii) the filing fees incident to, and the reasonable fees and disbursements of counsel to the Underwriters in connection with, the review by FINRA of the terms of the sale of the Securities, provided, however, that the reasonable fees and disbursements of counsel for the Underwriters relating to clauses (v) and (viii) shall not exceed $15,000 in the aggregate, (ix) the fees and expenses incurred in connection with the listing of the Securities on the Nasdaq Global Select Market and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 It is understood, however, that except as provided in this Section and Section 6 entitled “Indemnification,” the Underwriters will pay all of their costs and expenses, including fees and disbursements of their counsel, stock transfer taxes payable upon the resale of any of the Securities by them and any advertising expenses connected with any offer they may make.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Termination of Agreement</w:t>
      </w:r>
      <w:r>
        <w:rPr>
          <w:rFonts w:ascii="Times New Roman" w:hAnsi="Times New Roman"/>
          <w:sz w:val="20"/>
        </w:rPr>
        <w:t xml:space="preserve">. If this Agreement is terminated by the Representatives in accordance with the provisions of Section 5, Section 9(a)(i) or (iii) or Section 10 hereof, the Company shall reimburse the Underwriters for all of their reasonable and documented out-of-pocket expenses actually incurred, including the reasonable and documented fees and disbursements of counsel for the Underwriters, provided, however, that if this Agreement is terminated pursuant to Section 10, the Company shall only be required to reimburse the reasonable and documented out-of-pocket expenses (including the reasonable and documented fees and disbursements of counsel for the Underwriters) of the Underwriters that have not failed to purchase the Securities that they have agreed to purchase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Conditions of Underwriters’ Obligations</w:t>
      </w:r>
      <w:r>
        <w:rPr>
          <w:rFonts w:ascii="Times New Roman" w:hAnsi="Times New Roman"/>
          <w:sz w:val="20"/>
        </w:rPr>
        <w:t xml:space="preserve">.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Effectiveness of Registration Statement</w:t>
      </w:r>
      <w:r>
        <w:rPr>
          <w:rFonts w:ascii="Times New Roman" w:hAnsi="Times New Roman"/>
          <w:sz w:val="20"/>
        </w:rPr>
        <w:t xml:space="preserve">. The Registration Statement has 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to the knowledge of the Company, are pending or contemplated by the Commission; and the Company has complied with each request (if any) from the Commission for additional information. The Company shall have paid the required Commission filing fees relating to the Securities within the time period required by Rule 456(b)(1)(i) under the 1933 Act Regulations without regard to the proviso therein and otherwise in accordance with Rules 456(b) and 457(r) under the 1933 Act Regulations and, if applicable, shall have updated the “Calculation of Registration Fee” table in accordance with Rule 456(b)(1)(ii) either in a post-effective amendment to the Registration Statement or on the cover page of a prospectus filed pursuant to Rule 424(b).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Opinion of Counsel for Company</w:t>
      </w:r>
      <w:r>
        <w:rPr>
          <w:rFonts w:ascii="Times New Roman" w:hAnsi="Times New Roman"/>
          <w:sz w:val="20"/>
        </w:rPr>
        <w:t xml:space="preserve">. At the Closing Time, the Representatives shall have received the opinion and negative assurance letter, dated the Closing Time, of Skadden, Arps, Slate, Meagher &amp; Flom LLP, counsel for the Company, in form and substance reasonably satisfactory to counsel for the Underwriters, together with reproduced copies of such opinion and letter for each of the other Underwriters.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Opinion of Intellectual Property Counsel for Company</w:t>
      </w:r>
      <w:r>
        <w:rPr>
          <w:rFonts w:ascii="Times New Roman" w:hAnsi="Times New Roman"/>
          <w:sz w:val="20"/>
        </w:rPr>
        <w:t xml:space="preserve">. At the Closing Time, the Representatives shall have received the opinion, dated the Closing Time, of Polsinelli PC, counsel for the Company with respect to intellectual property matters, in the form and substance reasonably satisfactory to counsel for the Underwriters, together with reproduced copies of such letter for each of the other Underwriters.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Opinion of Counsel for Underwriters</w:t>
      </w:r>
      <w:r>
        <w:rPr>
          <w:rFonts w:ascii="Times New Roman" w:hAnsi="Times New Roman"/>
          <w:sz w:val="20"/>
        </w:rPr>
        <w:t xml:space="preserve">. At the Closing Time, the Representatives shall have received the opinion and negative assurance letter, dated the Closing Time, of Latham &amp; Watkins LLP, counsel for the Underwriters, in the form and substance reasonably satisfactory to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Officers’ Certificate</w:t>
      </w:r>
      <w:r>
        <w:rPr>
          <w:rFonts w:ascii="Times New Roman" w:hAnsi="Times New Roman"/>
          <w:sz w:val="20"/>
        </w:rPr>
        <w:t xml:space="preserve">. At the Closing Time, there shall not have been, since the date hereof or since the respective dates as of which information is given in the Registration Statement, the General Disclosure Package or the Prospectus, any Material Adverse Effect, whether or not arising in the ordinary course of business, and the Representatives shall have received a certificate of the Chief Executive Officer or the President of the Company and of the chief financial or chief accounting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in all material respects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to their knowledge, are pending or contemplated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Accountant’s Comfort Letter</w:t>
      </w:r>
      <w:r>
        <w:rPr>
          <w:rFonts w:ascii="Times New Roman" w:hAnsi="Times New Roman"/>
          <w:sz w:val="20"/>
        </w:rPr>
        <w:t xml:space="preserve">. At the time of the execution of this Agreement, the Representatives shall have received from Deloitte &amp; Touche LLP a letter, dated such date, in form and substance reasonably satisfactory to the Representatives, together with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Bring-down Comfort Letter</w:t>
      </w:r>
      <w:r>
        <w:rPr>
          <w:rFonts w:ascii="Times New Roman" w:hAnsi="Times New Roman"/>
          <w:sz w:val="20"/>
        </w:rPr>
        <w:t xml:space="preserve">. At the Closing Time, the Representatives shall have received from Deloitte &amp; Touche LLP a letter, dated as of the Closing Time, to the effect that they reaffirm the statements made in the letter furnished pursuant to subsection (f) of this Section, except that the specified date referred to shall be a date not more than three business days prior to the Closing Time.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Approval of Listing</w:t>
      </w:r>
      <w:r>
        <w:rPr>
          <w:rFonts w:ascii="Times New Roman" w:hAnsi="Times New Roman"/>
          <w:sz w:val="20"/>
        </w:rPr>
        <w:t xml:space="preserve">. At the Closing Time, the Shares and the Warrant Shares shall have been approved for listing on the Nasdaq Global Select Market, subject only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(i)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Lock-up Agreements</w:t>
      </w:r>
      <w:r>
        <w:rPr>
          <w:rFonts w:ascii="Times New Roman" w:hAnsi="Times New Roman"/>
          <w:sz w:val="20"/>
        </w:rPr>
        <w:t xml:space="preserve">. At the date of this Agreement, the Representatives shall have received an agreement substantially in the form of Exhibit A hereto signed by each of the Company’s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Chief Financial Officer’s Certificate</w:t>
      </w:r>
      <w:r>
        <w:rPr>
          <w:rFonts w:ascii="Times New Roman" w:hAnsi="Times New Roman"/>
          <w:sz w:val="20"/>
        </w:rPr>
        <w:t xml:space="preserve">. The Representatives shall have received on the date of this Agreement and at the Closing Time a certificate dated as of the date hereof and as of the Closing Time, respectively, from the Chief Financial Officer of the Company, in form and substance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No Rated Securities</w:t>
      </w:r>
      <w:r>
        <w:rPr>
          <w:rFonts w:ascii="Times New Roman" w:hAnsi="Times New Roman"/>
          <w:sz w:val="20"/>
        </w:rPr>
        <w:t xml:space="preserve">. The Company does not have any debt securities or preferred stock that are rated by any “nationally recognized statistical rating organization” (as defined in Section 3(a)(62) of the 1934 Act).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Conditions to Purchase of Option Shares</w:t>
      </w:r>
      <w:r>
        <w:rPr>
          <w:rFonts w:ascii="Times New Roman" w:hAnsi="Times New Roman"/>
          <w:sz w:val="20"/>
        </w:rPr>
        <w:t xml:space="preserve">. In the event that the Underwriters exercise their option provided in Section 2(b) hereof to purchase all or any portion of the Option Shares, the representations and warranties of the Company contained herein and the statements in any certificates furnished by the Company hereunder shall be true and correct as of each Date of Delivery and, at the relevant Date of Delivery, the Representatives shall have received: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Officers’ Certificate</w:t>
      </w:r>
      <w:r>
        <w:rPr>
          <w:rFonts w:ascii="Times New Roman" w:hAnsi="Times New Roman"/>
          <w:sz w:val="20"/>
        </w:rPr>
        <w:t xml:space="preserve">. A certificate, dated such Date of Delivery, of the Chief Executive Officer of the Company and of the Chief Financial or Chief Accounting Officer of the Company confirming that the certificate delivered at the Closing Time pursuant to Section 5(e) hereof remains true and correct as of such Date of Delivery.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Opinion of Counsel for Company</w:t>
      </w:r>
      <w:r>
        <w:rPr>
          <w:rFonts w:ascii="Times New Roman" w:hAnsi="Times New Roman"/>
          <w:sz w:val="20"/>
        </w:rPr>
        <w:t xml:space="preserve">. If requested by the Representatives, the opinion and negative assurance letter of Skadden, Arps, Slate, Meagher &amp; Flom LLP, counsel for the Company, in form and substance reasonably satisfactory to counsel for the Underwriters, dated such Date of Delivery, relating to the Option Shares to be purchased on such Date of Delivery and otherwise to the same effect as the opinion required by Section 5(b) hereof.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Opinion of Intellectual Property Counsel for Company</w:t>
      </w:r>
      <w:r>
        <w:rPr>
          <w:rFonts w:ascii="Times New Roman" w:hAnsi="Times New Roman"/>
          <w:i/>
          <w:sz w:val="20"/>
        </w:rPr>
        <w:t>.</w:t>
      </w:r>
      <w:r>
        <w:rPr>
          <w:rFonts w:ascii="Times New Roman" w:hAnsi="Times New Roman"/>
          <w:sz w:val="20"/>
        </w:rPr>
        <w:t xml:space="preserve"> If requested by the Representatives, the opinion of Polsinelli PC, counsel for the Company with respect to intellectual property matters, in form and substance reasonably satisfactory to counsel for the Underwriters, dated such Date of Delivery, relating to the Option Shares to be purchased on such Date of Delivery and otherwise to the same effect as the opinion required by Section 5(c) hereof.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Opinion of Counsel for Underwriters</w:t>
      </w:r>
      <w:r>
        <w:rPr>
          <w:rFonts w:ascii="Times New Roman" w:hAnsi="Times New Roman"/>
          <w:sz w:val="20"/>
        </w:rPr>
        <w:t xml:space="preserve">. If requested by the Representatives, the opinion and negative assurance letter of Latham &amp; Watkins LLP, counsel for the Underwriters, dated such Date of Delivery, relating to the Option Shares to be purchased on such Date of Delivery and otherwise to the same effect as the opinion required by Section 5(d) hereof.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Bring-down Comfort Letter</w:t>
      </w:r>
      <w:r>
        <w:rPr>
          <w:rFonts w:ascii="Times New Roman" w:hAnsi="Times New Roman"/>
          <w:sz w:val="20"/>
        </w:rPr>
        <w:t xml:space="preserve">. If requested by the Representatives, a letter from Deloitte &amp; Touche LLP, in form and substance reasonably satisfactory to the Representatives and dated such Date of Delivery, substantially in the same form and substance as the letter furnished to the Representatives pursuant to Section 5(g) hereof, except that the “specified date” in the letter furnished pursuant to this paragraph shall be a date not more than three business days prior to such Date of Delivery.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Chief Financial Officer’s Certificate</w:t>
      </w:r>
      <w:r>
        <w:rPr>
          <w:rFonts w:ascii="Times New Roman" w:hAnsi="Times New Roman"/>
          <w:sz w:val="20"/>
        </w:rPr>
        <w:t xml:space="preserve">. If requested by the Representatives, a letter from the Chief Financial Officer of the Company, in form and substance reasonably satisfactory to the Representatives and dated such Date of Delivery, substantially in the same form and substance as the letter furnished to the Representatives pursuant to Section 5(k)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Additional Documents</w:t>
      </w:r>
      <w:r>
        <w:rPr>
          <w:rFonts w:ascii="Times New Roman" w:hAnsi="Times New Roman"/>
          <w:sz w:val="20"/>
        </w:rPr>
        <w:t xml:space="preserve">. At the Closing Time and at each Date of Delivery (if any) counsel for the Underwriters shall have been furnished with such customary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the Representatives and counsel for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Termination of Agreement</w:t>
      </w:r>
      <w:r>
        <w:rPr>
          <w:rFonts w:ascii="Times New Roman" w:hAnsi="Times New Roman"/>
          <w:sz w:val="20"/>
        </w:rPr>
        <w:t xml:space="preserve">. If any condition specified in this Section shall not have been fulfilled when and as required to be fulfilled, this Agreement, or, in the case of any condition to the purchase of Option Shares on a Date of Delivery which is after the Closing Time, the obligations of the several Underwriters to purchase the relevant Option Shares,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6, 7, 8, 14, 15, 16 and 17 shall survive any such termination and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Underwriters</w:t>
      </w:r>
      <w:r>
        <w:rPr>
          <w:rFonts w:ascii="Times New Roman" w:hAnsi="Times New Roman"/>
          <w:sz w:val="20"/>
        </w:rPr>
        <w:t xml:space="preserve">. The Company agrees to indemnify and hold harmless each Underwriter, its affiliates (as such term is defined in Rule 501(b) under the 1933 Act (each, an “Affiliate”)), its selling agents and each person, if any, who controls any Underwriter within the meaning of Section 15 of the 1933 Act or Section 20 of the 1934 Act as follows: </w:t>
      </w:r>
    </w:p>
    <w:p>
      <w:pPr>
        <w:pStyle w:val="TextBody"/>
        <w:bidi w:val="0"/>
        <w:spacing w:before="120" w:after="0"/>
        <w:jc w:val="left"/>
        <w:rPr>
          <w:rFonts w:ascii="Times New Roman" w:hAnsi="Times New Roman"/>
          <w:sz w:val="20"/>
        </w:rPr>
      </w:pPr>
      <w:r>
        <w:rPr>
          <w:rFonts w:ascii="Times New Roman" w:hAnsi="Times New Roman"/>
          <w:sz w:val="20"/>
        </w:rPr>
        <w:t xml:space="preserve">(i) 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prepared or authorized by the Company, any Written Testing-the-Waters Communication prepared or authorized by the Company, the General Disclosure Package or the Prospectus (or any amendment or supplement thereto), or (B) in any materials or information provided to investors by, or with the approval of, the Company in connection with the marketing of the offering of the Securities (“Marketing Materials”), including any roadshow (as defined in Rule 433(h) under the 1933 Act) or investor presentations made to investors by the Company (whether in person or electronically), or the omission or alleged omission in any preliminary prospectus, Issuer Free Writing Prospectus prepared or authorized by the Company, any Written Testing-the-Waters Communication prepared or authorized by the Company, Prospectus or in any Marketing Materials of a material fact necessary in order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(ii) against any and all loss, liability, claim, damage and expense whatsoever, as incurred, to the extent of the aggregate amount paid in settlement of any litigation, or any investigation or proceeding by any Governmental Entity, commenced or threatened, or of any claim whatsoever based upon any such untrue statement or omission, or any such alleged untrue statement or omission; provided that (subject to Section 6(d) below) any such settlement is effected with the written consent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against any and all expense whatsoever, as incurred (including the fees and disbursements of counsel chosen by the Representatives), reasonably incurred in investigating, preparing or defending against any litigation, or any investigation or proceeding by any Governmental Entity, commenced or threatened, or any claim whatsoever based upon any such untrue statement or omission, or any such alleged untrue statement or omission, to the extent that any such expense is not paid under (i) or (ii) above;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any preliminary prospectus, any Issuer Free Writing Prospectus, any Written Testing-the-Waters Communication, any Marketing Materials or the Prospectus (or any amendment or supplement thereto) in reliance upon and in conformity with the Underwriter Information.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Company, Directors and Officers</w:t>
      </w:r>
      <w:r>
        <w:rPr>
          <w:rFonts w:ascii="Times New Roman" w:hAnsi="Times New Roman"/>
          <w:sz w:val="20"/>
        </w:rPr>
        <w:t xml:space="preserve">. Each Underwriter severally agrees to indemnify and hold harmless the 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any preliminary prospectus, any Issuer Free Writing Prospectus, any Written Testing-the-Waters Communication, any Marketing Materials or the Prospectus (or any amendment or supplement thereto) in reliance upon and in conformity with the Underwriter Information.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Actions against Parties; Notification</w:t>
      </w:r>
      <w:r>
        <w:rPr>
          <w:rFonts w:ascii="Times New Roman" w:hAnsi="Times New Roman"/>
          <w:sz w:val="20"/>
        </w:rPr>
        <w:t xml:space="preserve">.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Entity,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Settlement without Consent if Failure to Reimburse</w:t>
      </w:r>
      <w:r>
        <w:rPr>
          <w:rFonts w:ascii="Times New Roman" w:hAnsi="Times New Roman"/>
          <w:sz w:val="20"/>
        </w:rPr>
        <w:t xml:space="preserve">. If at any time an indemnified party shall have requested an indemnifying party to reimburse the indemnified party for fees and expenses of counsel as contemplated by this Section 6, such indemnifying party agrees that it shall be liable for any settlement of the nature contemplated by Section 6(a)(ii) effected without its written consent if (i) such settlement is entered into more than 60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Contribution</w:t>
      </w:r>
      <w:r>
        <w:rPr>
          <w:rFonts w:ascii="Times New Roman" w:hAnsi="Times New Roman"/>
          <w:sz w:val="20"/>
        </w:rPr>
        <w:t xml:space="preserve">.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reasonably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(after deducting underwriting discounts and commissions but before deducting expenses) received by the Company, on the one hand, and the total underwriting discount received by the Underwriters, on the other hand, in each case as set forth on the cover of the Prospectus, bear to the aggregate initial public offering price of the Securities as set forth on the cover of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documented legal or other expenses reasonably incurred by such indemnified party in investigating, preparing or defending against any litigation, or any investigation or proceeding by any Governmental Entity, commenced or threatened, or any claim whatsoever based upon any such untrue or alleged untrue statement or omission or alleged omission.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Section 7, no Underwriter shall be required to contribute any amount in excess of the underwriting commissions received by such Underwriter in connection with the Securities underwritten by it and distributed to the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person guilty of fraudulent misrepresentation (within the meaning of Section 11(f) of the 1933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Initial Shares and Pre-Funded Warrants set forth opposite their respective names in Schedule A hereto and not joint.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Representations, Warranties and Agreements to Survive</w:t>
      </w:r>
      <w:r>
        <w:rPr>
          <w:rFonts w:ascii="Times New Roman" w:hAnsi="Times New Roman"/>
          <w:sz w:val="20"/>
        </w:rPr>
        <w:t xml:space="preserve">.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Termination of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Termination</w:t>
      </w:r>
      <w:r>
        <w:rPr>
          <w:rFonts w:ascii="Times New Roman" w:hAnsi="Times New Roman"/>
          <w:sz w:val="20"/>
        </w:rPr>
        <w:t xml:space="preserve">. The Representatives may terminate this Agreement, by notice to the Company, at any time at or prior to the Closing Time (i) if 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such as to make it, in the judgment of the Representatives, impractical or inadvisable to proceed with the completion of the offering contemplated hereby or to enforce contracts for sales of the Securities,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Global Select Market, or (iv) if trading generally on the NYSE American or the New York Stock Exchange or in the Nasdaq Global Select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(vi) if a banking moratorium has been declared by either Federal or New York authorities.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Liabilities</w:t>
      </w:r>
      <w:r>
        <w:rPr>
          <w:rFonts w:ascii="Times New Roman" w:hAnsi="Times New Roman"/>
          <w:sz w:val="20"/>
        </w:rPr>
        <w:t xml:space="preserve">. If this Agreement is terminated pursuant to this Section, such termination shall be without liability of any party to any other party except as provided in Section 4 hereof, and provided further that Sections 1, 6, 7, 8, 14, 15, 16 and 17 shall survive such termination and remain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Default by One or More of the Underwriters</w:t>
      </w:r>
      <w:r>
        <w:rPr>
          <w:rFonts w:ascii="Times New Roman" w:hAnsi="Times New Roman"/>
          <w:sz w:val="20"/>
        </w:rPr>
        <w:t xml:space="preserve">. If one or more of the Underwriters shall fail at the Closing Time or a Date of Delivery to purchase the Securities which it or they are obligated to purchase under this Agreement (the “Defaulted Securities”),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 </w:t>
      </w:r>
    </w:p>
    <w:p>
      <w:pPr>
        <w:pStyle w:val="TextBody"/>
        <w:bidi w:val="0"/>
        <w:spacing w:before="120" w:after="0"/>
        <w:jc w:val="left"/>
        <w:rPr>
          <w:rFonts w:ascii="Times New Roman" w:hAnsi="Times New Roman"/>
          <w:sz w:val="20"/>
        </w:rPr>
      </w:pPr>
      <w:r>
        <w:rPr>
          <w:rFonts w:ascii="Times New Roman" w:hAnsi="Times New Roman"/>
          <w:sz w:val="20"/>
        </w:rPr>
        <w:t xml:space="preserve">(i) 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 </w:t>
      </w:r>
    </w:p>
    <w:p>
      <w:pPr>
        <w:pStyle w:val="TextBody"/>
        <w:bidi w:val="0"/>
        <w:spacing w:before="120" w:after="0"/>
        <w:jc w:val="left"/>
        <w:rPr>
          <w:rFonts w:ascii="Times New Roman" w:hAnsi="Times New Roman"/>
          <w:sz w:val="20"/>
        </w:rPr>
      </w:pPr>
      <w:r>
        <w:rPr>
          <w:rFonts w:ascii="Times New Roman" w:hAnsi="Times New Roman"/>
          <w:sz w:val="20"/>
        </w:rPr>
        <w:t xml:space="preserve">(ii) 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Shares to be purchased and sold on such Date of Delivery shall terminate without liability on the part of any non-defaulting Underwriter. </w:t>
      </w:r>
    </w:p>
    <w:p>
      <w:pPr>
        <w:pStyle w:val="TextBody"/>
        <w:bidi w:val="0"/>
        <w:spacing w:before="240" w:after="0"/>
        <w:jc w:val="left"/>
        <w:rPr>
          <w:rFonts w:ascii="Times New Roman" w:hAnsi="Times New Roman"/>
          <w:sz w:val="20"/>
        </w:rPr>
      </w:pPr>
      <w:r>
        <w:rPr>
          <w:rFonts w:ascii="Times New Roman" w:hAnsi="Times New Roman"/>
          <w:sz w:val="20"/>
        </w:rPr>
        <w:t xml:space="preserve">No action taken pursuant to this Section shall relieve any defaulting Underwriter from liability in respect of its default.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Shares, as the case may be, either the (i) Representatives or (ii) the Company shall have the right to postpone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given if mailed or transmitted by any standard form of telecommunication. Notices to the Underwriters shall be directed to (i) Jefferies at 520 Madison Avenue, New York, New York 10022, attention: Equity Syndicate Department (email: Prospectus_Department@Jefferies.com); and (ii) Leerink Partners at 1301 Avenue of the Americas, 5th Floor, New York, New York 10019, attention of Stuart Nayman (facsimile: (646) 499-7051); and notices to the Company shall be directed to it at 825 Industrial Road, Suite 300, San Carlos, California 94070, attention of Andrew Guggenhime.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No Advisory or Fiduciary Relationship</w:t>
      </w:r>
      <w:r>
        <w:rPr>
          <w:rFonts w:ascii="Times New Roman" w:hAnsi="Times New Roman"/>
          <w:sz w:val="20"/>
        </w:rPr>
        <w:t xml:space="preserve">. The Company acknowledges and agrees that (a) the purchase and sale of the Securities pursuant to this Agreement, including the determination of the initial public offering price of the Securities and any related discounts and commissions, is an arm’s-length commercial transaction between the Company, on the one hand, and the several Underwriters, on the other hand, and does not constitute a recommendation, investment advice, or solicitation of any action by the Underwriters, (b) in connection with the offering of the Securities and the process leading thereto, each Underwriter is and has been acting solely as a principal and is not the agent or fiduciary of the Company, any of its subsidiaries or its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obligations expressly set forth in this Agreement, (d) the Underwriters and their respective Affiliates may be engaged in a broad range of transactions that involve interests that differ from those of the Company, (e) the Underwriters have not provided any legal, accounting, financial, regulatory, investment or tax advice with respect to the offering of the Securities and the Company has consulted its own respective legal, accounting, financial, regulatory and tax advisors to the extent it deemed appropriate, and (f) none of the activities of the Underwriters in connection with the transactions contemplated herein constitutes a recommendation, investment advice or solicitation of any action by the Underwriters with respect to any entity or natural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13,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Parties</w:t>
      </w:r>
      <w:r>
        <w:rPr>
          <w:rFonts w:ascii="Times New Roman" w:hAnsi="Times New Roman"/>
          <w:sz w:val="20"/>
        </w:rPr>
        <w:t xml:space="preserve">. This Agreement shall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Trial by Jury</w:t>
      </w:r>
      <w:r>
        <w:rPr>
          <w:rFonts w:ascii="Times New Roman" w:hAnsi="Times New Roman"/>
          <w:sz w:val="20"/>
        </w:rPr>
        <w:t xml:space="preserve">.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WITHOUT REGARD TO ITS CHOICE OF LAW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Consent to Jurisdiction</w:t>
      </w:r>
      <w:r>
        <w:rPr>
          <w:rFonts w:ascii="Times New Roman" w:hAnsi="Times New Roman"/>
          <w:sz w:val="20"/>
        </w:rPr>
        <w:t xml:space="preserve">.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TIME</w:t>
      </w:r>
      <w:r>
        <w:rPr>
          <w:rFonts w:ascii="Times New Roman" w:hAnsi="Times New Roman"/>
          <w:sz w:val="20"/>
        </w:rPr>
        <w:t xml:space="preserve">. TIME SHALL BE OF THE ESSENCE OF THIS AGREEMENT. EXCEPT AS OTHERWISE SET FORTH HEREIN, SPECIFIED TIMES OF DAY REFER TO NEW YORK CITY TIME.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Counterparts and Electronic Signatures</w:t>
      </w:r>
      <w:r>
        <w:rPr>
          <w:rFonts w:ascii="Times New Roman" w:hAnsi="Times New Roman"/>
          <w:sz w:val="20"/>
        </w:rPr>
        <w:t xml:space="preserve">. This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 </w:t>
      </w:r>
    </w:p>
    <w:p>
      <w:pPr>
        <w:pStyle w:val="TextBody"/>
        <w:bidi w:val="0"/>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Effect of Headings</w:t>
      </w:r>
      <w:r>
        <w:rPr>
          <w:rFonts w:ascii="Times New Roman" w:hAnsi="Times New Roman"/>
          <w:sz w:val="20"/>
        </w:rPr>
        <w:t xml:space="preserve">. The Section headings herein are for convenience only and shall not affect the construction hereof.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3"/>
        <w:gridCol w:w="61"/>
        <w:gridCol w:w="3648"/>
      </w:tblGrid>
      <w:tr>
        <w:trPr/>
        <w:tc>
          <w:tcPr>
            <w:tcW w:w="37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VAXCYTE, INC.</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283"/>
              <w:jc w:val="left"/>
              <w:rPr/>
            </w:pPr>
            <w:r>
              <w:rPr/>
              <w:t>/s/ Andrew Guggenhime</w:t>
            </w:r>
          </w:p>
        </w:tc>
      </w:tr>
      <w:tr>
        <w:trPr/>
        <w:tc>
          <w:tcPr>
            <w:tcW w:w="37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Name: Andrew Guggenhime</w:t>
            </w:r>
          </w:p>
        </w:tc>
      </w:tr>
      <w:tr>
        <w:trPr/>
        <w:tc>
          <w:tcPr>
            <w:tcW w:w="37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Title: President and 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CONFIRMED AND ACCEPTED,</w:t>
              <w:br/>
              <w:t>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JEFFERIES LLC</w:t>
            </w:r>
          </w:p>
        </w:tc>
      </w:tr>
      <w:tr>
        <w:trPr/>
        <w:tc>
          <w:tcPr>
            <w:tcW w:w="4082" w:type="dxa"/>
            <w:gridSpan w:val="3"/>
            <w:tcBorders/>
          </w:tcPr>
          <w:p>
            <w:pPr>
              <w:pStyle w:val="TableContents"/>
              <w:bidi w:val="0"/>
              <w:spacing w:before="0" w:after="283"/>
              <w:jc w:val="left"/>
              <w:rPr/>
            </w:pPr>
            <w:r>
              <w:rPr/>
              <w:t>LEERINK PARTNERS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JEFFERIES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Michael Brinkman</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Name: Michael Brinkman</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LEERINK PARTNERS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Anurag Jindal, M.D.</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Name: Anurag Jindal, M.D.</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Title: Senior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For themselves and as Representatives of the other Underwriters named in Schedule A hereto.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A </w:t>
      </w:r>
    </w:p>
    <w:p>
      <w:pPr>
        <w:pStyle w:val="TextBody"/>
        <w:bidi w:val="0"/>
        <w:spacing w:before="240" w:after="0"/>
        <w:jc w:val="left"/>
        <w:rPr>
          <w:rFonts w:ascii="Times New Roman" w:hAnsi="Times New Roman"/>
          <w:sz w:val="20"/>
        </w:rPr>
      </w:pPr>
      <w:r>
        <w:rPr>
          <w:rFonts w:ascii="Times New Roman" w:hAnsi="Times New Roman"/>
          <w:sz w:val="20"/>
        </w:rPr>
        <w:t xml:space="preserve">The public offering price per share for the Securities shall be: (i) $64.00 in respect of the shares of Common Stock and (ii) $63.999 in respect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per share for the Securities to be paid by the several Underwriters shall be: (i) $60.64 in respect of the shares of Common Stock, subject to adjustment in accordance with Section 2(b) for dividends or distributions declared by the Company and payable on the Initial Shares but not payable on the Option Shares, and (ii) $60.639 in respect of the Pre-Funded Warrants.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308"/>
        <w:gridCol w:w="229"/>
        <w:gridCol w:w="72"/>
        <w:gridCol w:w="1182"/>
        <w:gridCol w:w="60"/>
        <w:gridCol w:w="229"/>
        <w:gridCol w:w="142"/>
        <w:gridCol w:w="1908"/>
        <w:gridCol w:w="60"/>
        <w:gridCol w:w="229"/>
        <w:gridCol w:w="120"/>
        <w:gridCol w:w="1970"/>
        <w:gridCol w:w="63"/>
      </w:tblGrid>
      <w:tr>
        <w:trPr/>
        <w:tc>
          <w:tcPr>
            <w:tcW w:w="2308"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308"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Name of Underwriter</w:t>
            </w:r>
          </w:p>
        </w:tc>
        <w:tc>
          <w:tcPr>
            <w:tcW w:w="229" w:type="dxa"/>
            <w:tcBorders/>
            <w:vAlign w:val="bottom"/>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bottom"/>
          </w:tcPr>
          <w:p>
            <w:pPr>
              <w:pStyle w:val="TableContents"/>
              <w:bidi w:val="0"/>
              <w:spacing w:before="0" w:after="283"/>
              <w:jc w:val="center"/>
              <w:rPr/>
            </w:pPr>
            <w:r>
              <w:rPr/>
              <w:t>Number of</w:t>
              <w:br/>
              <w:t>Initial Shares</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050" w:type="dxa"/>
            <w:gridSpan w:val="2"/>
            <w:tcBorders>
              <w:bottom w:val="single" w:sz="8" w:space="0" w:color="000000"/>
            </w:tcBorders>
            <w:tcMar>
              <w:bottom w:w="28" w:type="dxa"/>
            </w:tcMar>
            <w:vAlign w:val="bottom"/>
          </w:tcPr>
          <w:p>
            <w:pPr>
              <w:pStyle w:val="TableContents"/>
              <w:bidi w:val="0"/>
              <w:spacing w:before="0" w:after="283"/>
              <w:jc w:val="center"/>
              <w:rPr/>
            </w:pPr>
            <w:r>
              <w:rPr/>
              <w:t>Number of</w:t>
              <w:br/>
              <w:t>Pre-Funded Warrants</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090" w:type="dxa"/>
            <w:gridSpan w:val="2"/>
            <w:tcBorders>
              <w:bottom w:val="single" w:sz="8" w:space="0" w:color="000000"/>
            </w:tcBorders>
            <w:tcMar>
              <w:bottom w:w="28" w:type="dxa"/>
            </w:tcMar>
            <w:vAlign w:val="bottom"/>
          </w:tcPr>
          <w:p>
            <w:pPr>
              <w:pStyle w:val="TableContents"/>
              <w:bidi w:val="0"/>
              <w:spacing w:before="0" w:after="283"/>
              <w:jc w:val="center"/>
              <w:rPr/>
            </w:pPr>
            <w:r>
              <w:rPr/>
              <w:t>Maximum Number of</w:t>
              <w:br/>
              <w:t>Option Shares</w:t>
            </w:r>
          </w:p>
        </w:tc>
        <w:tc>
          <w:tcPr>
            <w:tcW w:w="63" w:type="dxa"/>
            <w:tcBorders/>
            <w:vAlign w:val="bottom"/>
          </w:tcPr>
          <w:p>
            <w:pPr>
              <w:pStyle w:val="TableContents"/>
              <w:bidi w:val="0"/>
              <w:spacing w:before="0" w:after="283"/>
              <w:jc w:val="left"/>
              <w:rPr/>
            </w:pPr>
            <w:r>
              <w:rPr/>
              <w:t> </w:t>
            </w:r>
          </w:p>
        </w:tc>
      </w:tr>
      <w:tr>
        <w:trPr/>
        <w:tc>
          <w:tcPr>
            <w:tcW w:w="2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229"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1,556,625</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8" w:type="dxa"/>
            <w:tcBorders/>
            <w:shd w:fill="CCEEFF" w:val="clear"/>
            <w:vAlign w:val="bottom"/>
          </w:tcPr>
          <w:p>
            <w:pPr>
              <w:pStyle w:val="TableContents"/>
              <w:bidi w:val="0"/>
              <w:spacing w:before="0" w:after="283"/>
              <w:jc w:val="right"/>
              <w:rPr/>
            </w:pPr>
            <w:r>
              <w:rPr/>
              <w:t>84,000</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70" w:type="dxa"/>
            <w:tcBorders/>
            <w:shd w:fill="CCEEFF" w:val="clear"/>
            <w:vAlign w:val="bottom"/>
          </w:tcPr>
          <w:p>
            <w:pPr>
              <w:pStyle w:val="TableContents"/>
              <w:bidi w:val="0"/>
              <w:spacing w:before="0" w:after="283"/>
              <w:jc w:val="right"/>
              <w:rPr/>
            </w:pPr>
            <w:r>
              <w:rPr/>
              <w:t>246,094</w:t>
            </w:r>
          </w:p>
        </w:tc>
        <w:tc>
          <w:tcPr>
            <w:tcW w:w="63" w:type="dxa"/>
            <w:tcBorders/>
            <w:shd w:fill="CCEEFF" w:val="clear"/>
            <w:vAlign w:val="bottom"/>
          </w:tcPr>
          <w:p>
            <w:pPr>
              <w:pStyle w:val="TableContents"/>
              <w:bidi w:val="0"/>
              <w:spacing w:before="0" w:after="283"/>
              <w:jc w:val="left"/>
              <w:rPr/>
            </w:pPr>
            <w:r>
              <w:rPr/>
              <w:t> </w:t>
            </w:r>
          </w:p>
        </w:tc>
      </w:tr>
      <w:tr>
        <w:trPr/>
        <w:tc>
          <w:tcPr>
            <w:tcW w:w="2308" w:type="dxa"/>
            <w:tcBorders/>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229"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1,556,625</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8" w:type="dxa"/>
            <w:tcBorders/>
            <w:vAlign w:val="bottom"/>
          </w:tcPr>
          <w:p>
            <w:pPr>
              <w:pStyle w:val="TableContents"/>
              <w:bidi w:val="0"/>
              <w:spacing w:before="0" w:after="283"/>
              <w:jc w:val="right"/>
              <w:rPr/>
            </w:pPr>
            <w:r>
              <w:rPr/>
              <w:t>84,000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70" w:type="dxa"/>
            <w:tcBorders/>
            <w:vAlign w:val="bottom"/>
          </w:tcPr>
          <w:p>
            <w:pPr>
              <w:pStyle w:val="TableContents"/>
              <w:bidi w:val="0"/>
              <w:spacing w:before="0" w:after="283"/>
              <w:jc w:val="right"/>
              <w:rPr/>
            </w:pPr>
            <w:r>
              <w:rPr/>
              <w:t>246,094</w:t>
            </w:r>
          </w:p>
        </w:tc>
        <w:tc>
          <w:tcPr>
            <w:tcW w:w="63" w:type="dxa"/>
            <w:tcBorders/>
            <w:vAlign w:val="bottom"/>
          </w:tcPr>
          <w:p>
            <w:pPr>
              <w:pStyle w:val="TableContents"/>
              <w:bidi w:val="0"/>
              <w:spacing w:before="0" w:after="283"/>
              <w:jc w:val="left"/>
              <w:rPr/>
            </w:pPr>
            <w:r>
              <w:rPr/>
              <w:t> </w:t>
            </w:r>
          </w:p>
        </w:tc>
      </w:tr>
      <w:tr>
        <w:trPr/>
        <w:tc>
          <w:tcPr>
            <w:tcW w:w="2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229"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889,500</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8" w:type="dxa"/>
            <w:tcBorders/>
            <w:shd w:fill="CCEEFF" w:val="clear"/>
            <w:vAlign w:val="bottom"/>
          </w:tcPr>
          <w:p>
            <w:pPr>
              <w:pStyle w:val="TableContents"/>
              <w:bidi w:val="0"/>
              <w:spacing w:before="0" w:after="283"/>
              <w:jc w:val="right"/>
              <w:rPr/>
            </w:pPr>
            <w:r>
              <w:rPr/>
              <w:t>48,000</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70" w:type="dxa"/>
            <w:tcBorders/>
            <w:shd w:fill="CCEEFF" w:val="clear"/>
            <w:vAlign w:val="bottom"/>
          </w:tcPr>
          <w:p>
            <w:pPr>
              <w:pStyle w:val="TableContents"/>
              <w:bidi w:val="0"/>
              <w:spacing w:before="0" w:after="283"/>
              <w:jc w:val="right"/>
              <w:rPr/>
            </w:pPr>
            <w:r>
              <w:rPr/>
              <w:t>140,625</w:t>
            </w:r>
          </w:p>
        </w:tc>
        <w:tc>
          <w:tcPr>
            <w:tcW w:w="63" w:type="dxa"/>
            <w:tcBorders/>
            <w:shd w:fill="CCEEFF" w:val="clear"/>
            <w:vAlign w:val="bottom"/>
          </w:tcPr>
          <w:p>
            <w:pPr>
              <w:pStyle w:val="TableContents"/>
              <w:bidi w:val="0"/>
              <w:spacing w:before="0" w:after="283"/>
              <w:jc w:val="left"/>
              <w:rPr/>
            </w:pPr>
            <w:r>
              <w:rPr/>
              <w:t> </w:t>
            </w:r>
          </w:p>
        </w:tc>
      </w:tr>
      <w:tr>
        <w:trPr/>
        <w:tc>
          <w:tcPr>
            <w:tcW w:w="2308" w:type="dxa"/>
            <w:tcBorders/>
          </w:tcPr>
          <w:p>
            <w:pPr>
              <w:pStyle w:val="TableContents"/>
              <w:bidi w:val="0"/>
              <w:spacing w:before="0" w:after="0"/>
              <w:jc w:val="left"/>
              <w:rPr>
                <w:rFonts w:ascii="Times New Roman" w:hAnsi="Times New Roman"/>
                <w:sz w:val="20"/>
              </w:rPr>
            </w:pPr>
            <w:r>
              <w:rPr>
                <w:rFonts w:ascii="Times New Roman" w:hAnsi="Times New Roman"/>
                <w:sz w:val="20"/>
              </w:rPr>
              <w:t>Evercore Group L.L.C.</w:t>
            </w:r>
          </w:p>
        </w:tc>
        <w:tc>
          <w:tcPr>
            <w:tcW w:w="229"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889,500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8" w:type="dxa"/>
            <w:tcBorders/>
            <w:vAlign w:val="bottom"/>
          </w:tcPr>
          <w:p>
            <w:pPr>
              <w:pStyle w:val="TableContents"/>
              <w:bidi w:val="0"/>
              <w:spacing w:before="0" w:after="283"/>
              <w:jc w:val="right"/>
              <w:rPr/>
            </w:pPr>
            <w:r>
              <w:rPr/>
              <w:t>48,000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70" w:type="dxa"/>
            <w:tcBorders/>
            <w:vAlign w:val="bottom"/>
          </w:tcPr>
          <w:p>
            <w:pPr>
              <w:pStyle w:val="TableContents"/>
              <w:bidi w:val="0"/>
              <w:spacing w:before="0" w:after="283"/>
              <w:jc w:val="right"/>
              <w:rPr/>
            </w:pPr>
            <w:r>
              <w:rPr/>
              <w:t>140,625</w:t>
            </w:r>
          </w:p>
        </w:tc>
        <w:tc>
          <w:tcPr>
            <w:tcW w:w="63" w:type="dxa"/>
            <w:tcBorders/>
            <w:vAlign w:val="bottom"/>
          </w:tcPr>
          <w:p>
            <w:pPr>
              <w:pStyle w:val="TableContents"/>
              <w:bidi w:val="0"/>
              <w:spacing w:before="0" w:after="283"/>
              <w:jc w:val="left"/>
              <w:rPr/>
            </w:pPr>
            <w:r>
              <w:rPr/>
              <w:t> </w:t>
            </w:r>
          </w:p>
        </w:tc>
      </w:tr>
      <w:tr>
        <w:trPr/>
        <w:tc>
          <w:tcPr>
            <w:tcW w:w="2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229"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889,500</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8" w:type="dxa"/>
            <w:tcBorders/>
            <w:shd w:fill="CCEEFF" w:val="clear"/>
            <w:vAlign w:val="bottom"/>
          </w:tcPr>
          <w:p>
            <w:pPr>
              <w:pStyle w:val="TableContents"/>
              <w:bidi w:val="0"/>
              <w:spacing w:before="0" w:after="283"/>
              <w:jc w:val="right"/>
              <w:rPr/>
            </w:pPr>
            <w:r>
              <w:rPr/>
              <w:t>48,000</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70" w:type="dxa"/>
            <w:tcBorders/>
            <w:shd w:fill="CCEEFF" w:val="clear"/>
            <w:vAlign w:val="bottom"/>
          </w:tcPr>
          <w:p>
            <w:pPr>
              <w:pStyle w:val="TableContents"/>
              <w:bidi w:val="0"/>
              <w:spacing w:before="0" w:after="283"/>
              <w:jc w:val="right"/>
              <w:rPr/>
            </w:pPr>
            <w:r>
              <w:rPr/>
              <w:t>140,625</w:t>
            </w:r>
          </w:p>
        </w:tc>
        <w:tc>
          <w:tcPr>
            <w:tcW w:w="63" w:type="dxa"/>
            <w:tcBorders/>
            <w:shd w:fill="CCEEFF" w:val="clear"/>
            <w:vAlign w:val="bottom"/>
          </w:tcPr>
          <w:p>
            <w:pPr>
              <w:pStyle w:val="TableContents"/>
              <w:bidi w:val="0"/>
              <w:spacing w:before="0" w:after="283"/>
              <w:jc w:val="left"/>
              <w:rPr/>
            </w:pPr>
            <w:r>
              <w:rPr/>
              <w:t> </w:t>
            </w:r>
          </w:p>
        </w:tc>
      </w:tr>
      <w:tr>
        <w:trPr/>
        <w:tc>
          <w:tcPr>
            <w:tcW w:w="2308"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229"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889,500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8" w:type="dxa"/>
            <w:tcBorders/>
            <w:vAlign w:val="bottom"/>
          </w:tcPr>
          <w:p>
            <w:pPr>
              <w:pStyle w:val="TableContents"/>
              <w:bidi w:val="0"/>
              <w:spacing w:before="0" w:after="283"/>
              <w:jc w:val="right"/>
              <w:rPr/>
            </w:pPr>
            <w:r>
              <w:rPr/>
              <w:t>48,000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70" w:type="dxa"/>
            <w:tcBorders/>
            <w:vAlign w:val="bottom"/>
          </w:tcPr>
          <w:p>
            <w:pPr>
              <w:pStyle w:val="TableContents"/>
              <w:bidi w:val="0"/>
              <w:spacing w:before="0" w:after="283"/>
              <w:jc w:val="right"/>
              <w:rPr/>
            </w:pPr>
            <w:r>
              <w:rPr/>
              <w:t>140,625</w:t>
            </w:r>
          </w:p>
        </w:tc>
        <w:tc>
          <w:tcPr>
            <w:tcW w:w="63" w:type="dxa"/>
            <w:tcBorders/>
            <w:vAlign w:val="bottom"/>
          </w:tcPr>
          <w:p>
            <w:pPr>
              <w:pStyle w:val="TableContents"/>
              <w:bidi w:val="0"/>
              <w:spacing w:before="0" w:after="283"/>
              <w:jc w:val="left"/>
              <w:rPr/>
            </w:pPr>
            <w:r>
              <w:rPr/>
              <w:t> </w:t>
            </w:r>
          </w:p>
        </w:tc>
      </w:tr>
      <w:tr>
        <w:trPr/>
        <w:tc>
          <w:tcPr>
            <w:tcW w:w="2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229"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593,000</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8" w:type="dxa"/>
            <w:tcBorders/>
            <w:shd w:fill="CCEEFF" w:val="clear"/>
            <w:vAlign w:val="bottom"/>
          </w:tcPr>
          <w:p>
            <w:pPr>
              <w:pStyle w:val="TableContents"/>
              <w:bidi w:val="0"/>
              <w:spacing w:before="0" w:after="283"/>
              <w:jc w:val="right"/>
              <w:rPr/>
            </w:pPr>
            <w:r>
              <w:rPr/>
              <w:t>32,000</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70" w:type="dxa"/>
            <w:tcBorders/>
            <w:shd w:fill="CCEEFF" w:val="clear"/>
            <w:vAlign w:val="bottom"/>
          </w:tcPr>
          <w:p>
            <w:pPr>
              <w:pStyle w:val="TableContents"/>
              <w:bidi w:val="0"/>
              <w:spacing w:before="0" w:after="283"/>
              <w:jc w:val="right"/>
              <w:rPr/>
            </w:pPr>
            <w:r>
              <w:rPr/>
              <w:t>93,750</w:t>
            </w:r>
          </w:p>
        </w:tc>
        <w:tc>
          <w:tcPr>
            <w:tcW w:w="63" w:type="dxa"/>
            <w:tcBorders/>
            <w:shd w:fill="CCEEFF" w:val="clear"/>
            <w:vAlign w:val="bottom"/>
          </w:tcPr>
          <w:p>
            <w:pPr>
              <w:pStyle w:val="TableContents"/>
              <w:bidi w:val="0"/>
              <w:spacing w:before="0" w:after="283"/>
              <w:jc w:val="left"/>
              <w:rPr/>
            </w:pPr>
            <w:r>
              <w:rPr/>
              <w:t> </w:t>
            </w:r>
          </w:p>
        </w:tc>
      </w:tr>
      <w:tr>
        <w:trPr/>
        <w:tc>
          <w:tcPr>
            <w:tcW w:w="2308" w:type="dxa"/>
            <w:tcBorders/>
          </w:tcPr>
          <w:p>
            <w:pPr>
              <w:pStyle w:val="TableContents"/>
              <w:bidi w:val="0"/>
              <w:spacing w:before="0" w:after="0"/>
              <w:jc w:val="left"/>
              <w:rPr>
                <w:rFonts w:ascii="Times New Roman" w:hAnsi="Times New Roman"/>
                <w:sz w:val="20"/>
              </w:rPr>
            </w:pPr>
            <w:r>
              <w:rPr>
                <w:rFonts w:ascii="Times New Roman" w:hAnsi="Times New Roman"/>
                <w:sz w:val="20"/>
              </w:rPr>
              <w:t>BTIG, LLC</w:t>
            </w:r>
          </w:p>
        </w:tc>
        <w:tc>
          <w:tcPr>
            <w:tcW w:w="229"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148,250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8" w:type="dxa"/>
            <w:tcBorders/>
            <w:vAlign w:val="bottom"/>
          </w:tcPr>
          <w:p>
            <w:pPr>
              <w:pStyle w:val="TableContents"/>
              <w:bidi w:val="0"/>
              <w:spacing w:before="0" w:after="283"/>
              <w:jc w:val="right"/>
              <w:rPr/>
            </w:pPr>
            <w:r>
              <w:rPr/>
              <w:t>8,000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70" w:type="dxa"/>
            <w:tcBorders/>
            <w:vAlign w:val="bottom"/>
          </w:tcPr>
          <w:p>
            <w:pPr>
              <w:pStyle w:val="TableContents"/>
              <w:bidi w:val="0"/>
              <w:spacing w:before="0" w:after="283"/>
              <w:jc w:val="right"/>
              <w:rPr/>
            </w:pPr>
            <w:r>
              <w:rPr/>
              <w:t>23,437</w:t>
            </w:r>
          </w:p>
        </w:tc>
        <w:tc>
          <w:tcPr>
            <w:tcW w:w="63" w:type="dxa"/>
            <w:tcBorders/>
            <w:vAlign w:val="bottom"/>
          </w:tcPr>
          <w:p>
            <w:pPr>
              <w:pStyle w:val="TableContents"/>
              <w:bidi w:val="0"/>
              <w:spacing w:before="0" w:after="283"/>
              <w:jc w:val="left"/>
              <w:rPr/>
            </w:pPr>
            <w:r>
              <w:rPr/>
              <w:t> </w:t>
            </w:r>
          </w:p>
        </w:tc>
      </w:tr>
      <w:tr>
        <w:trPr/>
        <w:tc>
          <w:tcPr>
            <w:tcW w:w="230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9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197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9"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7,412,500</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8" w:type="dxa"/>
            <w:tcBorders/>
            <w:shd w:fill="CCEEFF" w:val="clear"/>
            <w:vAlign w:val="bottom"/>
          </w:tcPr>
          <w:p>
            <w:pPr>
              <w:pStyle w:val="TableContents"/>
              <w:bidi w:val="0"/>
              <w:spacing w:before="0" w:after="283"/>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70" w:type="dxa"/>
            <w:tcBorders/>
            <w:shd w:fill="CCEEFF" w:val="clear"/>
            <w:vAlign w:val="bottom"/>
          </w:tcPr>
          <w:p>
            <w:pPr>
              <w:pStyle w:val="TableContents"/>
              <w:bidi w:val="0"/>
              <w:spacing w:before="0" w:after="283"/>
              <w:jc w:val="right"/>
              <w:rPr/>
            </w:pPr>
            <w:r>
              <w:rPr/>
              <w:t>1,171,875</w:t>
            </w:r>
          </w:p>
        </w:tc>
        <w:tc>
          <w:tcPr>
            <w:tcW w:w="63" w:type="dxa"/>
            <w:tcBorders/>
            <w:shd w:fill="CCEEFF" w:val="clear"/>
            <w:vAlign w:val="bottom"/>
          </w:tcPr>
          <w:p>
            <w:pPr>
              <w:pStyle w:val="TableContents"/>
              <w:bidi w:val="0"/>
              <w:spacing w:before="0" w:after="283"/>
              <w:jc w:val="left"/>
              <w:rPr/>
            </w:pPr>
            <w:r>
              <w:rPr/>
              <w:t> </w:t>
            </w:r>
          </w:p>
        </w:tc>
      </w:tr>
      <w:tr>
        <w:trPr/>
        <w:tc>
          <w:tcPr>
            <w:tcW w:w="230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9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197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A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B-1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Pricing Term Sheet </w:t>
      </w:r>
    </w:p>
    <w:p>
      <w:pPr>
        <w:pStyle w:val="TextBody"/>
        <w:bidi w:val="0"/>
        <w:spacing w:before="120" w:after="0"/>
        <w:jc w:val="center"/>
        <w:rPr>
          <w:rFonts w:ascii="Times New Roman" w:hAnsi="Times New Roman"/>
          <w:sz w:val="20"/>
        </w:rPr>
      </w:pPr>
      <w:r>
        <w:rPr>
          <w:rFonts w:ascii="Times New Roman" w:hAnsi="Times New Roman"/>
          <w:sz w:val="20"/>
        </w:rPr>
        <w:t>(</w:t>
      </w:r>
      <w:r>
        <w:rPr>
          <w:rFonts w:ascii="Times New Roman" w:hAnsi="Times New Roman"/>
          <w:i/>
          <w:sz w:val="20"/>
        </w:rPr>
        <w:t>attached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 - 1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0" w:after="0"/>
        <w:jc w:val="center"/>
        <w:rPr>
          <w:rFonts w:ascii="Times New Roman" w:hAnsi="Times New Roman"/>
          <w:b/>
          <w:sz w:val="20"/>
        </w:rPr>
      </w:pPr>
      <w:r>
        <w:rPr>
          <w:rFonts w:ascii="Times New Roman" w:hAnsi="Times New Roman"/>
          <w:b/>
          <w:sz w:val="20"/>
        </w:rPr>
        <w:t xml:space="preserve">October 6, 2026 </w:t>
      </w:r>
    </w:p>
    <w:p>
      <w:pPr>
        <w:pStyle w:val="TextBody"/>
        <w:bidi w:val="0"/>
        <w:spacing w:before="120" w:after="0"/>
        <w:jc w:val="center"/>
        <w:rPr>
          <w:rFonts w:ascii="Times New Roman" w:hAnsi="Times New Roman"/>
          <w:b/>
          <w:sz w:val="20"/>
        </w:rPr>
      </w:pPr>
      <w:r>
        <w:rPr>
          <w:rFonts w:ascii="Times New Roman" w:hAnsi="Times New Roman"/>
          <w:b/>
          <w:sz w:val="20"/>
        </w:rPr>
        <w:t xml:space="preserve">Vaxcyte, Inc. </w:t>
      </w:r>
    </w:p>
    <w:p>
      <w:pPr>
        <w:pStyle w:val="TextBody"/>
        <w:bidi w:val="0"/>
        <w:spacing w:before="0" w:after="0"/>
        <w:jc w:val="center"/>
        <w:rPr>
          <w:rFonts w:ascii="Times New Roman" w:hAnsi="Times New Roman"/>
          <w:b/>
          <w:sz w:val="20"/>
        </w:rPr>
      </w:pPr>
      <w:r>
        <w:rPr>
          <w:rFonts w:ascii="Times New Roman" w:hAnsi="Times New Roman"/>
          <w:b/>
          <w:sz w:val="20"/>
        </w:rPr>
        <w:t xml:space="preserve">Offerings of </w:t>
      </w:r>
    </w:p>
    <w:p>
      <w:pPr>
        <w:pStyle w:val="TextBody"/>
        <w:bidi w:val="0"/>
        <w:spacing w:before="0" w:after="0"/>
        <w:jc w:val="center"/>
        <w:rPr>
          <w:rFonts w:ascii="Times New Roman" w:hAnsi="Times New Roman"/>
          <w:b/>
          <w:sz w:val="20"/>
        </w:rPr>
      </w:pPr>
      <w:r>
        <w:rPr>
          <w:rFonts w:ascii="Times New Roman" w:hAnsi="Times New Roman"/>
          <w:b/>
          <w:sz w:val="20"/>
        </w:rPr>
        <w:t xml:space="preserve">7,412,500 Shares of Common Stock and Pre-Funded Warrants to Purchase 400,000 Shares of Common Stock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$500,000,000 Aggregate Principal Amount of </w:t>
      </w:r>
    </w:p>
    <w:p>
      <w:pPr>
        <w:pStyle w:val="TextBody"/>
        <w:bidi w:val="0"/>
        <w:spacing w:before="0" w:after="0"/>
        <w:jc w:val="center"/>
        <w:rPr>
          <w:rFonts w:ascii="Times New Roman" w:hAnsi="Times New Roman"/>
          <w:b/>
          <w:sz w:val="20"/>
        </w:rPr>
      </w:pPr>
      <w:r>
        <w:rPr>
          <w:rFonts w:ascii="Times New Roman" w:hAnsi="Times New Roman"/>
          <w:b/>
          <w:sz w:val="20"/>
        </w:rPr>
        <w:t xml:space="preserve">1.50% Convertible Senior Notes due 2032 </w:t>
      </w:r>
    </w:p>
    <w:p>
      <w:pPr>
        <w:pStyle w:val="TextBody"/>
        <w:bidi w:val="0"/>
        <w:spacing w:before="240" w:after="0"/>
        <w:jc w:val="left"/>
        <w:rPr>
          <w:rFonts w:ascii="Times New Roman" w:hAnsi="Times New Roman"/>
          <w:sz w:val="20"/>
        </w:rPr>
      </w:pPr>
      <w:r>
        <w:rPr>
          <w:rFonts w:ascii="Times New Roman" w:hAnsi="Times New Roman"/>
          <w:i/>
          <w:sz w:val="20"/>
        </w:rPr>
        <w:t>The information in this pricing term sheet supplements Vaxcyte, Inc.’s preliminary prospectus supplement, dated October</w:t>
      </w:r>
      <w:r>
        <w:rPr>
          <w:rFonts w:ascii="Times New Roman" w:hAnsi="Times New Roman"/>
          <w:sz w:val="20"/>
        </w:rPr>
        <w:t> </w:t>
      </w:r>
      <w:r>
        <w:rPr>
          <w:rFonts w:ascii="Times New Roman" w:hAnsi="Times New Roman"/>
          <w:i/>
          <w:sz w:val="20"/>
        </w:rPr>
        <w:t>5, 2026</w:t>
      </w:r>
      <w:r>
        <w:rPr>
          <w:rFonts w:ascii="Times New Roman" w:hAnsi="Times New Roman"/>
          <w:sz w:val="20"/>
        </w:rPr>
        <w:t xml:space="preserve"> </w:t>
      </w:r>
      <w:r>
        <w:rPr>
          <w:rFonts w:ascii="Times New Roman" w:hAnsi="Times New Roman"/>
          <w:i/>
          <w:sz w:val="20"/>
        </w:rPr>
        <w:t>(the “Common Stock Preliminary Prospectus Supplement”), relating to an offering of common stock and pre-funded warrants to purchase shares of common stock (the “Common Stock Offering”), and Vaxcyte, Inc.’s preliminary prospectus supplement, dated October</w:t>
      </w:r>
      <w:r>
        <w:rPr>
          <w:rFonts w:ascii="Times New Roman" w:hAnsi="Times New Roman"/>
          <w:sz w:val="20"/>
        </w:rPr>
        <w:t> </w:t>
      </w:r>
      <w:r>
        <w:rPr>
          <w:rFonts w:ascii="Times New Roman" w:hAnsi="Times New Roman"/>
          <w:i/>
          <w:sz w:val="20"/>
        </w:rPr>
        <w:t>5, 2026 (the “Convertible Note Preliminary Prospectus Supplement,” and, together with the Common Stock Preliminary Prospectus Supplement, the “Preliminary Prospectus Supplements”), relating to an offering of convertible senior notes due 2032 (the “Convertible Note Offering”), and supersedes the information in the applicable Preliminary Prospectus Supplement</w:t>
      </w:r>
      <w:r>
        <w:rPr>
          <w:rFonts w:ascii="Times New Roman" w:hAnsi="Times New Roman"/>
          <w:sz w:val="20"/>
        </w:rPr>
        <w:t xml:space="preserve"> </w:t>
      </w:r>
      <w:r>
        <w:rPr>
          <w:rFonts w:ascii="Times New Roman" w:hAnsi="Times New Roman"/>
          <w:i/>
          <w:sz w:val="20"/>
        </w:rPr>
        <w:t>to the extent inconsistent with the information in that Preliminary</w:t>
      </w:r>
      <w:r>
        <w:rPr>
          <w:rFonts w:ascii="Times New Roman" w:hAnsi="Times New Roman"/>
          <w:sz w:val="20"/>
        </w:rPr>
        <w:t xml:space="preserve"> </w:t>
      </w:r>
      <w:r>
        <w:rPr>
          <w:rFonts w:ascii="Times New Roman" w:hAnsi="Times New Roman"/>
          <w:i/>
          <w:sz w:val="20"/>
        </w:rPr>
        <w:t>Prospectus Supplement. Terms used, but not defined, in this pricing term sheet have the respective meanings set forth in the applicable Preliminary Prospectus Supplement. As used in this pricing term sheet, “we,” “our” and “us” refer to Vaxcyte, Inc. and not to its subsidiary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Common Stock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39"/>
        <w:gridCol w:w="122"/>
        <w:gridCol w:w="7144"/>
      </w:tblGrid>
      <w:tr>
        <w:trPr/>
        <w:tc>
          <w:tcPr>
            <w:tcW w:w="293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44" w:type="dxa"/>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283"/>
              <w:jc w:val="left"/>
              <w:rPr/>
            </w:pPr>
            <w:r>
              <w:rPr/>
              <w:t>Issuer</w:t>
            </w:r>
          </w:p>
        </w:tc>
        <w:tc>
          <w:tcPr>
            <w:tcW w:w="122" w:type="dxa"/>
            <w:tcBorders/>
            <w:vAlign w:val="bottom"/>
          </w:tcPr>
          <w:p>
            <w:pPr>
              <w:pStyle w:val="TableContents"/>
              <w:bidi w:val="0"/>
              <w:spacing w:before="0" w:after="283"/>
              <w:jc w:val="left"/>
              <w:rPr/>
            </w:pPr>
            <w:r>
              <w:rPr/>
              <w:t>  </w:t>
            </w:r>
          </w:p>
        </w:tc>
        <w:tc>
          <w:tcPr>
            <w:tcW w:w="7144" w:type="dxa"/>
            <w:tcBorders/>
            <w:vAlign w:val="bottom"/>
          </w:tcPr>
          <w:p>
            <w:pPr>
              <w:pStyle w:val="TableContents"/>
              <w:bidi w:val="0"/>
              <w:spacing w:before="0" w:after="283"/>
              <w:jc w:val="left"/>
              <w:rPr/>
            </w:pPr>
            <w:r>
              <w:rPr/>
              <w:t>Vaxcyte, Inc.</w:t>
            </w:r>
          </w:p>
        </w:tc>
      </w:tr>
      <w:tr>
        <w:trPr>
          <w:trHeight w:val="240" w:hRule="atLeast"/>
        </w:trPr>
        <w:tc>
          <w:tcPr>
            <w:tcW w:w="2939" w:type="dxa"/>
            <w:tcBorders/>
            <w:vAlign w:val="center"/>
          </w:tcPr>
          <w:p>
            <w:pPr>
              <w:pStyle w:val="TableContents"/>
              <w:bidi w:val="0"/>
              <w:spacing w:before="0" w:after="283"/>
              <w:jc w:val="left"/>
              <w:rPr>
                <w:sz w:val="4"/>
                <w:szCs w:val="4"/>
              </w:rPr>
            </w:pPr>
            <w:r>
              <w:rPr>
                <w:sz w:val="4"/>
                <w:szCs w:val="4"/>
              </w:rPr>
            </w:r>
          </w:p>
        </w:tc>
        <w:tc>
          <w:tcPr>
            <w:tcW w:w="7266" w:type="dxa"/>
            <w:gridSpan w:val="2"/>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283"/>
              <w:jc w:val="left"/>
              <w:rPr/>
            </w:pPr>
            <w:r>
              <w:rPr/>
              <w:t>Securities Offered</w:t>
            </w:r>
          </w:p>
        </w:tc>
        <w:tc>
          <w:tcPr>
            <w:tcW w:w="122" w:type="dxa"/>
            <w:tcBorders/>
            <w:vAlign w:val="bottom"/>
          </w:tcPr>
          <w:p>
            <w:pPr>
              <w:pStyle w:val="TableContents"/>
              <w:bidi w:val="0"/>
              <w:spacing w:before="0" w:after="283"/>
              <w:jc w:val="left"/>
              <w:rPr/>
            </w:pPr>
            <w:r>
              <w:rPr/>
              <w:t>  </w:t>
            </w:r>
          </w:p>
        </w:tc>
        <w:tc>
          <w:tcPr>
            <w:tcW w:w="7144" w:type="dxa"/>
            <w:tcBorders/>
            <w:vAlign w:val="bottom"/>
          </w:tcPr>
          <w:p>
            <w:pPr>
              <w:pStyle w:val="TableContents"/>
              <w:bidi w:val="0"/>
              <w:spacing w:before="0" w:after="283"/>
              <w:jc w:val="left"/>
              <w:rPr/>
            </w:pPr>
            <w:r>
              <w:rPr/>
              <w:t>7,412,500 (or, if the underwriters of the Common Stock Offering fully exercise their option to purchase additional shares, 8,584,375) shares of common stock, $0.001 par value per share, of Vaxcyte, Inc. (the “Common Stock”) and pre-funded warrants to purchase 400,000 shares of Common Stock (the “Pre-Funded Warrants”).</w:t>
            </w:r>
          </w:p>
        </w:tc>
      </w:tr>
      <w:tr>
        <w:trPr>
          <w:trHeight w:val="240" w:hRule="atLeast"/>
        </w:trPr>
        <w:tc>
          <w:tcPr>
            <w:tcW w:w="2939" w:type="dxa"/>
            <w:tcBorders/>
            <w:vAlign w:val="center"/>
          </w:tcPr>
          <w:p>
            <w:pPr>
              <w:pStyle w:val="TableContents"/>
              <w:bidi w:val="0"/>
              <w:spacing w:before="0" w:after="283"/>
              <w:jc w:val="left"/>
              <w:rPr>
                <w:sz w:val="4"/>
                <w:szCs w:val="4"/>
              </w:rPr>
            </w:pPr>
            <w:r>
              <w:rPr>
                <w:sz w:val="4"/>
                <w:szCs w:val="4"/>
              </w:rPr>
            </w:r>
          </w:p>
        </w:tc>
        <w:tc>
          <w:tcPr>
            <w:tcW w:w="7266" w:type="dxa"/>
            <w:gridSpan w:val="2"/>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283"/>
              <w:jc w:val="left"/>
              <w:rPr/>
            </w:pPr>
            <w:r>
              <w:rPr/>
              <w:t>Ticker / Exchange for Common Stock</w:t>
            </w:r>
          </w:p>
        </w:tc>
        <w:tc>
          <w:tcPr>
            <w:tcW w:w="122" w:type="dxa"/>
            <w:tcBorders/>
            <w:vAlign w:val="bottom"/>
          </w:tcPr>
          <w:p>
            <w:pPr>
              <w:pStyle w:val="TableContents"/>
              <w:bidi w:val="0"/>
              <w:spacing w:before="0" w:after="283"/>
              <w:jc w:val="left"/>
              <w:rPr/>
            </w:pPr>
            <w:r>
              <w:rPr/>
              <w:t>  </w:t>
            </w:r>
          </w:p>
        </w:tc>
        <w:tc>
          <w:tcPr>
            <w:tcW w:w="7144" w:type="dxa"/>
            <w:tcBorders/>
            <w:vAlign w:val="bottom"/>
          </w:tcPr>
          <w:p>
            <w:pPr>
              <w:pStyle w:val="TableContents"/>
              <w:bidi w:val="0"/>
              <w:spacing w:before="0" w:after="283"/>
              <w:jc w:val="left"/>
              <w:rPr/>
            </w:pPr>
            <w:r>
              <w:rPr/>
              <w:t>PCVX / Nasdaq Global Select Market (“NASDAQ”).</w:t>
            </w:r>
          </w:p>
        </w:tc>
      </w:tr>
      <w:tr>
        <w:trPr>
          <w:trHeight w:val="240" w:hRule="atLeast"/>
        </w:trPr>
        <w:tc>
          <w:tcPr>
            <w:tcW w:w="2939" w:type="dxa"/>
            <w:tcBorders/>
            <w:vAlign w:val="center"/>
          </w:tcPr>
          <w:p>
            <w:pPr>
              <w:pStyle w:val="TableContents"/>
              <w:bidi w:val="0"/>
              <w:spacing w:before="0" w:after="283"/>
              <w:jc w:val="left"/>
              <w:rPr>
                <w:sz w:val="4"/>
                <w:szCs w:val="4"/>
              </w:rPr>
            </w:pPr>
            <w:r>
              <w:rPr>
                <w:sz w:val="4"/>
                <w:szCs w:val="4"/>
              </w:rPr>
            </w:r>
          </w:p>
        </w:tc>
        <w:tc>
          <w:tcPr>
            <w:tcW w:w="7266" w:type="dxa"/>
            <w:gridSpan w:val="2"/>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283"/>
              <w:jc w:val="left"/>
              <w:rPr/>
            </w:pPr>
            <w:r>
              <w:rPr/>
              <w:t>Last Reported Sale Price per Share of Common Stock on NASDAQ on October 6, 2026</w:t>
            </w:r>
          </w:p>
        </w:tc>
        <w:tc>
          <w:tcPr>
            <w:tcW w:w="122" w:type="dxa"/>
            <w:tcBorders/>
            <w:vAlign w:val="bottom"/>
          </w:tcPr>
          <w:p>
            <w:pPr>
              <w:pStyle w:val="TableContents"/>
              <w:bidi w:val="0"/>
              <w:spacing w:before="0" w:after="283"/>
              <w:jc w:val="left"/>
              <w:rPr/>
            </w:pPr>
            <w:r>
              <w:rPr/>
              <w:t>  </w:t>
            </w:r>
          </w:p>
        </w:tc>
        <w:tc>
          <w:tcPr>
            <w:tcW w:w="7144" w:type="dxa"/>
            <w:tcBorders/>
            <w:vAlign w:val="bottom"/>
          </w:tcPr>
          <w:p>
            <w:pPr>
              <w:pStyle w:val="TableContents"/>
              <w:bidi w:val="0"/>
              <w:spacing w:before="0" w:after="283"/>
              <w:jc w:val="left"/>
              <w:rPr/>
            </w:pPr>
            <w:r>
              <w:rPr/>
              <w:t>$66.70.</w:t>
            </w:r>
          </w:p>
        </w:tc>
      </w:tr>
      <w:tr>
        <w:trPr>
          <w:trHeight w:val="240" w:hRule="atLeast"/>
        </w:trPr>
        <w:tc>
          <w:tcPr>
            <w:tcW w:w="2939" w:type="dxa"/>
            <w:tcBorders/>
            <w:vAlign w:val="center"/>
          </w:tcPr>
          <w:p>
            <w:pPr>
              <w:pStyle w:val="TableContents"/>
              <w:bidi w:val="0"/>
              <w:spacing w:before="0" w:after="283"/>
              <w:jc w:val="left"/>
              <w:rPr>
                <w:sz w:val="4"/>
                <w:szCs w:val="4"/>
              </w:rPr>
            </w:pPr>
            <w:r>
              <w:rPr>
                <w:sz w:val="4"/>
                <w:szCs w:val="4"/>
              </w:rPr>
            </w:r>
          </w:p>
        </w:tc>
        <w:tc>
          <w:tcPr>
            <w:tcW w:w="7266" w:type="dxa"/>
            <w:gridSpan w:val="2"/>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283"/>
              <w:jc w:val="left"/>
              <w:rPr/>
            </w:pPr>
            <w:r>
              <w:rPr/>
              <w:t>Public Offering Price per Share of Common Stock</w:t>
            </w:r>
          </w:p>
        </w:tc>
        <w:tc>
          <w:tcPr>
            <w:tcW w:w="122" w:type="dxa"/>
            <w:tcBorders/>
            <w:vAlign w:val="bottom"/>
          </w:tcPr>
          <w:p>
            <w:pPr>
              <w:pStyle w:val="TableContents"/>
              <w:bidi w:val="0"/>
              <w:spacing w:before="0" w:after="283"/>
              <w:jc w:val="left"/>
              <w:rPr/>
            </w:pPr>
            <w:r>
              <w:rPr/>
              <w:t>  </w:t>
            </w:r>
          </w:p>
        </w:tc>
        <w:tc>
          <w:tcPr>
            <w:tcW w:w="7144" w:type="dxa"/>
            <w:tcBorders/>
            <w:vAlign w:val="bottom"/>
          </w:tcPr>
          <w:p>
            <w:pPr>
              <w:pStyle w:val="TableContents"/>
              <w:bidi w:val="0"/>
              <w:spacing w:before="0" w:after="283"/>
              <w:jc w:val="left"/>
              <w:rPr/>
            </w:pPr>
            <w:r>
              <w:rPr/>
              <w:t>$64.00 per share of Common Stock.</w:t>
            </w:r>
          </w:p>
        </w:tc>
      </w:tr>
      <w:tr>
        <w:trPr>
          <w:trHeight w:val="240" w:hRule="atLeast"/>
        </w:trPr>
        <w:tc>
          <w:tcPr>
            <w:tcW w:w="2939" w:type="dxa"/>
            <w:tcBorders/>
            <w:vAlign w:val="center"/>
          </w:tcPr>
          <w:p>
            <w:pPr>
              <w:pStyle w:val="TableContents"/>
              <w:bidi w:val="0"/>
              <w:spacing w:before="0" w:after="283"/>
              <w:jc w:val="left"/>
              <w:rPr>
                <w:sz w:val="4"/>
                <w:szCs w:val="4"/>
              </w:rPr>
            </w:pPr>
            <w:r>
              <w:rPr>
                <w:sz w:val="4"/>
                <w:szCs w:val="4"/>
              </w:rPr>
            </w:r>
          </w:p>
        </w:tc>
        <w:tc>
          <w:tcPr>
            <w:tcW w:w="7266" w:type="dxa"/>
            <w:gridSpan w:val="2"/>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283"/>
              <w:jc w:val="left"/>
              <w:rPr/>
            </w:pPr>
            <w:r>
              <w:rPr/>
              <w:t>Public Offering Price per Pre-Funded Warrant</w:t>
            </w:r>
          </w:p>
        </w:tc>
        <w:tc>
          <w:tcPr>
            <w:tcW w:w="122" w:type="dxa"/>
            <w:tcBorders/>
            <w:vAlign w:val="bottom"/>
          </w:tcPr>
          <w:p>
            <w:pPr>
              <w:pStyle w:val="TableContents"/>
              <w:bidi w:val="0"/>
              <w:spacing w:before="0" w:after="283"/>
              <w:jc w:val="left"/>
              <w:rPr/>
            </w:pPr>
            <w:r>
              <w:rPr/>
              <w:t>  </w:t>
            </w:r>
          </w:p>
        </w:tc>
        <w:tc>
          <w:tcPr>
            <w:tcW w:w="7144" w:type="dxa"/>
            <w:tcBorders/>
            <w:vAlign w:val="bottom"/>
          </w:tcPr>
          <w:p>
            <w:pPr>
              <w:pStyle w:val="TableContents"/>
              <w:bidi w:val="0"/>
              <w:spacing w:before="0" w:after="283"/>
              <w:jc w:val="left"/>
              <w:rPr/>
            </w:pPr>
            <w:r>
              <w:rPr/>
              <w:t>$63.999 per Pre-Funded Warrant, which equals the public offering price per share of Common Stock less the $0.001 per share exercise price of each Pre-Funded Warrant.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 - 1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62"/>
        <w:gridCol w:w="122"/>
        <w:gridCol w:w="7121"/>
      </w:tblGrid>
      <w:tr>
        <w:trPr/>
        <w:tc>
          <w:tcPr>
            <w:tcW w:w="29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21" w:type="dxa"/>
            <w:tcBorders/>
            <w:vAlign w:val="center"/>
          </w:tcPr>
          <w:p>
            <w:pPr>
              <w:pStyle w:val="TableContents"/>
              <w:bidi w:val="0"/>
              <w:spacing w:before="0" w:after="283"/>
              <w:jc w:val="left"/>
              <w:rPr>
                <w:sz w:val="4"/>
                <w:szCs w:val="4"/>
              </w:rPr>
            </w:pPr>
            <w:r>
              <w:rPr>
                <w:sz w:val="4"/>
                <w:szCs w:val="4"/>
              </w:rPr>
            </w:r>
          </w:p>
        </w:tc>
      </w:tr>
      <w:tr>
        <w:trPr/>
        <w:tc>
          <w:tcPr>
            <w:tcW w:w="2962" w:type="dxa"/>
            <w:tcBorders/>
          </w:tcPr>
          <w:p>
            <w:pPr>
              <w:pStyle w:val="TableContents"/>
              <w:bidi w:val="0"/>
              <w:spacing w:before="0" w:after="283"/>
              <w:jc w:val="left"/>
              <w:rPr/>
            </w:pPr>
            <w:r>
              <w:rPr/>
              <w:t>Exercise Price per Pre-Funded Warrant</w:t>
            </w:r>
          </w:p>
        </w:tc>
        <w:tc>
          <w:tcPr>
            <w:tcW w:w="122" w:type="dxa"/>
            <w:tcBorders/>
            <w:vAlign w:val="bottom"/>
          </w:tcPr>
          <w:p>
            <w:pPr>
              <w:pStyle w:val="TableContents"/>
              <w:bidi w:val="0"/>
              <w:spacing w:before="0" w:after="283"/>
              <w:jc w:val="left"/>
              <w:rPr/>
            </w:pPr>
            <w:r>
              <w:rPr/>
              <w:t>  </w:t>
            </w:r>
          </w:p>
        </w:tc>
        <w:tc>
          <w:tcPr>
            <w:tcW w:w="7121" w:type="dxa"/>
            <w:tcBorders/>
            <w:vAlign w:val="bottom"/>
          </w:tcPr>
          <w:p>
            <w:pPr>
              <w:pStyle w:val="TableContents"/>
              <w:bidi w:val="0"/>
              <w:spacing w:before="0" w:after="283"/>
              <w:jc w:val="left"/>
              <w:rPr/>
            </w:pPr>
            <w:r>
              <w:rPr/>
              <w:t>$0.001 per share of Common Stock, subject to adjustment as described in the Common Stock Preliminary Prospectus Supplement.</w:t>
            </w:r>
          </w:p>
        </w:tc>
      </w:tr>
      <w:tr>
        <w:trPr>
          <w:trHeight w:val="240" w:hRule="atLeast"/>
        </w:trPr>
        <w:tc>
          <w:tcPr>
            <w:tcW w:w="2962" w:type="dxa"/>
            <w:tcBorders/>
            <w:vAlign w:val="center"/>
          </w:tcPr>
          <w:p>
            <w:pPr>
              <w:pStyle w:val="TableContents"/>
              <w:bidi w:val="0"/>
              <w:spacing w:before="0" w:after="283"/>
              <w:jc w:val="left"/>
              <w:rPr>
                <w:sz w:val="4"/>
                <w:szCs w:val="4"/>
              </w:rPr>
            </w:pPr>
            <w:r>
              <w:rPr>
                <w:sz w:val="4"/>
                <w:szCs w:val="4"/>
              </w:rPr>
            </w:r>
          </w:p>
        </w:tc>
        <w:tc>
          <w:tcPr>
            <w:tcW w:w="7243" w:type="dxa"/>
            <w:gridSpan w:val="2"/>
            <w:tcBorders/>
            <w:vAlign w:val="center"/>
          </w:tcPr>
          <w:p>
            <w:pPr>
              <w:pStyle w:val="TableContents"/>
              <w:bidi w:val="0"/>
              <w:spacing w:before="0" w:after="283"/>
              <w:jc w:val="left"/>
              <w:rPr>
                <w:sz w:val="4"/>
                <w:szCs w:val="4"/>
              </w:rPr>
            </w:pPr>
            <w:r>
              <w:rPr>
                <w:sz w:val="4"/>
                <w:szCs w:val="4"/>
              </w:rPr>
            </w:r>
          </w:p>
        </w:tc>
      </w:tr>
      <w:tr>
        <w:trPr/>
        <w:tc>
          <w:tcPr>
            <w:tcW w:w="2962" w:type="dxa"/>
            <w:tcBorders/>
          </w:tcPr>
          <w:p>
            <w:pPr>
              <w:pStyle w:val="TableContents"/>
              <w:bidi w:val="0"/>
              <w:spacing w:before="0" w:after="283"/>
              <w:jc w:val="left"/>
              <w:rPr/>
            </w:pPr>
            <w:r>
              <w:rPr/>
              <w:t>Underwriting Discount</w:t>
            </w:r>
          </w:p>
        </w:tc>
        <w:tc>
          <w:tcPr>
            <w:tcW w:w="122" w:type="dxa"/>
            <w:tcBorders/>
            <w:vAlign w:val="bottom"/>
          </w:tcPr>
          <w:p>
            <w:pPr>
              <w:pStyle w:val="TableContents"/>
              <w:bidi w:val="0"/>
              <w:spacing w:before="0" w:after="283"/>
              <w:jc w:val="left"/>
              <w:rPr/>
            </w:pPr>
            <w:r>
              <w:rPr/>
              <w:t>  </w:t>
            </w:r>
          </w:p>
        </w:tc>
        <w:tc>
          <w:tcPr>
            <w:tcW w:w="7121" w:type="dxa"/>
            <w:tcBorders/>
            <w:vAlign w:val="bottom"/>
          </w:tcPr>
          <w:p>
            <w:pPr>
              <w:pStyle w:val="TableContents"/>
              <w:bidi w:val="0"/>
              <w:spacing w:before="0" w:after="283"/>
              <w:jc w:val="left"/>
              <w:rPr/>
            </w:pPr>
            <w:r>
              <w:rPr/>
              <w:t>$3.36 per share of Common Stock or per Pre-Funded Warrant, and $26,250,000 in the aggregate (or $30,187,500 in the aggregate, if the underwriters of the Common Stock Offering fully exercise their option to purchase additional shares of Common Stock).</w:t>
            </w:r>
          </w:p>
        </w:tc>
      </w:tr>
      <w:tr>
        <w:trPr>
          <w:trHeight w:val="240" w:hRule="atLeast"/>
        </w:trPr>
        <w:tc>
          <w:tcPr>
            <w:tcW w:w="2962" w:type="dxa"/>
            <w:tcBorders/>
            <w:vAlign w:val="center"/>
          </w:tcPr>
          <w:p>
            <w:pPr>
              <w:pStyle w:val="TableContents"/>
              <w:bidi w:val="0"/>
              <w:spacing w:before="0" w:after="283"/>
              <w:jc w:val="left"/>
              <w:rPr>
                <w:sz w:val="4"/>
                <w:szCs w:val="4"/>
              </w:rPr>
            </w:pPr>
            <w:r>
              <w:rPr>
                <w:sz w:val="4"/>
                <w:szCs w:val="4"/>
              </w:rPr>
            </w:r>
          </w:p>
        </w:tc>
        <w:tc>
          <w:tcPr>
            <w:tcW w:w="7243" w:type="dxa"/>
            <w:gridSpan w:val="2"/>
            <w:tcBorders/>
            <w:vAlign w:val="center"/>
          </w:tcPr>
          <w:p>
            <w:pPr>
              <w:pStyle w:val="TableContents"/>
              <w:bidi w:val="0"/>
              <w:spacing w:before="0" w:after="283"/>
              <w:jc w:val="left"/>
              <w:rPr>
                <w:sz w:val="4"/>
                <w:szCs w:val="4"/>
              </w:rPr>
            </w:pPr>
            <w:r>
              <w:rPr>
                <w:sz w:val="4"/>
                <w:szCs w:val="4"/>
              </w:rPr>
            </w:r>
          </w:p>
        </w:tc>
      </w:tr>
      <w:tr>
        <w:trPr/>
        <w:tc>
          <w:tcPr>
            <w:tcW w:w="2962" w:type="dxa"/>
            <w:tcBorders/>
          </w:tcPr>
          <w:p>
            <w:pPr>
              <w:pStyle w:val="TableContents"/>
              <w:bidi w:val="0"/>
              <w:spacing w:before="0" w:after="283"/>
              <w:jc w:val="left"/>
              <w:rPr/>
            </w:pPr>
            <w:r>
              <w:rPr/>
              <w:t>Trade Date</w:t>
            </w:r>
          </w:p>
        </w:tc>
        <w:tc>
          <w:tcPr>
            <w:tcW w:w="122" w:type="dxa"/>
            <w:tcBorders/>
            <w:vAlign w:val="bottom"/>
          </w:tcPr>
          <w:p>
            <w:pPr>
              <w:pStyle w:val="TableContents"/>
              <w:bidi w:val="0"/>
              <w:spacing w:before="0" w:after="283"/>
              <w:jc w:val="left"/>
              <w:rPr/>
            </w:pPr>
            <w:r>
              <w:rPr/>
              <w:t>  </w:t>
            </w:r>
          </w:p>
        </w:tc>
        <w:tc>
          <w:tcPr>
            <w:tcW w:w="7121" w:type="dxa"/>
            <w:tcBorders/>
            <w:vAlign w:val="bottom"/>
          </w:tcPr>
          <w:p>
            <w:pPr>
              <w:pStyle w:val="TableContents"/>
              <w:bidi w:val="0"/>
              <w:spacing w:before="0" w:after="283"/>
              <w:jc w:val="left"/>
              <w:rPr/>
            </w:pPr>
            <w:r>
              <w:rPr/>
              <w:t>October 7, 2026.</w:t>
            </w:r>
          </w:p>
        </w:tc>
      </w:tr>
      <w:tr>
        <w:trPr>
          <w:trHeight w:val="240" w:hRule="atLeast"/>
        </w:trPr>
        <w:tc>
          <w:tcPr>
            <w:tcW w:w="2962" w:type="dxa"/>
            <w:tcBorders/>
            <w:vAlign w:val="center"/>
          </w:tcPr>
          <w:p>
            <w:pPr>
              <w:pStyle w:val="TableContents"/>
              <w:bidi w:val="0"/>
              <w:spacing w:before="0" w:after="283"/>
              <w:jc w:val="left"/>
              <w:rPr>
                <w:sz w:val="4"/>
                <w:szCs w:val="4"/>
              </w:rPr>
            </w:pPr>
            <w:r>
              <w:rPr>
                <w:sz w:val="4"/>
                <w:szCs w:val="4"/>
              </w:rPr>
            </w:r>
          </w:p>
        </w:tc>
        <w:tc>
          <w:tcPr>
            <w:tcW w:w="7243" w:type="dxa"/>
            <w:gridSpan w:val="2"/>
            <w:tcBorders/>
            <w:vAlign w:val="center"/>
          </w:tcPr>
          <w:p>
            <w:pPr>
              <w:pStyle w:val="TableContents"/>
              <w:bidi w:val="0"/>
              <w:spacing w:before="0" w:after="283"/>
              <w:jc w:val="left"/>
              <w:rPr>
                <w:sz w:val="4"/>
                <w:szCs w:val="4"/>
              </w:rPr>
            </w:pPr>
            <w:r>
              <w:rPr>
                <w:sz w:val="4"/>
                <w:szCs w:val="4"/>
              </w:rPr>
            </w:r>
          </w:p>
        </w:tc>
      </w:tr>
      <w:tr>
        <w:trPr/>
        <w:tc>
          <w:tcPr>
            <w:tcW w:w="2962" w:type="dxa"/>
            <w:tcBorders/>
          </w:tcPr>
          <w:p>
            <w:pPr>
              <w:pStyle w:val="TableContents"/>
              <w:bidi w:val="0"/>
              <w:spacing w:before="0" w:after="283"/>
              <w:jc w:val="left"/>
              <w:rPr/>
            </w:pPr>
            <w:r>
              <w:rPr/>
              <w:t>Settlement Date</w:t>
            </w:r>
          </w:p>
        </w:tc>
        <w:tc>
          <w:tcPr>
            <w:tcW w:w="122" w:type="dxa"/>
            <w:tcBorders/>
            <w:vAlign w:val="bottom"/>
          </w:tcPr>
          <w:p>
            <w:pPr>
              <w:pStyle w:val="TableContents"/>
              <w:bidi w:val="0"/>
              <w:spacing w:before="0" w:after="283"/>
              <w:jc w:val="left"/>
              <w:rPr/>
            </w:pPr>
            <w:r>
              <w:rPr/>
              <w:t>  </w:t>
            </w:r>
          </w:p>
        </w:tc>
        <w:tc>
          <w:tcPr>
            <w:tcW w:w="7121" w:type="dxa"/>
            <w:tcBorders/>
            <w:vAlign w:val="bottom"/>
          </w:tcPr>
          <w:p>
            <w:pPr>
              <w:pStyle w:val="TableContents"/>
              <w:bidi w:val="0"/>
              <w:spacing w:before="0" w:after="283"/>
              <w:jc w:val="left"/>
              <w:rPr/>
            </w:pPr>
            <w:r>
              <w:rPr/>
              <w:t>October 9, 2026, which is the second business day after the Trade Date (this settlement cycle being referred to as “T+2”). Under Rule 15c6-1 under the Securities Exchange Act of 1934, as amended (the “Exchange Act”), trades in the secondary market generally must settle in one business day, unless the parties to the trade expressly agree otherwise. Accordingly, purchasers who wish to trade the shares of Common Stock before the business day before the Settlement Date must, because the shares of Common Stock initially will settle T+2, specify an alternate settlement cycle at the time of such trade to prevent a failed settlement. Those purchasers should consult their advisors.</w:t>
            </w:r>
          </w:p>
        </w:tc>
      </w:tr>
      <w:tr>
        <w:trPr>
          <w:trHeight w:val="240" w:hRule="atLeast"/>
        </w:trPr>
        <w:tc>
          <w:tcPr>
            <w:tcW w:w="2962" w:type="dxa"/>
            <w:tcBorders/>
            <w:vAlign w:val="center"/>
          </w:tcPr>
          <w:p>
            <w:pPr>
              <w:pStyle w:val="TableContents"/>
              <w:bidi w:val="0"/>
              <w:spacing w:before="0" w:after="283"/>
              <w:jc w:val="left"/>
              <w:rPr>
                <w:sz w:val="4"/>
                <w:szCs w:val="4"/>
              </w:rPr>
            </w:pPr>
            <w:r>
              <w:rPr>
                <w:sz w:val="4"/>
                <w:szCs w:val="4"/>
              </w:rPr>
            </w:r>
          </w:p>
        </w:tc>
        <w:tc>
          <w:tcPr>
            <w:tcW w:w="7243" w:type="dxa"/>
            <w:gridSpan w:val="2"/>
            <w:tcBorders/>
            <w:vAlign w:val="center"/>
          </w:tcPr>
          <w:p>
            <w:pPr>
              <w:pStyle w:val="TableContents"/>
              <w:bidi w:val="0"/>
              <w:spacing w:before="0" w:after="283"/>
              <w:jc w:val="left"/>
              <w:rPr>
                <w:sz w:val="4"/>
                <w:szCs w:val="4"/>
              </w:rPr>
            </w:pPr>
            <w:r>
              <w:rPr>
                <w:sz w:val="4"/>
                <w:szCs w:val="4"/>
              </w:rPr>
            </w:r>
          </w:p>
        </w:tc>
      </w:tr>
      <w:tr>
        <w:trPr/>
        <w:tc>
          <w:tcPr>
            <w:tcW w:w="2962" w:type="dxa"/>
            <w:tcBorders/>
          </w:tcPr>
          <w:p>
            <w:pPr>
              <w:pStyle w:val="TableContents"/>
              <w:bidi w:val="0"/>
              <w:spacing w:before="0" w:after="283"/>
              <w:jc w:val="left"/>
              <w:rPr/>
            </w:pPr>
            <w:r>
              <w:rPr/>
              <w:t>Use of Proceeds</w:t>
            </w:r>
          </w:p>
        </w:tc>
        <w:tc>
          <w:tcPr>
            <w:tcW w:w="122" w:type="dxa"/>
            <w:tcBorders/>
            <w:vAlign w:val="bottom"/>
          </w:tcPr>
          <w:p>
            <w:pPr>
              <w:pStyle w:val="TableContents"/>
              <w:bidi w:val="0"/>
              <w:spacing w:before="0" w:after="283"/>
              <w:jc w:val="left"/>
              <w:rPr/>
            </w:pPr>
            <w:r>
              <w:rPr/>
              <w:t>  </w:t>
            </w:r>
          </w:p>
        </w:tc>
        <w:tc>
          <w:tcPr>
            <w:tcW w:w="7121" w:type="dxa"/>
            <w:tcBorders/>
            <w:vAlign w:val="bottom"/>
          </w:tcPr>
          <w:p>
            <w:pPr>
              <w:pStyle w:val="TableContents"/>
              <w:bidi w:val="0"/>
              <w:spacing w:before="0" w:after="283"/>
              <w:jc w:val="left"/>
              <w:rPr/>
            </w:pPr>
            <w:r>
              <w:rPr/>
              <w:t>We estimate that the net proceeds to us from the Common Stock Offering will be approximately $473.3 million (or approximately $544.3 million if the underwriters of the Common Stock Offering fully exercise their option to purchase additional Common Stock), after deducting the underwriting discounts and commissions and our estimated offering expenses. We intend to use the combined net proceeds from the Common Stock Offering and the Convertible Note Offering, together with our existing cash, cash equivalents and investments, to fund (i) clinical development of the VAX-31 adult and pediatric programs, including (a) for the ongoing VAX-31 adult Phase 3 program, the trial evaluating concomitant administration with a seasonal influenza vaccine (OPUS-2, enrolled), the trial in adults who have previously received a pneumococcal vaccine (OPUS-3, enrolled) and the planned manufacturing consistency study, and the anticipated topline safety, tolerability and immunogenicity data announcements from such studies, and (b) for the VAX-31 infant Phase 2 dosefinding study (enrolled), the anticipated topline data announcement(s) from the primary three-dose immunization series and booster dose; (ii) manufacturing scale-up, processes and supply to support our clinical studies and the potential commercial launches of our PCV programs, including (a) to establish additional manufacturing capacity to meet potential incremental supply requirements for the global adult and pediatric populations following the potential initial commercial launch of VAX-31 in adults in the United States and (b) to build inventory levels in advance of such potential commercial launch; (iii) medical affairs, commercial and systems-related investments to prepare for and execute the anticipated U.S. launch of VAX-31 in adults; (iv)</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 - 1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78"/>
        <w:gridCol w:w="122"/>
        <w:gridCol w:w="7105"/>
      </w:tblGrid>
      <w:tr>
        <w:trPr/>
        <w:tc>
          <w:tcPr>
            <w:tcW w:w="297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05" w:type="dxa"/>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ongoing research and development of our other earlystage pipeline vaccine candidates; and (v) general corporate purposes, including working capital, operating expenses and capital expenditures, as well as potential expansion of our research pipeline.</w:t>
            </w:r>
          </w:p>
        </w:tc>
      </w:tr>
      <w:tr>
        <w:trPr>
          <w:trHeight w:val="24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Book-Running Managers</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Jefferies LLC</w:t>
              <w:br/>
              <w:t>Leerink Partners LLC</w:t>
              <w:br/>
              <w:t>BofA Securities, Inc.</w:t>
              <w:br/>
              <w:t>Evercore Group L.L.C.</w:t>
              <w:br/>
              <w:t>Goldman Sachs &amp; Co. LLC</w:t>
              <w:br/>
              <w:t>Guggenheim Securities, LLC</w:t>
            </w:r>
          </w:p>
        </w:tc>
      </w:tr>
      <w:tr>
        <w:trPr>
          <w:trHeight w:val="24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Bookrunner</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Mizuho Securities USA LLC</w:t>
            </w:r>
          </w:p>
        </w:tc>
      </w:tr>
      <w:tr>
        <w:trPr>
          <w:trHeight w:val="24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Lead Manager</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BTIG, LLC</w:t>
            </w:r>
          </w:p>
        </w:tc>
      </w:tr>
      <w:tr>
        <w:trPr>
          <w:trHeight w:val="24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CUSIP / ISIN Numbers for the Common Stock</w:t>
            </w:r>
          </w:p>
        </w:tc>
        <w:tc>
          <w:tcPr>
            <w:tcW w:w="122" w:type="dxa"/>
            <w:tcBorders/>
            <w:vAlign w:val="bottom"/>
          </w:tcPr>
          <w:p>
            <w:pPr>
              <w:pStyle w:val="TableContents"/>
              <w:bidi w:val="0"/>
              <w:spacing w:before="0" w:after="283"/>
              <w:jc w:val="left"/>
              <w:rPr/>
            </w:pPr>
            <w:r>
              <w:rPr/>
              <w:t>  </w:t>
            </w:r>
          </w:p>
        </w:tc>
        <w:tc>
          <w:tcPr>
            <w:tcW w:w="7105" w:type="dxa"/>
            <w:tcBorders/>
            <w:vAlign w:val="bottom"/>
          </w:tcPr>
          <w:p>
            <w:pPr>
              <w:pStyle w:val="TableContents"/>
              <w:bidi w:val="0"/>
              <w:spacing w:before="0" w:after="283"/>
              <w:jc w:val="left"/>
              <w:rPr/>
            </w:pPr>
            <w:r>
              <w:rPr/>
              <w:t>92243G108 / US92243G1085.</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Convertible Note Offering</w:t>
            </w:r>
          </w:p>
        </w:tc>
      </w:tr>
      <w:tr>
        <w:trPr>
          <w:trHeight w:val="24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Issuer</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Vaxcyte, Inc.</w:t>
            </w:r>
          </w:p>
        </w:tc>
      </w:tr>
      <w:tr>
        <w:trPr>
          <w:trHeight w:val="24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Ticker / Exchange for Common Stock</w:t>
            </w:r>
          </w:p>
        </w:tc>
        <w:tc>
          <w:tcPr>
            <w:tcW w:w="122" w:type="dxa"/>
            <w:tcBorders/>
            <w:vAlign w:val="bottom"/>
          </w:tcPr>
          <w:p>
            <w:pPr>
              <w:pStyle w:val="TableContents"/>
              <w:bidi w:val="0"/>
              <w:spacing w:before="0" w:after="283"/>
              <w:jc w:val="left"/>
              <w:rPr/>
            </w:pPr>
            <w:r>
              <w:rPr/>
              <w:t>  </w:t>
            </w:r>
          </w:p>
        </w:tc>
        <w:tc>
          <w:tcPr>
            <w:tcW w:w="7105" w:type="dxa"/>
            <w:tcBorders/>
            <w:vAlign w:val="bottom"/>
          </w:tcPr>
          <w:p>
            <w:pPr>
              <w:pStyle w:val="TableContents"/>
              <w:bidi w:val="0"/>
              <w:spacing w:before="0" w:after="283"/>
              <w:jc w:val="left"/>
              <w:rPr/>
            </w:pPr>
            <w:r>
              <w:rPr/>
              <w:t>PCVX / NASDAQ.</w:t>
            </w:r>
          </w:p>
        </w:tc>
      </w:tr>
      <w:tr>
        <w:trPr>
          <w:trHeight w:val="24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Trade Date</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October 7, 2026.</w:t>
            </w:r>
          </w:p>
        </w:tc>
      </w:tr>
      <w:tr>
        <w:trPr>
          <w:trHeight w:val="24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Settlement Date</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October 9, 2026, which is the second business day after the Trade Date (this settlement cycle being referred to as “T+2”). Under Rule 15c6-1 under the Exchange Act, trades in the secondary market generally must settle in one business day, unless the parties to the trade expressly agree otherwise. Accordingly, purchasers who wish to trade the Notes before the business day before the Settlement Date must, because the Notes initially will settle T+2, specify an alternate settlement cycle at the time of such trade to prevent a failed settlement. Those purchasers should consult their advisors.</w:t>
            </w:r>
          </w:p>
        </w:tc>
      </w:tr>
      <w:tr>
        <w:trPr>
          <w:trHeight w:val="24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Notes</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1.50% convertible senior notes due 2032 (the “Notes”).</w:t>
            </w:r>
          </w:p>
        </w:tc>
      </w:tr>
      <w:tr>
        <w:trPr>
          <w:trHeight w:val="24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Principal Amount</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$500,000,000 (or, if the underwriters of the Convertible Note Offering fully exercise their over-allotment option to purchase additional Notes, $575,000,000) aggregate principal amount of Notes.</w:t>
            </w:r>
          </w:p>
        </w:tc>
      </w:tr>
      <w:tr>
        <w:trPr>
          <w:trHeight w:val="24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Public Offering Price</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100% of the principal amount of the Notes, plus accrued interest, if any, from the Settlement Date.</w:t>
            </w:r>
          </w:p>
        </w:tc>
      </w:tr>
      <w:tr>
        <w:trPr>
          <w:trHeight w:val="24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Underwriting Discount</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2.75% of the principal amount of the Notes, and $13,750,000 in the aggregate (or $15,812,500 in the aggregate, if the underwriters of the Convertible Note Offering fully exercise their over-allotment option to purchase additional Notes), in each case plus accrued interest, if any, from the Settlement 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 - 1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50"/>
        <w:gridCol w:w="123"/>
        <w:gridCol w:w="7132"/>
      </w:tblGrid>
      <w:tr>
        <w:trPr/>
        <w:tc>
          <w:tcPr>
            <w:tcW w:w="295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132" w:type="dxa"/>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Maturity</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October 15, 2032, unless earlier repurchased, redeemed or converted.</w:t>
            </w:r>
          </w:p>
        </w:tc>
      </w:tr>
      <w:tr>
        <w:trPr>
          <w:trHeight w:val="24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Stated Interest Rate</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1.50% per annum.</w:t>
            </w:r>
          </w:p>
        </w:tc>
      </w:tr>
      <w:tr>
        <w:trPr>
          <w:trHeight w:val="24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Interest Payment Dates</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April 15 and October 15 of each year, beginning on April 15, 2027.</w:t>
            </w:r>
          </w:p>
        </w:tc>
      </w:tr>
      <w:tr>
        <w:trPr>
          <w:trHeight w:val="24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Record Dates</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April 1 and October 1.</w:t>
            </w:r>
          </w:p>
        </w:tc>
      </w:tr>
      <w:tr>
        <w:trPr>
          <w:trHeight w:val="24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Last Reported Sale Price per Share of Common Stock on NASDAQ on October 6, 2026</w:t>
            </w:r>
          </w:p>
        </w:tc>
        <w:tc>
          <w:tcPr>
            <w:tcW w:w="123" w:type="dxa"/>
            <w:tcBorders/>
            <w:vAlign w:val="bottom"/>
          </w:tcPr>
          <w:p>
            <w:pPr>
              <w:pStyle w:val="TableContents"/>
              <w:bidi w:val="0"/>
              <w:spacing w:before="0" w:after="283"/>
              <w:jc w:val="left"/>
              <w:rPr/>
            </w:pPr>
            <w:r>
              <w:rPr/>
              <w:t>  </w:t>
            </w:r>
          </w:p>
        </w:tc>
        <w:tc>
          <w:tcPr>
            <w:tcW w:w="7132" w:type="dxa"/>
            <w:tcBorders/>
            <w:vAlign w:val="bottom"/>
          </w:tcPr>
          <w:p>
            <w:pPr>
              <w:pStyle w:val="TableContents"/>
              <w:bidi w:val="0"/>
              <w:spacing w:before="0" w:after="283"/>
              <w:jc w:val="left"/>
              <w:rPr/>
            </w:pPr>
            <w:r>
              <w:rPr/>
              <w:t>$66.70.</w:t>
            </w:r>
          </w:p>
        </w:tc>
      </w:tr>
      <w:tr>
        <w:trPr>
          <w:trHeight w:val="24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Conversion Premium</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Approximately 40.0% above the Public Offering Price per Share of Common Stock in the Common Stock Offering.</w:t>
            </w:r>
          </w:p>
        </w:tc>
      </w:tr>
      <w:tr>
        <w:trPr>
          <w:trHeight w:val="24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Initial Conversion Price</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Approximately $89.60 per share of our Common Stock.</w:t>
            </w:r>
          </w:p>
        </w:tc>
      </w:tr>
      <w:tr>
        <w:trPr>
          <w:trHeight w:val="24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Initial Conversion Rate</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11.1607 shares of our Common Stock per $1,000 principal amount of Notes.</w:t>
            </w:r>
          </w:p>
        </w:tc>
      </w:tr>
      <w:tr>
        <w:trPr>
          <w:trHeight w:val="24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Provisional Redemption</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We will have the right, at our election, to redeem (a “provisional redemption”) all, or any portion (subject to certain limitations described below), of the Notes, at any time, and from time to time, on or after October 22, 2029 and on or before the 20th scheduled trading day immediately before the maturity date, at a cash redemption price equal to the principal amount of the Notes to be redeemed, plus accrued and unpaid interest, if any, to, but excluding, the redemption date, but only if the last reported sale price per share of our Common Stock exceeds 130% of the conversion price on (x) each of at least 20 trading days, whether or not consecutive, during the 30 consecutive trading days ending on, and including, the trading day immediately before the date we send the related redemption notice; and (y) the trading day immediately before the date we send such notice. However, we may not redeem less than all of the outstanding Notes pursuant to a provisional redemption unless at least $75.0 million aggregate principal amount of Notes are outstanding and not called for redemption as of the time we send the related redemption notice. In addition, calling any Note for provisional redemption will constitute a make-whole fundamental change with respect to that Note, in which case the conversion rate applicable to the conversion of that Note will be increased in certain circumstances if it is converted after it is called for provisional redemption. See “Description of Notes—Optional Redemption—Provisional Redemption” in the Convertible Note Preliminary Prospectus Supplement.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 - 1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42"/>
        <w:gridCol w:w="122"/>
        <w:gridCol w:w="7141"/>
      </w:tblGrid>
      <w:tr>
        <w:trPr/>
        <w:tc>
          <w:tcPr>
            <w:tcW w:w="294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41" w:type="dxa"/>
            <w:tcBorders/>
            <w:vAlign w:val="center"/>
          </w:tcPr>
          <w:p>
            <w:pPr>
              <w:pStyle w:val="TableContents"/>
              <w:bidi w:val="0"/>
              <w:spacing w:before="0" w:after="283"/>
              <w:jc w:val="left"/>
              <w:rPr>
                <w:sz w:val="4"/>
                <w:szCs w:val="4"/>
              </w:rPr>
            </w:pPr>
            <w:r>
              <w:rPr>
                <w:sz w:val="4"/>
                <w:szCs w:val="4"/>
              </w:rPr>
            </w:r>
          </w:p>
        </w:tc>
      </w:tr>
      <w:tr>
        <w:trPr/>
        <w:tc>
          <w:tcPr>
            <w:tcW w:w="2942" w:type="dxa"/>
            <w:tcBorders/>
          </w:tcPr>
          <w:p>
            <w:pPr>
              <w:pStyle w:val="TableContents"/>
              <w:bidi w:val="0"/>
              <w:spacing w:before="0" w:after="283"/>
              <w:jc w:val="left"/>
              <w:rPr/>
            </w:pPr>
            <w:r>
              <w:rPr/>
              <w:t>Cleanup Redemption</w:t>
            </w:r>
          </w:p>
        </w:tc>
        <w:tc>
          <w:tcPr>
            <w:tcW w:w="122"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We will have the right, at our election, to redeem (a “cleanup redemption”) all, but not less than all, of the Notes, at any time, at a cash redemption price equal to the principal amount of the Notes to be redeemed, plus accrued and unpaid interest, if any, to, but excluding, the redemption date, but only if the principal amount of the Notes outstanding at the time we send the related redemption notice is less than 10% of the aggregate principal amount of the Notes issued in this offering (including any additional Notes issued pursuant to any exercise of the underwriters’ option to purchase additional Notes). In addition, calling the Notes for cleanup redemption will constitute a make-whole fundamental change, which will require us to increase the conversion rate in certain circumstances for a specified period of time. See “Description of Notes—Optional Redemption—Cleanup Redemption” in the Convertible Note Preliminary Prospectus Supplement.</w:t>
            </w:r>
          </w:p>
        </w:tc>
      </w:tr>
      <w:tr>
        <w:trPr>
          <w:trHeight w:val="240" w:hRule="atLeast"/>
        </w:trPr>
        <w:tc>
          <w:tcPr>
            <w:tcW w:w="2942" w:type="dxa"/>
            <w:tcBorders/>
            <w:vAlign w:val="center"/>
          </w:tcPr>
          <w:p>
            <w:pPr>
              <w:pStyle w:val="TableContents"/>
              <w:bidi w:val="0"/>
              <w:spacing w:before="0" w:after="283"/>
              <w:jc w:val="left"/>
              <w:rPr>
                <w:sz w:val="4"/>
                <w:szCs w:val="4"/>
              </w:rPr>
            </w:pPr>
            <w:r>
              <w:rPr>
                <w:sz w:val="4"/>
                <w:szCs w:val="4"/>
              </w:rPr>
            </w:r>
          </w:p>
        </w:tc>
        <w:tc>
          <w:tcPr>
            <w:tcW w:w="7263" w:type="dxa"/>
            <w:gridSpan w:val="2"/>
            <w:tcBorders/>
            <w:vAlign w:val="center"/>
          </w:tcPr>
          <w:p>
            <w:pPr>
              <w:pStyle w:val="TableContents"/>
              <w:bidi w:val="0"/>
              <w:spacing w:before="0" w:after="283"/>
              <w:jc w:val="left"/>
              <w:rPr>
                <w:sz w:val="4"/>
                <w:szCs w:val="4"/>
              </w:rPr>
            </w:pPr>
            <w:r>
              <w:rPr>
                <w:sz w:val="4"/>
                <w:szCs w:val="4"/>
              </w:rPr>
            </w:r>
          </w:p>
        </w:tc>
      </w:tr>
      <w:tr>
        <w:trPr/>
        <w:tc>
          <w:tcPr>
            <w:tcW w:w="2942" w:type="dxa"/>
            <w:tcBorders/>
          </w:tcPr>
          <w:p>
            <w:pPr>
              <w:pStyle w:val="TableContents"/>
              <w:bidi w:val="0"/>
              <w:spacing w:before="0" w:after="283"/>
              <w:jc w:val="left"/>
              <w:rPr/>
            </w:pPr>
            <w:r>
              <w:rPr/>
              <w:t>Use of Proceeds</w:t>
            </w:r>
          </w:p>
        </w:tc>
        <w:tc>
          <w:tcPr>
            <w:tcW w:w="122"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We estimate that the net proceeds to us from the Convertible Note Offering will be approximately $485.8 million (or approximately $558.7 million if the underwriters of the Convertible Note Offering fully exercise their over-allotment option to purchase additional Notes), after deducting the underwriting discounts and commissions and our estimated offering expenses. We intend to use the combined net proceeds from the Convertible Note Offering and the Common Stock Offering together with our existing cash, cash equivalents and investments, to fund (i) clinical development of the VAX-31 adult and pediatric programs, including (a) for the ongoing VAX-31 adult Phase 3 program, the trial evaluating concomitant administration with a seasonal influenza vaccine (OPUS-2, enrolled), the trial in adults who have previously received a pneumococcal vaccine (OPUS-3, enrolled) and the planned manufacturing consistency study, and the anticipated topline safety, tolerability and immunogenicity data announcements from such studies, and (b) for the VAX-31 infant Phase 2 dosefinding study (enrolled), the anticipated topline data announcement(s) from the primary three-dose immunization series and booster dose; (ii) manufacturing scale-up, processes and supply to support our clinical studies and the potential commercial launches of our PCV programs, including (a) to establish additional manufacturing capacity to meet potential incremental supply requirements for the global adult and pediatric populations following the potential initial commercial launch of VAX-31 in adults in the United States and (b) to build inventory levels in advance of such potential commercial launch; (iii) medical affairs, commercial and systems-related investments to prepare for and execute the anticipated U.S. launch of VAX-31 in adults; (iv) ongoing research and development of our other earlystage pipeline vaccine candidates; and (v) general corporate purposes, including working capital, operating expenses and capital expenditures, as well as potential expansion of our research pipeline. See “Use of Proceeds” in the Convertible Note Preliminary Prospectus Supplement.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 - 1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48"/>
        <w:gridCol w:w="121"/>
        <w:gridCol w:w="7136"/>
      </w:tblGrid>
      <w:tr>
        <w:trPr/>
        <w:tc>
          <w:tcPr>
            <w:tcW w:w="294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136" w:type="dxa"/>
            <w:tcBorders/>
            <w:vAlign w:val="center"/>
          </w:tcPr>
          <w:p>
            <w:pPr>
              <w:pStyle w:val="TableContents"/>
              <w:bidi w:val="0"/>
              <w:spacing w:before="0" w:after="283"/>
              <w:jc w:val="left"/>
              <w:rPr>
                <w:sz w:val="4"/>
                <w:szCs w:val="4"/>
              </w:rPr>
            </w:pPr>
            <w:r>
              <w:rPr>
                <w:sz w:val="4"/>
                <w:szCs w:val="4"/>
              </w:rPr>
            </w:r>
          </w:p>
        </w:tc>
      </w:tr>
      <w:tr>
        <w:trPr/>
        <w:tc>
          <w:tcPr>
            <w:tcW w:w="2948" w:type="dxa"/>
            <w:tcBorders/>
          </w:tcPr>
          <w:p>
            <w:pPr>
              <w:pStyle w:val="TableContents"/>
              <w:bidi w:val="0"/>
              <w:spacing w:before="0" w:after="283"/>
              <w:jc w:val="left"/>
              <w:rPr/>
            </w:pPr>
            <w:r>
              <w:rPr/>
              <w:t>Book-Running Managers</w:t>
            </w:r>
          </w:p>
        </w:tc>
        <w:tc>
          <w:tcPr>
            <w:tcW w:w="121"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Jefferies LLC</w:t>
              <w:br/>
              <w:t>Leerink Partners LLC</w:t>
              <w:br/>
              <w:t>BofA Securities, Inc.</w:t>
              <w:br/>
              <w:t>Goldman Sachs &amp; Co. LLC</w:t>
              <w:br/>
              <w:t>Evercore Group L.L.C.</w:t>
            </w:r>
          </w:p>
        </w:tc>
      </w:tr>
      <w:tr>
        <w:trPr>
          <w:trHeight w:val="240" w:hRule="atLeast"/>
        </w:trPr>
        <w:tc>
          <w:tcPr>
            <w:tcW w:w="2948" w:type="dxa"/>
            <w:tcBorders/>
            <w:vAlign w:val="center"/>
          </w:tcPr>
          <w:p>
            <w:pPr>
              <w:pStyle w:val="TableContents"/>
              <w:bidi w:val="0"/>
              <w:spacing w:before="0" w:after="283"/>
              <w:jc w:val="left"/>
              <w:rPr>
                <w:sz w:val="4"/>
                <w:szCs w:val="4"/>
              </w:rPr>
            </w:pPr>
            <w:r>
              <w:rPr>
                <w:sz w:val="4"/>
                <w:szCs w:val="4"/>
              </w:rPr>
            </w:r>
          </w:p>
        </w:tc>
        <w:tc>
          <w:tcPr>
            <w:tcW w:w="7257" w:type="dxa"/>
            <w:gridSpan w:val="2"/>
            <w:tcBorders/>
            <w:vAlign w:val="center"/>
          </w:tcPr>
          <w:p>
            <w:pPr>
              <w:pStyle w:val="TableContents"/>
              <w:bidi w:val="0"/>
              <w:spacing w:before="0" w:after="283"/>
              <w:jc w:val="left"/>
              <w:rPr>
                <w:sz w:val="4"/>
                <w:szCs w:val="4"/>
              </w:rPr>
            </w:pPr>
            <w:r>
              <w:rPr>
                <w:sz w:val="4"/>
                <w:szCs w:val="4"/>
              </w:rPr>
            </w:r>
          </w:p>
        </w:tc>
      </w:tr>
      <w:tr>
        <w:trPr/>
        <w:tc>
          <w:tcPr>
            <w:tcW w:w="2948" w:type="dxa"/>
            <w:tcBorders/>
          </w:tcPr>
          <w:p>
            <w:pPr>
              <w:pStyle w:val="TableContents"/>
              <w:bidi w:val="0"/>
              <w:spacing w:before="0" w:after="283"/>
              <w:jc w:val="left"/>
              <w:rPr/>
            </w:pPr>
            <w:r>
              <w:rPr/>
              <w:t>Bookrunners</w:t>
            </w:r>
          </w:p>
        </w:tc>
        <w:tc>
          <w:tcPr>
            <w:tcW w:w="121"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Guggenheim Securities, LLC</w:t>
              <w:br/>
              <w:t>Mizuho Securities USA LLC</w:t>
            </w:r>
          </w:p>
        </w:tc>
      </w:tr>
      <w:tr>
        <w:trPr>
          <w:trHeight w:val="240" w:hRule="atLeast"/>
        </w:trPr>
        <w:tc>
          <w:tcPr>
            <w:tcW w:w="2948" w:type="dxa"/>
            <w:tcBorders/>
            <w:vAlign w:val="center"/>
          </w:tcPr>
          <w:p>
            <w:pPr>
              <w:pStyle w:val="TableContents"/>
              <w:bidi w:val="0"/>
              <w:spacing w:before="0" w:after="283"/>
              <w:jc w:val="left"/>
              <w:rPr>
                <w:sz w:val="4"/>
                <w:szCs w:val="4"/>
              </w:rPr>
            </w:pPr>
            <w:r>
              <w:rPr>
                <w:sz w:val="4"/>
                <w:szCs w:val="4"/>
              </w:rPr>
            </w:r>
          </w:p>
        </w:tc>
        <w:tc>
          <w:tcPr>
            <w:tcW w:w="7257" w:type="dxa"/>
            <w:gridSpan w:val="2"/>
            <w:tcBorders/>
            <w:vAlign w:val="center"/>
          </w:tcPr>
          <w:p>
            <w:pPr>
              <w:pStyle w:val="TableContents"/>
              <w:bidi w:val="0"/>
              <w:spacing w:before="0" w:after="283"/>
              <w:jc w:val="left"/>
              <w:rPr>
                <w:sz w:val="4"/>
                <w:szCs w:val="4"/>
              </w:rPr>
            </w:pPr>
            <w:r>
              <w:rPr>
                <w:sz w:val="4"/>
                <w:szCs w:val="4"/>
              </w:rPr>
            </w:r>
          </w:p>
        </w:tc>
      </w:tr>
      <w:tr>
        <w:trPr/>
        <w:tc>
          <w:tcPr>
            <w:tcW w:w="2948" w:type="dxa"/>
            <w:tcBorders/>
          </w:tcPr>
          <w:p>
            <w:pPr>
              <w:pStyle w:val="TableContents"/>
              <w:bidi w:val="0"/>
              <w:spacing w:before="0" w:after="283"/>
              <w:jc w:val="left"/>
              <w:rPr/>
            </w:pPr>
            <w:r>
              <w:rPr/>
              <w:t>Lead Manager</w:t>
            </w:r>
          </w:p>
        </w:tc>
        <w:tc>
          <w:tcPr>
            <w:tcW w:w="121"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Needham &amp; Company, LLC</w:t>
            </w:r>
          </w:p>
        </w:tc>
      </w:tr>
      <w:tr>
        <w:trPr>
          <w:trHeight w:val="240" w:hRule="atLeast"/>
        </w:trPr>
        <w:tc>
          <w:tcPr>
            <w:tcW w:w="2948" w:type="dxa"/>
            <w:tcBorders/>
            <w:vAlign w:val="center"/>
          </w:tcPr>
          <w:p>
            <w:pPr>
              <w:pStyle w:val="TableContents"/>
              <w:bidi w:val="0"/>
              <w:spacing w:before="0" w:after="283"/>
              <w:jc w:val="left"/>
              <w:rPr>
                <w:sz w:val="4"/>
                <w:szCs w:val="4"/>
              </w:rPr>
            </w:pPr>
            <w:r>
              <w:rPr>
                <w:sz w:val="4"/>
                <w:szCs w:val="4"/>
              </w:rPr>
            </w:r>
          </w:p>
        </w:tc>
        <w:tc>
          <w:tcPr>
            <w:tcW w:w="7257" w:type="dxa"/>
            <w:gridSpan w:val="2"/>
            <w:tcBorders/>
            <w:vAlign w:val="center"/>
          </w:tcPr>
          <w:p>
            <w:pPr>
              <w:pStyle w:val="TableContents"/>
              <w:bidi w:val="0"/>
              <w:spacing w:before="0" w:after="283"/>
              <w:jc w:val="left"/>
              <w:rPr>
                <w:sz w:val="4"/>
                <w:szCs w:val="4"/>
              </w:rPr>
            </w:pPr>
            <w:r>
              <w:rPr>
                <w:sz w:val="4"/>
                <w:szCs w:val="4"/>
              </w:rPr>
            </w:r>
          </w:p>
        </w:tc>
      </w:tr>
      <w:tr>
        <w:trPr/>
        <w:tc>
          <w:tcPr>
            <w:tcW w:w="2948" w:type="dxa"/>
            <w:tcBorders/>
          </w:tcPr>
          <w:p>
            <w:pPr>
              <w:pStyle w:val="TableContents"/>
              <w:bidi w:val="0"/>
              <w:spacing w:before="0" w:after="283"/>
              <w:jc w:val="left"/>
              <w:rPr/>
            </w:pPr>
            <w:r>
              <w:rPr/>
              <w:t>CUSIP / ISIN Numbers for the Notes</w:t>
            </w:r>
          </w:p>
        </w:tc>
        <w:tc>
          <w:tcPr>
            <w:tcW w:w="121"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92243GAA6 / US92243GAA67.</w:t>
            </w:r>
          </w:p>
        </w:tc>
      </w:tr>
      <w:tr>
        <w:trPr>
          <w:trHeight w:val="240" w:hRule="atLeast"/>
        </w:trPr>
        <w:tc>
          <w:tcPr>
            <w:tcW w:w="2948" w:type="dxa"/>
            <w:tcBorders/>
            <w:vAlign w:val="center"/>
          </w:tcPr>
          <w:p>
            <w:pPr>
              <w:pStyle w:val="TableContents"/>
              <w:bidi w:val="0"/>
              <w:spacing w:before="0" w:after="283"/>
              <w:jc w:val="left"/>
              <w:rPr>
                <w:sz w:val="4"/>
                <w:szCs w:val="4"/>
              </w:rPr>
            </w:pPr>
            <w:r>
              <w:rPr>
                <w:sz w:val="4"/>
                <w:szCs w:val="4"/>
              </w:rPr>
            </w:r>
          </w:p>
        </w:tc>
        <w:tc>
          <w:tcPr>
            <w:tcW w:w="7257" w:type="dxa"/>
            <w:gridSpan w:val="2"/>
            <w:tcBorders/>
            <w:vAlign w:val="center"/>
          </w:tcPr>
          <w:p>
            <w:pPr>
              <w:pStyle w:val="TableContents"/>
              <w:bidi w:val="0"/>
              <w:spacing w:before="0" w:after="283"/>
              <w:jc w:val="left"/>
              <w:rPr>
                <w:sz w:val="4"/>
                <w:szCs w:val="4"/>
              </w:rPr>
            </w:pPr>
            <w:r>
              <w:rPr>
                <w:sz w:val="4"/>
                <w:szCs w:val="4"/>
              </w:rPr>
            </w:r>
          </w:p>
        </w:tc>
      </w:tr>
      <w:tr>
        <w:trPr/>
        <w:tc>
          <w:tcPr>
            <w:tcW w:w="2948" w:type="dxa"/>
            <w:tcBorders/>
          </w:tcPr>
          <w:p>
            <w:pPr>
              <w:pStyle w:val="TableContents"/>
              <w:bidi w:val="0"/>
              <w:spacing w:before="0" w:after="283"/>
              <w:jc w:val="left"/>
              <w:rPr/>
            </w:pPr>
            <w:r>
              <w:rPr/>
              <w:t>Increase to Conversion Rate in Connection with a Make-Whole Fundamental Change</w:t>
            </w:r>
          </w:p>
        </w:tc>
        <w:tc>
          <w:tcPr>
            <w:tcW w:w="121"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If a make-whole fundamental change occurs with respect to any Note and the conversion date for the conversion of such Note occurs during the related make-whole fundamental change conversion period, then, subject to the provisions described in the Convertible Note Preliminary Prospectus Supplement under the caption “Description of Notes—Conversion Rights—Increase in Conversion Rate in Connection with a Make-Whole Fundamental Change,” the conversion rate applicable to such conversion will be increased by a number of shares set forth in the table below corresponding (after interpolation, as described below) to the make-whole fundamental change effective date and the stock price of such make-whole fundamental change:</w:t>
            </w:r>
          </w:p>
        </w:tc>
      </w:tr>
    </w:tbl>
    <w:p>
      <w:pPr>
        <w:pStyle w:val="TextBody"/>
        <w:bidi w:val="0"/>
        <w:spacing w:before="0" w:after="0"/>
        <w:jc w:val="left"/>
        <w:rPr/>
      </w:pPr>
      <w:r>
        <w:rPr/>
        <w:t> </w:t>
      </w:r>
    </w:p>
    <w:tbl>
      <w:tblPr>
        <w:tblW w:w="11575" w:type="dxa"/>
        <w:jc w:val="center"/>
        <w:tblInd w:w="0" w:type="dxa"/>
        <w:tblLayout w:type="fixed"/>
        <w:tblCellMar>
          <w:top w:w="0" w:type="dxa"/>
          <w:left w:w="0" w:type="dxa"/>
          <w:bottom w:w="0" w:type="dxa"/>
          <w:right w:w="0" w:type="dxa"/>
        </w:tblCellMar>
      </w:tblPr>
      <w:tblGrid>
        <w:gridCol w:w="1955"/>
        <w:gridCol w:w="120"/>
        <w:gridCol w:w="60"/>
        <w:gridCol w:w="680"/>
        <w:gridCol w:w="60"/>
        <w:gridCol w:w="120"/>
        <w:gridCol w:w="60"/>
        <w:gridCol w:w="680"/>
        <w:gridCol w:w="60"/>
        <w:gridCol w:w="120"/>
        <w:gridCol w:w="60"/>
        <w:gridCol w:w="680"/>
        <w:gridCol w:w="60"/>
        <w:gridCol w:w="120"/>
        <w:gridCol w:w="64"/>
        <w:gridCol w:w="736"/>
        <w:gridCol w:w="60"/>
        <w:gridCol w:w="120"/>
        <w:gridCol w:w="64"/>
        <w:gridCol w:w="736"/>
        <w:gridCol w:w="60"/>
        <w:gridCol w:w="120"/>
        <w:gridCol w:w="64"/>
        <w:gridCol w:w="736"/>
        <w:gridCol w:w="60"/>
        <w:gridCol w:w="120"/>
        <w:gridCol w:w="64"/>
        <w:gridCol w:w="736"/>
        <w:gridCol w:w="60"/>
        <w:gridCol w:w="120"/>
        <w:gridCol w:w="64"/>
        <w:gridCol w:w="736"/>
        <w:gridCol w:w="60"/>
        <w:gridCol w:w="120"/>
        <w:gridCol w:w="64"/>
        <w:gridCol w:w="736"/>
        <w:gridCol w:w="60"/>
        <w:gridCol w:w="120"/>
        <w:gridCol w:w="64"/>
        <w:gridCol w:w="736"/>
        <w:gridCol w:w="60"/>
      </w:tblGrid>
      <w:tr>
        <w:trPr/>
        <w:tc>
          <w:tcPr>
            <w:tcW w:w="19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955" w:type="dxa"/>
            <w:vMerge w:val="restart"/>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Make-Whole Fundamental</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Change Effective Date</w:t>
            </w:r>
          </w:p>
        </w:tc>
        <w:tc>
          <w:tcPr>
            <w:tcW w:w="120" w:type="dxa"/>
            <w:tcBorders/>
            <w:vAlign w:val="bottom"/>
          </w:tcPr>
          <w:p>
            <w:pPr>
              <w:pStyle w:val="TableContents"/>
              <w:bidi w:val="0"/>
              <w:spacing w:before="0" w:after="283"/>
              <w:jc w:val="left"/>
              <w:rPr/>
            </w:pPr>
            <w:r>
              <w:rPr/>
              <w:t>  </w:t>
            </w:r>
          </w:p>
        </w:tc>
        <w:tc>
          <w:tcPr>
            <w:tcW w:w="9440" w:type="dxa"/>
            <w:gridSpan w:val="38"/>
            <w:tcBorders>
              <w:bottom w:val="single" w:sz="8" w:space="0" w:color="000000"/>
            </w:tcBorders>
            <w:tcMar>
              <w:bottom w:w="28" w:type="dxa"/>
            </w:tcMar>
            <w:vAlign w:val="bottom"/>
          </w:tcPr>
          <w:p>
            <w:pPr>
              <w:pStyle w:val="TableContents"/>
              <w:bidi w:val="0"/>
              <w:spacing w:before="0" w:after="283"/>
              <w:jc w:val="center"/>
              <w:rPr>
                <w:b/>
              </w:rPr>
            </w:pPr>
            <w:r>
              <w:rPr>
                <w:b/>
              </w:rPr>
              <w:t>Stock Price</w:t>
            </w:r>
          </w:p>
        </w:tc>
        <w:tc>
          <w:tcPr>
            <w:tcW w:w="60" w:type="dxa"/>
            <w:tcBorders/>
            <w:vAlign w:val="bottom"/>
          </w:tcPr>
          <w:p>
            <w:pPr>
              <w:pStyle w:val="TableContents"/>
              <w:bidi w:val="0"/>
              <w:spacing w:before="0" w:after="283"/>
              <w:jc w:val="left"/>
              <w:rPr/>
            </w:pPr>
            <w:r>
              <w:rPr/>
              <w:t> </w:t>
            </w:r>
          </w:p>
        </w:tc>
      </w:tr>
      <w:tr>
        <w:trPr/>
        <w:tc>
          <w:tcPr>
            <w:tcW w:w="1955"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$64.00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$75.00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$89.60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$102.50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$116.48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$225.00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$325.00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$475.00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$650.00</w:t>
            </w:r>
          </w:p>
        </w:tc>
        <w:tc>
          <w:tcPr>
            <w:tcW w:w="60" w:type="dxa"/>
            <w:tcBorders/>
            <w:vAlign w:val="bottom"/>
          </w:tcPr>
          <w:p>
            <w:pPr>
              <w:pStyle w:val="TableContents"/>
              <w:bidi w:val="0"/>
              <w:spacing w:before="0" w:after="283"/>
              <w:jc w:val="left"/>
              <w:rPr/>
            </w:pPr>
            <w:r>
              <w:rPr/>
              <w:t> </w:t>
            </w:r>
          </w:p>
        </w:tc>
      </w:tr>
      <w:tr>
        <w:trPr/>
        <w:tc>
          <w:tcPr>
            <w:tcW w:w="1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9, 2026</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4.4643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3.4015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2.4747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1.9262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1.5049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0.8977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0.3527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0.1234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0.0232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955" w:type="dxa"/>
            <w:tcBorders/>
          </w:tcPr>
          <w:p>
            <w:pPr>
              <w:pStyle w:val="TableContents"/>
              <w:bidi w:val="0"/>
              <w:spacing w:before="0" w:after="0"/>
              <w:jc w:val="left"/>
              <w:rPr>
                <w:rFonts w:ascii="Times New Roman" w:hAnsi="Times New Roman"/>
                <w:sz w:val="20"/>
              </w:rPr>
            </w:pPr>
            <w:r>
              <w:rPr>
                <w:rFonts w:ascii="Times New Roman" w:hAnsi="Times New Roman"/>
                <w:sz w:val="20"/>
              </w:rPr>
              <w:t>October 15, 2027</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4.4643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3.3957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2.4289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1.8637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1.4348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0.8289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0.3068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0.0995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0.0151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2028</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4.4643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3.3775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2.3605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1.7757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1.3394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0.7400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0.2524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0.0739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0.0076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955" w:type="dxa"/>
            <w:tcBorders/>
          </w:tcPr>
          <w:p>
            <w:pPr>
              <w:pStyle w:val="TableContents"/>
              <w:bidi w:val="0"/>
              <w:spacing w:before="0" w:after="0"/>
              <w:jc w:val="left"/>
              <w:rPr>
                <w:rFonts w:ascii="Times New Roman" w:hAnsi="Times New Roman"/>
                <w:sz w:val="20"/>
              </w:rPr>
            </w:pPr>
            <w:r>
              <w:rPr>
                <w:rFonts w:ascii="Times New Roman" w:hAnsi="Times New Roman"/>
                <w:sz w:val="20"/>
              </w:rPr>
              <w:t>October 15, 2029</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4.4643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3.3049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2.2319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1.6296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1.1913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0.6147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0.1854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0.0468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2030</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4.4643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3.1395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1.3858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0.9584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0.4383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0.1082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0.0216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955" w:type="dxa"/>
            <w:tcBorders/>
          </w:tcPr>
          <w:p>
            <w:pPr>
              <w:pStyle w:val="TableContents"/>
              <w:bidi w:val="0"/>
              <w:spacing w:before="0" w:after="0"/>
              <w:jc w:val="left"/>
              <w:rPr>
                <w:rFonts w:ascii="Times New Roman" w:hAnsi="Times New Roman"/>
                <w:sz w:val="20"/>
              </w:rPr>
            </w:pPr>
            <w:r>
              <w:rPr>
                <w:rFonts w:ascii="Times New Roman" w:hAnsi="Times New Roman"/>
                <w:sz w:val="20"/>
              </w:rPr>
              <w:t>October 15, 2031</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4.4643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2.8052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1.5648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0.9565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0.5792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0.0364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0.0049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2032</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4.4643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2.1727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such make-whole fundamental change effective date or stock price is not set forth in the table above, then: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 - 1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stock price is greater than $650.00 (subject to adjustment in the same manner as the stock prices set forth in the column headings of the table above are adjusted, as described in the Convertible Note Preliminary Prospectus Supplement under the caption “Description of Notes—Conversion Rights—Increase in Conversion Rate in Connection with a Make-Whole Fundamental Change—Adjustment of Stock Prices and Number of Additional Shares”), or less than $64.00 (subject to adjustment in the same manner), per share, then no additional shares will be added to the conversion 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no event will the conversion rate be increased to an amount that exceeds 15.6250 shares of our Common Stock per $1,000 principal amount of Notes, which amount is subject to adjustment in the same manner as, and at the same time and for the same events for which, the conversion rate is required to be adjusted pursuant to the provisions described in the Convertible Note Preliminary Prospectus Supplement under the caption “Description of Notes—Conversion Rights—Conversion Rate Adjustments—Generally.”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b/>
          <w:sz w:val="20"/>
        </w:rPr>
        <w:t xml:space="preserve">We have filed a registration statement (including a prospectus) and the Preliminary Prospectus Supplements with the SEC for the offerings to which this communication relates. Before you invest, you should read the applicable Preliminary Prospectus Supplement and the prospectus in that registration statement and other documents we have filed with the SEC for more complete information about us and these offerings. You may get these documents free by visiting EDGAR on the SEC website at </w:t>
      </w:r>
      <w:r>
        <w:rPr>
          <w:rFonts w:ascii="Times New Roman" w:hAnsi="Times New Roman"/>
          <w:b/>
          <w:i/>
          <w:sz w:val="20"/>
        </w:rPr>
        <w:t>www.sec.gov</w:t>
      </w:r>
      <w:r>
        <w:rPr>
          <w:rFonts w:ascii="Times New Roman" w:hAnsi="Times New Roman"/>
          <w:b/>
          <w:sz w:val="20"/>
        </w:rPr>
        <w:t xml:space="preserve">. Alternatively, we, any underwriter or any dealer participating in the applicable offering will arrange to send you the applicable Preliminary Prospectus Supplement (or, when available, the applicable final prospectus supplement) and the accompanying prospectus upon request to: Jefferies LLC, Attention: Equity Syndicate Prospectus Department, 520 Madison Avenue, New York, New York 10022, by telephone at (877) 821-7388 or by email at Prospectus_Department@Jefferies.com; or Leerink Partners LLC, Attention: Syndicate Department, 53 State Street, 40th Floor, Boston, Massachusetts 02109, by telephone at (800) 808-7525, ext. 6105, or by email at syndicate@leerink.com. </w:t>
      </w:r>
    </w:p>
    <w:p>
      <w:pPr>
        <w:pStyle w:val="TextBody"/>
        <w:bidi w:val="0"/>
        <w:spacing w:before="240" w:after="0"/>
        <w:jc w:val="left"/>
        <w:rPr>
          <w:rFonts w:ascii="Times New Roman" w:hAnsi="Times New Roman"/>
          <w:b/>
          <w:sz w:val="20"/>
        </w:rPr>
      </w:pPr>
      <w:r>
        <w:rPr>
          <w:rFonts w:ascii="Times New Roman" w:hAnsi="Times New Roman"/>
          <w:b/>
          <w:sz w:val="20"/>
        </w:rPr>
        <w:t xml:space="preserve">The information in this pricing term sheet is not a complete description of the Common Stock, the Common Stock Offering, the Notes or the Convertible Note Offering. You should rely only on the information contained or incorporated by reference in the applicable Preliminary Prospectus Supplement and the accompanying prospectus, as supplemented by this pricing term sheet, in making an investment decision with respect to the Common Stock or the Notes. </w:t>
      </w:r>
    </w:p>
    <w:p>
      <w:pPr>
        <w:pStyle w:val="TextBody"/>
        <w:bidi w:val="0"/>
        <w:spacing w:before="240" w:after="0"/>
        <w:jc w:val="left"/>
        <w:rPr>
          <w:rFonts w:ascii="Times New Roman" w:hAnsi="Times New Roman"/>
          <w:b/>
          <w:sz w:val="20"/>
        </w:rPr>
      </w:pPr>
      <w:r>
        <w:rPr>
          <w:rFonts w:ascii="Times New Roman" w:hAnsi="Times New Roman"/>
          <w:b/>
          <w:sz w:val="20"/>
        </w:rPr>
        <w:t xml:space="preserve">ANY DISCLAIMERS OR OTHER NOTICES THAT MAY APPEAR BELOW ARE NOT APPLICABLE TO THIS COMMUNICATION AND SHOULD BE DISREGARDED. SUCH DISCLAIMERS OR OTHER NOTICES WERE AUTOMATICALLY GENERATED AS A RESULT OF THIS COMMUNICATION BEING SENT VIA BLOOMBERG OR ANOTHER EMAIL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 - 1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B-2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Free Writing Prospectuses </w:t>
      </w:r>
    </w:p>
    <w:p>
      <w:pPr>
        <w:pStyle w:val="TextBody"/>
        <w:bidi w:val="0"/>
        <w:spacing w:before="240" w:after="0"/>
        <w:jc w:val="left"/>
        <w:rPr>
          <w:rFonts w:ascii="Times New Roman" w:hAnsi="Times New Roman"/>
          <w:sz w:val="20"/>
        </w:rPr>
      </w:pPr>
      <w:r>
        <w:rPr>
          <w:rFonts w:ascii="Times New Roman" w:hAnsi="Times New Roman"/>
          <w:sz w:val="20"/>
        </w:rPr>
        <w:t xml:space="preserve">Pricing Term Sheet in the form as set forth in </w:t>
      </w:r>
      <w:r>
        <w:rPr>
          <w:rFonts w:ascii="Times New Roman" w:hAnsi="Times New Roman"/>
          <w:sz w:val="20"/>
          <w:u w:val="single"/>
        </w:rPr>
        <w:t>Schedule B-1</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 - 2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C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Written Testing-the-Waters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C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0" w:after="0"/>
        <w:jc w:val="left"/>
        <w:rPr>
          <w:rFonts w:ascii="Times New Roman" w:hAnsi="Times New Roman"/>
          <w:sz w:val="20"/>
        </w:rPr>
      </w:pPr>
      <w:r>
        <w:rPr>
          <w:rFonts w:ascii="Times New Roman" w:hAnsi="Times New Roman"/>
          <w:sz w:val="20"/>
        </w:rPr>
        <w:t xml:space="preserve">to be named in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c/o 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Proposed Public Offering by Vaxcyte, Inc.</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Sirs and Madams: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a stockholder, optionholder, officer and/or director of Vaxcyte, Inc., a Delaware corporation (the “Company”), understands that Jefferies LLC and Leerink Partners LLC (collectively, the “Representatives”) propose to enter into (i) an Underwriting Agreement (the “Equity Underwriting Agreement”) with the Company providing for the public offering (the “Equity Offering”) of shares (the “Shares”) of the Company’s common stock, par value $0.001 per share (the “Common Stock”), and/or pre-funded warrants to purchase shares of Common Stock (the “Pre-Funded Warrants and together with the Shares, the “Equity Securities”) and (ii) an Underwriting Agreement (the “Debt Underwriting Agreement” and together with the Equity Underwriting Agreement, the “Underwriting Agreements”) with the Company providing for the public offering (the “Debt Offering” and together with the Equity Offering, the “Offerings”) of convertible senior notes (the “Notes” and together with the Equity Securities, the “Securities”). In the event that the Company and the Representatives determine to only commence the Equity Offering, then references herein to the terms “Underwriting Agreements,” “Offerings” and “Securities” shall mean the “Equity Underwriting Agreement,” “Equity Offering” and “Equity Securities,” respectively, while if such parties determine to only commence the Debt Offering, then references herein to the terms “Underwriting Agreements,” “Offerings” and “Securities” shall mean the “Debt Underwriting Agreement,” “Debt Offering” and the “Notes,” respectively. In recognition of the benefit that such an offering will confer upon the undersigned as a stockholder, optionholder, officer and/or director of the Company, and for other good and valuable consideration, the receipt and sufficiency of which are hereby acknowledged, the undersigned agrees with the Representatives on behalf of the underwriters that, during the period beginning on the date hereof and ending on, and including, the date that is 60 days from the date of the Underwriting Agreements (the “Lock-Up Period”), the undersigned will not, without the prior written consent of Jefferies LLC and Leerink Partners LLC,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shares of Common Stock,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cause to be filed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and subject to the conditions below, the undersigned may, without the prior written consent of Jefferies LLC and Leerink Partners LLC, </w:t>
      </w:r>
    </w:p>
    <w:p>
      <w:pPr>
        <w:pStyle w:val="TextBody"/>
        <w:bidi w:val="0"/>
        <w:spacing w:before="240" w:after="0"/>
        <w:jc w:val="left"/>
        <w:rPr>
          <w:rFonts w:ascii="Times New Roman" w:hAnsi="Times New Roman"/>
          <w:sz w:val="20"/>
        </w:rPr>
      </w:pPr>
      <w:r>
        <w:rPr>
          <w:rFonts w:ascii="Times New Roman" w:hAnsi="Times New Roman"/>
          <w:sz w:val="20"/>
        </w:rPr>
        <w:t xml:space="preserve">(a) transfer the Lock-Up Securities, provided that (1) the Representatives receive a signed lock-up agreement for the balance of the Lock-Up Period from each donee, trustee, distributee, or transferee, as the case may be, (2) any such transfer shall not involve a disposition for value, (3) such transfers are not required to be reported with the Securities and Exchange Commission on Form 4 in accordance with Section 16 of the Securities Exchange Act of 1934, as amended, and the rules and regulations of the Securities and Exchange Commission promulgated thereunder (the “Exchange Act”), and (4) the undersigned does not otherwise voluntarily effect any public filing or report regarding such transfers: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trust for the direct or indirect benefit of the undersigned or the immediate family of the undersigned (for purposes of this lock-up agreement, “immediate family” shall mean any relationship by blood, marriage or adoption, not more remote than first cousin);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trust, to the trustor or beneficiary of such trust or to the estate of a beneficiary of such trust;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distribution to partners, stockholders, members of or owners of similar equity interests of the undersigned;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undersigned’s affiliates or to any investment fund or other entity controlled or managed by the undersigned.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the Lock-Up Securities, provided that (1) the Representatives receive a signed lock-up agreement for the balance of the Lock-Up Period from each donee, trustee, distributee, or transferee, as the case may be, (2) any such transfer shall not involve a disposition for value, and (3) any filing under the Exchange Act required to be made during the Lock-Up Period shall clearly indicate in the footnotes thereto that the filing relates to circumstances described below, as applicable, and in the case of clause (i) below, the undersigned does not otherwise voluntarily effect any public filing or report regarding such transfers: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w:t>
            </w:r>
            <w:r>
              <w:rPr>
                <w:rFonts w:ascii="Times New Roman" w:hAnsi="Times New Roman"/>
                <w:i/>
                <w:sz w:val="20"/>
              </w:rPr>
              <w:t>bona fide</w:t>
            </w:r>
            <w:r>
              <w:rPr>
                <w:rFonts w:ascii="Times New Roman" w:hAnsi="Times New Roman"/>
                <w:sz w:val="20"/>
              </w:rPr>
              <w:t xml:space="preserve"> gift or gifts;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will or intestate succession to the legal representative, heir, beneficiary or any immediate family of the undersigned;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court or regulatory agency order, a qualified domestic order or in connection with a divorce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the Lock-Up Securities to the Company pursuant to an agreement under which the Company has the option to repurchase shares or a right of first refusal with respect to transfer of such shares upon termination of service of the undersigned;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any filing under Section 16 of the Exchange Act made during the Lock-Up Period shall clearly indicate in the footnotes thereto that (1) the filing relates to the circumstances described above and (2) no Lock-Up Securities were sold by the undersigned, other than such transfers to the Company as described and (B) the undersigned does not otherwise voluntarily effect any other public filings or report regarding such transfer during the Lock-Up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or surrender the Lock-Up Securities to the Company as forfeitures to satisfy tax withholding and remittance obligations of the undersigned in connection with the vesting or exercise of equity awards granted pursuant to the Company’s equity incentive plans or pursuant to a net exercise or cashless exercise by the stockholder of outstanding equity awards pursuant to the Company’s equity incentive plans;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any filing under Section 16 of the Exchange Act made during the Lock-Up Period shall clearly indicate in the footnotes thereto that (1) the filing relates to the circumstances described above and (2) no Lock-Up Securities were sold by the undersigned, other than such transfers to the Company as described and (B) the undersigned does not otherwise voluntarily effect any other public filings or report regarding such transfer or surrender during the Lock-Up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the Lock-Up Securities upon the completion of a bona fide third-party tender offer, merger, consolidation or other similar transaction made to all holders of the Company’s securities involving a change of control of the Company, provided that, in the event that such tender offer, merger, consolidation or other similar transaction is not completed, any Lock-Up Securities held by the undersigned shall remain subject to the restrictions on transfer set forth in this lock-up agreement (for purposes hereof, “change of control” shall mean the transfer (whether by tender offer, merger, consolidation or other similar transaction), in one transaction or a series of related transactions, to a person or group of affiliated persons, of shares of capital stock of the Company if, after such transfer, such person or group of affiliated persons would hold more than 50% of the outstanding voting securities of the Company (or the surviving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rights to purchase, exchange or convert any stock options granted to the undersigned pursuant to the Company’s equity incentive plans referred to in the Prospectus (as defined in the Underwriting Agreements), or exercise any warrants or other securities convertible into or exercisable or exchangeable for shares of Common Stock, which warrants or other securities are described in the Prospectus; </w:t>
            </w:r>
            <w:r>
              <w:rPr>
                <w:rFonts w:ascii="Times New Roman" w:hAnsi="Times New Roman"/>
                <w:i/>
                <w:sz w:val="20"/>
              </w:rPr>
              <w:t>provided</w:t>
            </w:r>
            <w:r>
              <w:rPr>
                <w:rFonts w:ascii="Times New Roman" w:hAnsi="Times New Roman"/>
                <w:sz w:val="20"/>
              </w:rPr>
              <w:t xml:space="preserve">, that (A) any shares of Common Stock issued upon exercise, conversion or exchange of such option, warrant or other security shall continue to be subject to the restrictions set forth herein until the expiration of the Lock-Up Period and (B) any filing under Section 16 of the Exchange Act shall clearly indicate in the footnotes thereto that the shares of Common Stock received from such purchase, exchange or conversion remain subject to the restrictions on transfer set forth in this lock-up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the Lock-Up Securities pursuant to a trading plan established under Rule 10b5-1 under the Exchange Act (“10b5-1 Trading Plan”) prior to the date hereof; </w:t>
            </w:r>
            <w:r>
              <w:rPr>
                <w:rFonts w:ascii="Times New Roman" w:hAnsi="Times New Roman"/>
                <w:i/>
                <w:sz w:val="20"/>
              </w:rPr>
              <w:t>provided</w:t>
            </w:r>
            <w:r>
              <w:rPr>
                <w:rFonts w:ascii="Times New Roman" w:hAnsi="Times New Roman"/>
                <w:sz w:val="20"/>
              </w:rPr>
              <w:t xml:space="preserve">, that such trading plan was established prior to the entry into this letter agreement and such trading plan has been provided to the Representatives and their legal counsel, and </w:t>
            </w:r>
            <w:r>
              <w:rPr>
                <w:rFonts w:ascii="Times New Roman" w:hAnsi="Times New Roman"/>
                <w:i/>
                <w:sz w:val="20"/>
              </w:rPr>
              <w:t>provided further</w:t>
            </w:r>
            <w:r>
              <w:rPr>
                <w:rFonts w:ascii="Times New Roman" w:hAnsi="Times New Roman"/>
                <w:sz w:val="20"/>
              </w:rPr>
              <w:t xml:space="preserve">, that, to the extent a public announcement or filing under the Exchange Act, if any, is required of or voluntarily made by or on behalf of the undersigned or the Company regarding such transfer, such announcement or filing shall include a statement that such transfer is in accordance with an established 10b5-1 Trading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nothing herein shall prevent the undersigned from establishing a 10b5-1 Trading Plan or from amending an existing 10b5-1 Trading Plan so long as either there are no sales of Lock-Up Securities under such plan during the Lock-Up Period or such 10b5-1 Trading Plan has been reviewed by the Representatives prior to the date of the Underwriting Agreements; and provided that the establishment of a 10b5-1 Trading Plan or the amendment of a 10b5-1 Trading Plan, in either case, providing for sales of Lock-Up Securities shall only be permitted if (i) the establishment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amendment of such plan is not required to be reported in any public report or filing with the Securities and Exchange Commission, or otherwise, during the Lock-Up Period (other than the required disclosure on Form 10-Q or Form 10-K, as applicable, of the entrance into any 10b5-1 Trading Plan during the relevant fiscal quarter, provided that such disclosure includes a statement to the effect that no transfers may be made pursuant to such 10b5-1 Trading Plan during the Lock-Up Period) and (ii) the undersigned does not otherwise voluntarily effect any public filing or report regarding the establishment or amendment of such plan.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undersigned may sell shares of Common Stock of the Company purchased by the undersigned in the Offerings or on the open market following the Offerings if and only if (i) such sales are not required to be reported in any public report or filing with the Securities and Exchange Commission or otherwise and (ii) the undersigned does not otherwise voluntarily effect any public filing or report regarding such sales.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also agrees and consents to the entry of stop transfer instructions with the Company’s transfer agent and registrar against the transfer of the Lock-Up Securities except in compliance with the foregoing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shall automatically terminate, and the undersigned shall be released from its obligations hereunder, upon the earliest to occur, if any, of: (1) the date either the Company, on the one hand, or the Representatives, on the other hand, advise the other in writing, prior to the execution of the Underwriting Agreements, that they have determined not to proceed with the Offerings, (2) the date of the termination of the Underwriting Agreements prior to payment for and delivery of the Securities to be sold thereunder, (3) the date of the withdrawal of the registration statement furnished to or filed with the Securities and Exchange Commission with respect to the Offerings, or (4) October 31, 2026, in the event that the Underwriting Agreements have not been executed by such date.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agrees that, to the extent that the terms of this lock-up agreement conflict with or are in any way inconsistent with any registration rights agreement or similar agreement to which the undersigned and the Company may be a party, this lock-up agreement supersedes such registration rights agreement or similar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and any claim, controversy or dispute arising under or related hereto shall be governed by, and construed in accordance with, the laws of the State of New York, without regard to the conflict of laws principles thereof that would result in the application of the laws of any other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276"/>
        <w:gridCol w:w="60"/>
        <w:gridCol w:w="2746"/>
      </w:tblGrid>
      <w:tr>
        <w:trPr/>
        <w:tc>
          <w:tcPr>
            <w:tcW w:w="12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1276" w:type="dxa"/>
            <w:tcBorders/>
            <w:vAlign w:val="center"/>
          </w:tcPr>
          <w:p>
            <w:pPr>
              <w:pStyle w:val="TableContents"/>
              <w:bidi w:val="0"/>
              <w:spacing w:before="0" w:after="283"/>
              <w:jc w:val="left"/>
              <w:rPr>
                <w:sz w:val="4"/>
                <w:szCs w:val="4"/>
              </w:rPr>
            </w:pPr>
            <w:r>
              <w:rPr>
                <w:sz w:val="4"/>
                <w:szCs w:val="4"/>
              </w:rPr>
            </w:r>
          </w:p>
        </w:tc>
        <w:tc>
          <w:tcPr>
            <w:tcW w:w="2806" w:type="dxa"/>
            <w:gridSpan w:val="2"/>
            <w:tcBorders/>
            <w:vAlign w:val="center"/>
          </w:tcPr>
          <w:p>
            <w:pPr>
              <w:pStyle w:val="TableContents"/>
              <w:bidi w:val="0"/>
              <w:spacing w:before="0" w:after="283"/>
              <w:jc w:val="left"/>
              <w:rPr>
                <w:sz w:val="4"/>
                <w:szCs w:val="4"/>
              </w:rPr>
            </w:pPr>
            <w:r>
              <w:rPr>
                <w:sz w:val="4"/>
                <w:szCs w:val="4"/>
              </w:rPr>
            </w:r>
          </w:p>
        </w:tc>
      </w:tr>
      <w:tr>
        <w:trPr/>
        <w:tc>
          <w:tcPr>
            <w:tcW w:w="1276" w:type="dxa"/>
            <w:tcBorders/>
          </w:tcPr>
          <w:p>
            <w:pPr>
              <w:pStyle w:val="TableContents"/>
              <w:bidi w:val="0"/>
              <w:spacing w:before="0" w:after="283"/>
              <w:jc w:val="left"/>
              <w:rPr/>
            </w:pPr>
            <w:r>
              <w:rPr/>
              <w:t>Signature:</w:t>
            </w:r>
          </w:p>
        </w:tc>
        <w:tc>
          <w:tcPr>
            <w:tcW w:w="60" w:type="dxa"/>
            <w:tcBorders/>
            <w:vAlign w:val="bottom"/>
          </w:tcPr>
          <w:p>
            <w:pPr>
              <w:pStyle w:val="TableContents"/>
              <w:bidi w:val="0"/>
              <w:spacing w:before="0" w:after="283"/>
              <w:jc w:val="left"/>
              <w:rPr/>
            </w:pPr>
            <w:r>
              <w:rPr/>
              <w:t> </w:t>
            </w:r>
          </w:p>
        </w:tc>
        <w:tc>
          <w:tcPr>
            <w:tcW w:w="2746" w:type="dxa"/>
            <w:tcBorders/>
          </w:tcPr>
          <w:p>
            <w:pPr>
              <w:pStyle w:val="TableContents"/>
              <w:pBdr>
                <w:bottom w:val="single" w:sz="2" w:space="1" w:color="000000"/>
              </w:pBdr>
              <w:bidi w:val="0"/>
              <w:spacing w:before="0" w:after="20"/>
              <w:jc w:val="left"/>
              <w:rPr/>
            </w:pPr>
            <w:r>
              <w:rPr/>
              <w:t> </w:t>
            </w:r>
          </w:p>
        </w:tc>
      </w:tr>
      <w:tr>
        <w:trPr>
          <w:trHeight w:val="240" w:hRule="atLeast"/>
        </w:trPr>
        <w:tc>
          <w:tcPr>
            <w:tcW w:w="1276" w:type="dxa"/>
            <w:tcBorders/>
            <w:vAlign w:val="center"/>
          </w:tcPr>
          <w:p>
            <w:pPr>
              <w:pStyle w:val="TableContents"/>
              <w:bidi w:val="0"/>
              <w:spacing w:before="0" w:after="283"/>
              <w:jc w:val="left"/>
              <w:rPr>
                <w:sz w:val="4"/>
                <w:szCs w:val="4"/>
              </w:rPr>
            </w:pPr>
            <w:r>
              <w:rPr>
                <w:sz w:val="4"/>
                <w:szCs w:val="4"/>
              </w:rPr>
            </w:r>
          </w:p>
        </w:tc>
        <w:tc>
          <w:tcPr>
            <w:tcW w:w="2806" w:type="dxa"/>
            <w:gridSpan w:val="2"/>
            <w:tcBorders/>
            <w:vAlign w:val="center"/>
          </w:tcPr>
          <w:p>
            <w:pPr>
              <w:pStyle w:val="TableContents"/>
              <w:bidi w:val="0"/>
              <w:spacing w:before="0" w:after="283"/>
              <w:jc w:val="left"/>
              <w:rPr>
                <w:sz w:val="4"/>
                <w:szCs w:val="4"/>
              </w:rPr>
            </w:pPr>
            <w:r>
              <w:rPr>
                <w:sz w:val="4"/>
                <w:szCs w:val="4"/>
              </w:rPr>
            </w:r>
          </w:p>
        </w:tc>
      </w:tr>
      <w:tr>
        <w:trPr/>
        <w:tc>
          <w:tcPr>
            <w:tcW w:w="1276" w:type="dxa"/>
            <w:tcBorders/>
          </w:tcPr>
          <w:p>
            <w:pPr>
              <w:pStyle w:val="TableContents"/>
              <w:bidi w:val="0"/>
              <w:spacing w:before="0" w:after="283"/>
              <w:jc w:val="left"/>
              <w:rPr/>
            </w:pPr>
            <w:r>
              <w:rPr/>
              <w:t>Print Name:</w:t>
            </w:r>
          </w:p>
        </w:tc>
        <w:tc>
          <w:tcPr>
            <w:tcW w:w="60" w:type="dxa"/>
            <w:tcBorders/>
            <w:vAlign w:val="bottom"/>
          </w:tcPr>
          <w:p>
            <w:pPr>
              <w:pStyle w:val="TableContents"/>
              <w:bidi w:val="0"/>
              <w:spacing w:before="0" w:after="283"/>
              <w:jc w:val="left"/>
              <w:rPr/>
            </w:pPr>
            <w:r>
              <w:rPr/>
              <w:t> </w:t>
            </w:r>
          </w:p>
        </w:tc>
        <w:tc>
          <w:tcPr>
            <w:tcW w:w="274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B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Form of Pre-Funded Warrant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attached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VAXCYTE, INC.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WARRANT TO PURCHASE SHARES OF COMMON STOCK </w:t>
      </w:r>
    </w:p>
    <w:p>
      <w:pPr>
        <w:pStyle w:val="TextBody"/>
        <w:bidi w:val="0"/>
        <w:spacing w:before="240" w:after="0"/>
        <w:jc w:val="right"/>
        <w:rPr>
          <w:rFonts w:ascii="Times New Roman" w:hAnsi="Times New Roman"/>
          <w:sz w:val="20"/>
          <w:u w:val="single"/>
        </w:rPr>
      </w:pPr>
      <w:r>
        <w:rPr>
          <w:rFonts w:ascii="Times New Roman" w:hAnsi="Times New Roman"/>
          <w:sz w:val="20"/>
          <w:u w:val="single"/>
        </w:rPr>
        <w:t xml:space="preserve">Number of Shares: [ ] (subject to adjustment)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8"/>
        <w:gridCol w:w="125"/>
        <w:gridCol w:w="4922"/>
      </w:tblGrid>
      <w:tr>
        <w:trPr/>
        <w:tc>
          <w:tcPr>
            <w:tcW w:w="515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922" w:type="dxa"/>
            <w:tcBorders/>
            <w:vAlign w:val="center"/>
          </w:tcPr>
          <w:p>
            <w:pPr>
              <w:pStyle w:val="TableContents"/>
              <w:bidi w:val="0"/>
              <w:spacing w:before="0" w:after="283"/>
              <w:jc w:val="left"/>
              <w:rPr>
                <w:sz w:val="4"/>
                <w:szCs w:val="4"/>
              </w:rPr>
            </w:pPr>
            <w:r>
              <w:rPr>
                <w:sz w:val="4"/>
                <w:szCs w:val="4"/>
              </w:rPr>
            </w:r>
          </w:p>
        </w:tc>
      </w:tr>
      <w:tr>
        <w:trPr/>
        <w:tc>
          <w:tcPr>
            <w:tcW w:w="5158" w:type="dxa"/>
            <w:tcBorders/>
          </w:tcPr>
          <w:p>
            <w:pPr>
              <w:pStyle w:val="TableContents"/>
              <w:bidi w:val="0"/>
              <w:spacing w:before="0" w:after="283"/>
              <w:jc w:val="left"/>
              <w:rPr/>
            </w:pPr>
            <w:r>
              <w:rPr/>
              <w:t>Warrant No. CS – [ ]</w:t>
            </w:r>
          </w:p>
        </w:tc>
        <w:tc>
          <w:tcPr>
            <w:tcW w:w="125"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right"/>
              <w:rPr/>
            </w:pPr>
            <w:r>
              <w:rPr/>
              <w:t>Original Issue Date: October [ ], 2026</w:t>
            </w:r>
          </w:p>
        </w:tc>
      </w:tr>
    </w:tbl>
    <w:p>
      <w:pPr>
        <w:pStyle w:val="TextBody"/>
        <w:bidi w:val="0"/>
        <w:spacing w:before="240" w:after="0"/>
        <w:jc w:val="left"/>
        <w:rPr>
          <w:rFonts w:ascii="Times New Roman" w:hAnsi="Times New Roman"/>
          <w:sz w:val="20"/>
        </w:rPr>
      </w:pPr>
      <w:r>
        <w:rPr>
          <w:rFonts w:ascii="Times New Roman" w:hAnsi="Times New Roman"/>
          <w:sz w:val="20"/>
        </w:rPr>
        <w:t>Vaxcyte, Inc., a Delaware corporation (the “</w:t>
      </w:r>
      <w:r>
        <w:rPr>
          <w:rFonts w:ascii="Times New Roman" w:hAnsi="Times New Roman"/>
          <w:b/>
          <w:sz w:val="20"/>
        </w:rPr>
        <w:t>Company</w:t>
      </w:r>
      <w:r>
        <w:rPr>
          <w:rFonts w:ascii="Times New Roman" w:hAnsi="Times New Roman"/>
          <w:sz w:val="20"/>
        </w:rPr>
        <w:t>”), hereby certifies that, for good and valuable consideration, the receipt and sufficiency of which are hereby acknowledged, [ ] or its registered assigns (the “</w:t>
      </w:r>
      <w:r>
        <w:rPr>
          <w:rFonts w:ascii="Times New Roman" w:hAnsi="Times New Roman"/>
          <w:b/>
          <w:sz w:val="20"/>
        </w:rPr>
        <w:t>Holder</w:t>
      </w:r>
      <w:r>
        <w:rPr>
          <w:rFonts w:ascii="Times New Roman" w:hAnsi="Times New Roman"/>
          <w:sz w:val="20"/>
        </w:rPr>
        <w:t>”), is entitled, subject to the terms set forth below, to purchase from the Company up to a total of [ ] shares of common stock, $0.001 par value per share (“</w:t>
      </w:r>
      <w:r>
        <w:rPr>
          <w:rFonts w:ascii="Times New Roman" w:hAnsi="Times New Roman"/>
          <w:b/>
          <w:sz w:val="20"/>
        </w:rPr>
        <w:t>Common Stock</w:t>
      </w:r>
      <w:r>
        <w:rPr>
          <w:rFonts w:ascii="Times New Roman" w:hAnsi="Times New Roman"/>
          <w:sz w:val="20"/>
        </w:rPr>
        <w:t>”), of the Company (each such share, a “</w:t>
      </w:r>
      <w:r>
        <w:rPr>
          <w:rFonts w:ascii="Times New Roman" w:hAnsi="Times New Roman"/>
          <w:b/>
          <w:sz w:val="20"/>
        </w:rPr>
        <w:t>Warrant Share</w:t>
      </w:r>
      <w:r>
        <w:rPr>
          <w:rFonts w:ascii="Times New Roman" w:hAnsi="Times New Roman"/>
          <w:sz w:val="20"/>
        </w:rPr>
        <w:t>” and all such shares, the “</w:t>
      </w:r>
      <w:r>
        <w:rPr>
          <w:rFonts w:ascii="Times New Roman" w:hAnsi="Times New Roman"/>
          <w:b/>
          <w:sz w:val="20"/>
        </w:rPr>
        <w:t>Warrant Shares</w:t>
      </w:r>
      <w:r>
        <w:rPr>
          <w:rFonts w:ascii="Times New Roman" w:hAnsi="Times New Roman"/>
          <w:sz w:val="20"/>
        </w:rPr>
        <w:t>”) at an exercise price per share equal to $0.001 per share (as adjusted from time to time as provided in Section 9 herein, the “</w:t>
      </w:r>
      <w:r>
        <w:rPr>
          <w:rFonts w:ascii="Times New Roman" w:hAnsi="Times New Roman"/>
          <w:b/>
          <w:sz w:val="20"/>
        </w:rPr>
        <w:t>Exercise Price</w:t>
      </w:r>
      <w:r>
        <w:rPr>
          <w:rFonts w:ascii="Times New Roman" w:hAnsi="Times New Roman"/>
          <w:sz w:val="20"/>
        </w:rPr>
        <w:t>”) upon surrender of this Warrant to Purchase Shares of Common Stock (including any Warrants to Purchase Shares of Common Stock issued in exchange, transfer or replacement hereof, the “</w:t>
      </w:r>
      <w:r>
        <w:rPr>
          <w:rFonts w:ascii="Times New Roman" w:hAnsi="Times New Roman"/>
          <w:b/>
          <w:sz w:val="20"/>
        </w:rPr>
        <w:t>Warrant</w:t>
      </w:r>
      <w:r>
        <w:rPr>
          <w:rFonts w:ascii="Times New Roman" w:hAnsi="Times New Roman"/>
          <w:sz w:val="20"/>
        </w:rPr>
        <w:t>”) at any time and from time to time on or after the date hereof (the “</w:t>
      </w:r>
      <w:r>
        <w:rPr>
          <w:rFonts w:ascii="Times New Roman" w:hAnsi="Times New Roman"/>
          <w:b/>
          <w:sz w:val="20"/>
        </w:rPr>
        <w:t>Original Issue Date</w:t>
      </w:r>
      <w:r>
        <w:rPr>
          <w:rFonts w:ascii="Times New Roman" w:hAnsi="Times New Roman"/>
          <w:sz w:val="20"/>
        </w:rPr>
        <w:t xml:space="preserve">”) and, subject to the following 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Definitions</w:t>
      </w:r>
      <w:r>
        <w:rPr>
          <w:rFonts w:ascii="Times New Roman" w:hAnsi="Times New Roman"/>
          <w:sz w:val="20"/>
        </w:rPr>
        <w:t xml:space="preserve">. For purposes of this Warrant,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Affiliate</w:t>
      </w:r>
      <w:r>
        <w:rPr>
          <w:rFonts w:ascii="Times New Roman" w:hAnsi="Times New Roman"/>
          <w:sz w:val="20"/>
        </w:rPr>
        <w:t xml:space="preserve">” means any Person directly or indirectly controlled by, controlling or under common control with, a Holder, as such terms are used in and construed under Rule 405 under the Securities Act,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Marketable Securities</w:t>
      </w:r>
      <w:r>
        <w:rPr>
          <w:rFonts w:ascii="Times New Roman" w:hAnsi="Times New Roman"/>
          <w:sz w:val="20"/>
        </w:rPr>
        <w:t>” means securities meeting all of the following requirements: (i) the issuer thereof is then subject to the reporting requirements of Section 13 or Section 15(d) of the Securities Exchange Act of 1934, as amended (the “</w:t>
      </w:r>
      <w:r>
        <w:rPr>
          <w:rFonts w:ascii="Times New Roman" w:hAnsi="Times New Roman"/>
          <w:b/>
          <w:sz w:val="20"/>
        </w:rPr>
        <w:t>Exchange Act</w:t>
      </w:r>
      <w:r>
        <w:rPr>
          <w:rFonts w:ascii="Times New Roman" w:hAnsi="Times New Roman"/>
          <w:sz w:val="20"/>
        </w:rPr>
        <w:t xml:space="preserve">”), and is then current in its filing of all required reports and other information under the Securities Act and the Exchange Act; (ii) the class and series of shares or other security of the issuer that would be received by Holder in connection with the Fundamental Transaction (as defined below) were Holder to exercise this Warrant on or prior to the closing thereof is then traded or quoted on a nationally recognized securities exchange, inter-dealer quotation system or over-the-counter market, and (iii) following the closing of such Fundamental Transaction, the Holder would not be restricted from publicly re-selling all of the issuer’s shares and/or other securities that would be received by the Holder in such Fundamental Transaction were the Holder to exercise or convert this Warrant in full on or prior to the closing of such Fundamental Transaction, except to the extent that any such restriction (x) arises solely under federal or state securities laws, rules or regulations, and (y) does not extend beyond six (6) months from the closing of such Fundamental Transaction.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Principal Trading Market</w:t>
      </w:r>
      <w:r>
        <w:rPr>
          <w:rFonts w:ascii="Times New Roman" w:hAnsi="Times New Roman"/>
          <w:sz w:val="20"/>
        </w:rPr>
        <w:t xml:space="preserve">” means the national securities exchange or other trading market on which the shares of Common Stock are primarily listed on and quoted for trading, which, as of the Original Issue Date, shall be the Nasdaq Global Select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t>
      </w:r>
      <w:r>
        <w:rPr>
          <w:rFonts w:ascii="Times New Roman" w:hAnsi="Times New Roman"/>
          <w:b/>
          <w:sz w:val="20"/>
        </w:rPr>
        <w:t>Registration Statement</w:t>
      </w:r>
      <w:r>
        <w:rPr>
          <w:rFonts w:ascii="Times New Roman" w:hAnsi="Times New Roman"/>
          <w:sz w:val="20"/>
        </w:rPr>
        <w:t xml:space="preserve">” means the Company’s Registration Statement on Form S-3 (File No. 333-279735), that automatically became effective on May 24, 2024.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sz w:val="20"/>
        </w:rPr>
        <w:t>Trading Day</w:t>
      </w:r>
      <w:r>
        <w:rPr>
          <w:rFonts w:ascii="Times New Roman" w:hAnsi="Times New Roman"/>
          <w:sz w:val="20"/>
        </w:rPr>
        <w:t xml:space="preserve">” means any weekday on which the Principal Trading Market is open for trading. If the shares of Common Stock are not listed or admitted for trading, “Trading Day” means any day except any Saturday, any Sunday, any day which is a federal legal holiday in the United States or any day on which banking institutions in New York City are authorized or required by law or other governmental action to close.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sz w:val="20"/>
        </w:rPr>
        <w:t>Transfer Agent</w:t>
      </w:r>
      <w:r>
        <w:rPr>
          <w:rFonts w:ascii="Times New Roman" w:hAnsi="Times New Roman"/>
          <w:sz w:val="20"/>
        </w:rPr>
        <w:t xml:space="preserve">” means Equinti Trust Company, LLC, the Company’s transfer agent and registrar for the Common Stock, and any successor appointed in such capacity.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sz w:val="20"/>
        </w:rPr>
        <w:t>VWAP</w:t>
      </w:r>
      <w:r>
        <w:rPr>
          <w:rFonts w:ascii="Times New Roman" w:hAnsi="Times New Roman"/>
          <w:sz w:val="20"/>
        </w:rPr>
        <w:t xml:space="preserve">” means, for any date, the price determined by the first of the following clauses that applies: (i) if the Common Stock is then listed or quoted on a national securities exchange or other trading market, the daily volume weighted average price of the Common Stock for such date (or the nearest preceding date) on the Principal Trading Market as reported by Bloomberg L.P. (based on a Trading Day from 9:30 a.m. (New York City time) to 4:02 p.m. (New York City time)), (ii) if the Common Stock is then listed or quoted for trading and neither OTCQB nor OTCQX is the Principal Trading Market, the volume weighted average price of the Common Stock for such date (or the nearest preceding date) on OTCQB or OTCQX, as applicable, (iii)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(iv) in all other cases, the fair market value of a share of Common Stock as determined by an independent appraiser selected in good faith by the Holder and reasonably acceptable to the Company, the fees and expenses of which shall be paid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Issuance of Securities; Registration of Warrants</w:t>
      </w:r>
      <w:r>
        <w:rPr>
          <w:rFonts w:ascii="Times New Roman" w:hAnsi="Times New Roman"/>
          <w:sz w:val="20"/>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Exchange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hAnsi="Times New Roman"/>
          <w:b/>
          <w:sz w:val="20"/>
        </w:rPr>
        <w:t>Warrant Register</w:t>
      </w:r>
      <w:r>
        <w:rPr>
          <w:rFonts w:ascii="Times New Roman" w:hAnsi="Times New Roman"/>
          <w:sz w:val="20"/>
        </w:rPr>
        <w:t xml:space="preserve">”), in the name of the record Holder (which shall include the initial Holder or, as the case may be, any assignee to which this Warrant is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Registration of Transfers</w:t>
      </w:r>
      <w:r>
        <w:rPr>
          <w:rFonts w:ascii="Times New Roman" w:hAnsi="Times New Roman"/>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shares of Common Stock in substantially the form of this Warrant (any such new warrant, a “</w:t>
      </w:r>
      <w:r>
        <w:rPr>
          <w:rFonts w:ascii="Times New Roman" w:hAnsi="Times New Roman"/>
          <w:b/>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Section 3. Until due presentment for registration of transfer, the Company may treat the registered Holder hereof as the owner and holder for all purposes, and the Company shall not be affected by any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Exercise and Duration of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the manner set forth in Section 10 at any time and from time to time on or after the Original Issue Date. </w:t>
      </w:r>
    </w:p>
    <w:p>
      <w:pPr>
        <w:pStyle w:val="TextBody"/>
        <w:bidi w:val="0"/>
        <w:spacing w:before="240" w:after="0"/>
        <w:jc w:val="left"/>
        <w:rPr>
          <w:rFonts w:ascii="Times New Roman" w:hAnsi="Times New Roman"/>
          <w:sz w:val="20"/>
        </w:rPr>
      </w:pPr>
      <w:r>
        <w:rPr>
          <w:rFonts w:ascii="Times New Roman" w:hAnsi="Times New Roman"/>
          <w:sz w:val="20"/>
        </w:rPr>
        <w:t>(b) The Holder may exercise this Warrant by delivering to the Company (i) an exercise notice, in the form attached as Schedule 1 hereto (the “</w:t>
      </w:r>
      <w:r>
        <w:rPr>
          <w:rFonts w:ascii="Times New Roman" w:hAnsi="Times New Roman"/>
          <w:b/>
          <w:sz w:val="20"/>
        </w:rPr>
        <w:t>Exercise Notice</w:t>
      </w:r>
      <w:r>
        <w:rPr>
          <w:rFonts w:ascii="Times New Roman" w:hAnsi="Times New Roman"/>
          <w:sz w:val="20"/>
        </w:rPr>
        <w:t>”), completed and duly signed, and (ii) payment of the Exercise Price for the number of Warrant Shares as to which this Warrant is being exercised (which may take the form of a “cashless exercise” if so indicated in the Exercise Notice pursuant to Section 10 below), and the date on which the last of such items is delivered to the Company (as determined in accordance with the notice provisions hereof) is an “</w:t>
      </w:r>
      <w:r>
        <w:rPr>
          <w:rFonts w:ascii="Times New Roman" w:hAnsi="Times New Roman"/>
          <w:b/>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Delivery of Warrant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exercise of this Warrant, the Company shall promptly (but in no event later than two (2) Trading Days after the Exercise Date), upon the request of the Holder, credit such aggregate number of shares of Common Stock to which the Holder is entitled pursuant to such exercise to the Holder’s or its designee’s balance account with The Depository Trust Company (“</w:t>
      </w:r>
      <w:r>
        <w:rPr>
          <w:rFonts w:ascii="Times New Roman" w:hAnsi="Times New Roman"/>
          <w:b/>
          <w:sz w:val="20"/>
        </w:rPr>
        <w:t>DTC</w:t>
      </w:r>
      <w:r>
        <w:rPr>
          <w:rFonts w:ascii="Times New Roman" w:hAnsi="Times New Roman"/>
          <w:sz w:val="20"/>
        </w:rPr>
        <w:t>”) through its Deposit Withdrawal Agent Commission system, or if the Transfer Agent is not participating in the Fast Automated Securities Transfer Program (the “</w:t>
      </w:r>
      <w:r>
        <w:rPr>
          <w:rFonts w:ascii="Times New Roman" w:hAnsi="Times New Roman"/>
          <w:b/>
          <w:sz w:val="20"/>
        </w:rPr>
        <w:t>FAST Program</w:t>
      </w:r>
      <w:r>
        <w:rPr>
          <w:rFonts w:ascii="Times New Roman" w:hAnsi="Times New Roman"/>
          <w:sz w:val="20"/>
        </w:rPr>
        <w:t>”),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or any natural person or legal entity (each, a “</w:t>
      </w:r>
      <w:r>
        <w:rPr>
          <w:rFonts w:ascii="Times New Roman" w:hAnsi="Times New Roman"/>
          <w:b/>
          <w:sz w:val="20"/>
        </w:rPr>
        <w:t>Person</w:t>
      </w:r>
      <w:r>
        <w:rPr>
          <w:rFonts w:ascii="Times New Roman" w:hAnsi="Times New Roman"/>
          <w:sz w:val="20"/>
        </w:rPr>
        <w:t xml:space="preserve">”)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If by the close of the second (2nd) Trading Day after the Exercise Date, the Company fails to deliver to the Holder a certificate representing the required number of Warrant Shares in the manner required pursuant to </w:t>
      </w:r>
      <w:r>
        <w:rPr>
          <w:rFonts w:ascii="Times New Roman" w:hAnsi="Times New Roman"/>
          <w:sz w:val="20"/>
          <w:u w:val="single"/>
        </w:rPr>
        <w:t>Section</w:t>
      </w:r>
      <w:r>
        <w:rPr>
          <w:rFonts w:ascii="Times New Roman" w:hAnsi="Times New Roman"/>
          <w:sz w:val="20"/>
        </w:rPr>
        <w:t> 5(a) or fails to credit the Holder’s DTC account for such number of Warrant Shares to which the Holder is entitled, and if after such second (2nd) Trading Day and prior to the receipt of such Warrant Shares, the Holder purchases (in an open market transaction, provided such purchases shall be made in a commercially reasonable manner at prevailing market prices) shares of Common Stock to deliver in satisfaction of a sale by the Holder of the Warrant Shares which the Holder anticipated receiving upon such exercise (a “</w:t>
      </w:r>
      <w:r>
        <w:rPr>
          <w:rFonts w:ascii="Times New Roman" w:hAnsi="Times New Roman"/>
          <w:b/>
          <w:sz w:val="20"/>
        </w:rPr>
        <w:t>Buy-In</w:t>
      </w:r>
      <w:r>
        <w:rPr>
          <w:rFonts w:ascii="Times New Roman" w:hAnsi="Times New Roman"/>
          <w:sz w:val="20"/>
        </w:rPr>
        <w:t xml:space="preserve">”), then the Company shall, within two (2) Trading Days after the Holder’s request, in the Holder’s sole discretion, either (i) pay cash to the Holder in an amount equal to the Holder’s total purchase price (including commercially reasonable brokerage commissions, if any) for the shares of Common Stock so purchased, at which point the Company’s obligation to deliver such Warrant Shares shall terminate, or (ii) (A) pay in cash to the Holder the amount, if any, by which (1) the Holder’s total purchase price (including commercially reasonable brokerage commissions, if any)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shares of Common Stock purchased in the Buy-In exceeds (2) the product of (x) the number of Warrant Shares that the Company was required to deliver to the Holder in connection with the exercise at issue, times (y) the price at which the sell order giving rise to such purchase obligation was executed (assuming such sale was executed on commercially reasonable terms at prevailing market prices and, if the sale was executed in multiple transactions, the volume weighted average price), and (B) at the option of the Holder, either (1) reinstate the portion of the Warrant and equivalent number of Warrant Shares for which such exercise was not honored (in which case such exercise shall be deemed rescinded) or (2) deliver to the Holder the number of shares of Common Stock that would have been issued had the Company timely complied with its exercise and delivery obligations hereunder. The provisions of this Section 5(b) shall be the only remedy available to the Holder in the event the Company fails to deliver to the Holder the required number of Warrant Shares in the manner required pursuant to Section 5(a) and a Buy-In occurs. Irrespective of whether there is a Buy-In, no remedy shall be available, notwithstanding the requirements of Section 5(a), unless and until the Company fails to deliver to the Holder the required number of Warrant Shares by the close of the second Trading Day after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law and subject to Section 5(b), the Company’s obligations to issue and deliver Warrant Shares in accordance with and subject to the terms hereof (including the limitations set forth in Section 11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Charges, Taxes and Expenses</w:t>
      </w:r>
      <w:r>
        <w:rPr>
          <w:rFonts w:ascii="Times New Roman" w:hAnsi="Times New Roman"/>
          <w:sz w:val="20"/>
        </w:rPr>
        <w:t xml:space="preserve">. Issuance and delivery of certificates for shares of Common Stock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hAnsi="Times New Roman"/>
          <w:i/>
          <w:sz w:val="20"/>
        </w:rPr>
        <w:t xml:space="preserve">provided, however, </w:t>
      </w:r>
      <w:r>
        <w:rPr>
          <w:rFonts w:ascii="Times New Roman" w:hAnsi="Times New Roman"/>
          <w:sz w:val="20"/>
        </w:rPr>
        <w:t xml:space="preserve">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and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Reservation of Warrant Shares</w:t>
      </w:r>
      <w:r>
        <w:rPr>
          <w:rFonts w:ascii="Times New Roman" w:hAnsi="Times New Roman"/>
          <w:sz w:val="20"/>
        </w:rPr>
        <w:t xml:space="preserve">. The Company covenants that it will, at all times while this Warrant is issued and outstanding, reserve and keep available out of the aggregate of its authorized but unissued and otherwise unreserved shares of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Section 9).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shares of Common Stock may be listed. The Company further covenants that it will not, without the prior written consent of the Holder, take any actions to increase the par value of the shares of Common Stock at any time while this Warrant is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Certain Adjustments</w:t>
      </w:r>
      <w:r>
        <w:rPr>
          <w:rFonts w:ascii="Times New Roman" w:hAnsi="Times New Roman"/>
          <w:sz w:val="20"/>
        </w:rPr>
        <w:t xml:space="preserve">. The Exercise Price and number of Warrant Shares issuable upon exercise of this Warrant are subject to adjustment from time to time as set forth in this Section 9.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issued and outstanding, (i) pays a stock dividend on its shares of Common Stock or otherwise makes a distribution on any class of capital shares issued and outstanding on the Original Issue Date and in accordance with the terms of such stock on the Original Issue Date or as amended, as described in the Registration Statement, that is payable in shares of Common Stock, (ii) subdivides its issued and outstanding shares of Common Stock into a larger number of shares of Common Stock, (iii) combines its issued and outstanding shares of Common Stock into a smaller number of shares of Common Stock or (iv) issues by reclassification of capital shares any additional shares of Common Stock of the Company, then in each such case the Exercise Price shall be multiplied by a fraction, the numerator of which shall be the number of shares of Common Stock issued and outstanding immediately before such event and the denominator of which shall be the number of shares of Common Stock issued and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If the Company, at any time while this Warrant is issued and outstanding, distributes to all holders of shares of Common Stock for no consideration (i) evidences of its indebtedness, (ii) any security (other than a distribution of shares of Common Stock covered by the preceding paragraph), (iii) rights or warrants to subscribe for or purchase any security, or (iv) cash or any other asset (in each case, “</w:t>
      </w:r>
      <w:r>
        <w:rPr>
          <w:rFonts w:ascii="Times New Roman" w:hAnsi="Times New Roman"/>
          <w:b/>
          <w:sz w:val="20"/>
        </w:rPr>
        <w:t>Distributed Property</w:t>
      </w:r>
      <w:r>
        <w:rPr>
          <w:rFonts w:ascii="Times New Roman" w:hAnsi="Times New Roman"/>
          <w:sz w:val="20"/>
        </w:rPr>
        <w:t xml:space="preserve">”), then, upon any exercise of this Warrant that occurs after the record date fixed for determination of stockholders entitled to receive such distribution, the Holder shall be entitled to receive, in addition to the Warrant Shares otherwise issuable upon such exercise (if applicable), the Distributed Property that such Holder would have been entitled to receive in respect of such number of Warrant Shares had the Holder been the record holder of such Warrant Shares immediately prior to such record date without regard to any limitation on exercise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Fundamental Transactions</w:t>
      </w:r>
      <w:r>
        <w:rPr>
          <w:rFonts w:ascii="Times New Roman" w:hAnsi="Times New Roman"/>
          <w:sz w:val="20"/>
        </w:rPr>
        <w:t xml:space="preserve">. If, at any time while this Warrant is issued and outstanding (i) the Company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transaction or a series of related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share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shares of Common Stock or any compulsory share exchange pursuant to which the shares of Common Stock are effectively converted into or exchanged for other securities, cash or property (other than as a result of a subdivision or combination of shares of Common Stock covered by Section 9(a) above) (in any such case, a “</w:t>
      </w:r>
      <w:r>
        <w:rPr>
          <w:rFonts w:ascii="Times New Roman" w:hAnsi="Times New Roman"/>
          <w:b/>
          <w:sz w:val="20"/>
        </w:rPr>
        <w:t>Fundamental Transaction</w:t>
      </w:r>
      <w:r>
        <w:rPr>
          <w:rFonts w:ascii="Times New Roman" w:hAnsi="Times New Roman"/>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hAnsi="Times New Roman"/>
          <w:b/>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Section 10 below or (ii) prior to, simultaneously with or promptly following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(c) shall similarly apply to subsequent transactions analogous of a Fundamental Transaction type. Notwithstanding the foregoing, in the event of a Fundamental Transaction where the consideration payable to holders of shares of Common Stock consists solely of cash, solely of Marketable Securities or a combination of cash and Marketable Securities, then this Warrant shall automatically be deemed to be exercised in full in a “cashless exercise” pursuant to Section 10 below effective immediately prior to and contingent upon the consummation of such Fundamental Transaction.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Number of Warrant Shares</w:t>
      </w:r>
      <w:r>
        <w:rPr>
          <w:rFonts w:ascii="Times New Roman" w:hAnsi="Times New Roman"/>
          <w:sz w:val="20"/>
        </w:rPr>
        <w:t xml:space="preserve">. Simultaneously with any adjustment to the Exercise Price pursuant to Section 9 (including any adjustment to the Exercise Price that would have been effected but for the final sentence in this paragraph (d)),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shares of Common Stock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Section 9 shall be made to the nearest one-millionth of one cent or the nearest share,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of Adjustments</w:t>
      </w:r>
      <w:r>
        <w:rPr>
          <w:rFonts w:ascii="Times New Roman" w:hAnsi="Times New Roman"/>
          <w:sz w:val="20"/>
        </w:rPr>
        <w:t xml:space="preserve">. Upon the occurrence of each adjustment pursuant to this Section 9,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Corporate Events</w:t>
      </w:r>
      <w:r>
        <w:rPr>
          <w:rFonts w:ascii="Times New Roman" w:hAnsi="Times New Roman"/>
          <w:sz w:val="20"/>
        </w:rPr>
        <w:t xml:space="preserve">. If, while this Warrant is issued and outstanding, the Company (i) declares a dividend or any other distribution of cash, securities or other property in respect of its shares of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shares of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issued and outstanding, the Company authorizes or approves, enters into any agreement contemplating or solicits stockholder approval for any Fundamental Transaction contemplated by Section 9(c), other than a Fundamental Transaction under clause (iii) of Section 9(c), then, except if such notice and the contents thereof shall be deemed to constitute material non-public information, the Company shall deliver to the Holder a notice of such Fundamental Transaction at least ten (10) days prior to the date such Fundamental Transaction is consummated.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Payment of Cashless Exercise Price</w:t>
      </w:r>
      <w:r>
        <w:rPr>
          <w:rFonts w:ascii="Times New Roman" w:hAnsi="Times New Roman"/>
          <w:sz w:val="20"/>
        </w:rPr>
        <w:t xml:space="preserv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X = Y [(A-B)/A]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b/>
          <w:sz w:val="20"/>
        </w:rPr>
        <w:t>X</w:t>
      </w:r>
      <w:r>
        <w:rPr>
          <w:rFonts w:ascii="Times New Roman" w:hAnsi="Times New Roman"/>
          <w:sz w:val="20"/>
        </w:rPr>
        <w:t xml:space="preserve">” equals the number of Warrant Shares to be issued to the Holder; </w:t>
      </w:r>
    </w:p>
    <w:p>
      <w:pPr>
        <w:pStyle w:val="TextBody"/>
        <w:bidi w:val="0"/>
        <w:spacing w:before="120" w:after="0"/>
        <w:jc w:val="left"/>
        <w:rPr/>
      </w:pPr>
      <w:r>
        <w:rPr/>
        <w:t>“</w:t>
      </w:r>
      <w:r>
        <w:rPr>
          <w:rFonts w:ascii="Times New Roman" w:hAnsi="Times New Roman"/>
          <w:b/>
          <w:sz w:val="20"/>
        </w:rPr>
        <w:t>Y</w:t>
      </w:r>
      <w:r>
        <w:rPr>
          <w:rFonts w:ascii="Times New Roman" w:hAnsi="Times New Roman"/>
          <w:sz w:val="20"/>
        </w:rPr>
        <w:t xml:space="preserve">” equals the total number of Warrant Shares with respect to which this Warrant is then being exercised; </w:t>
      </w:r>
    </w:p>
    <w:p>
      <w:pPr>
        <w:pStyle w:val="TextBody"/>
        <w:bidi w:val="0"/>
        <w:spacing w:before="120" w:after="0"/>
        <w:jc w:val="left"/>
        <w:rPr/>
      </w:pPr>
      <w:r>
        <w:rPr/>
        <w:t>“</w:t>
      </w:r>
      <w:r>
        <w:rPr>
          <w:rFonts w:ascii="Times New Roman" w:hAnsi="Times New Roman"/>
          <w:sz w:val="20"/>
        </w:rPr>
        <w:t>A” equals the last VWAP immediately preceding the time of delivery of the Exercise Notice giving rise to the applicable “cashless exercise”, as set forth in the applicable Exercise Notice (to clarify, the “</w:t>
      </w:r>
      <w:r>
        <w:rPr>
          <w:rFonts w:ascii="Times New Roman" w:hAnsi="Times New Roman"/>
          <w:b/>
          <w:sz w:val="20"/>
        </w:rPr>
        <w:t>last VWAP</w:t>
      </w:r>
      <w:r>
        <w:rPr>
          <w:rFonts w:ascii="Times New Roman" w:hAnsi="Times New Roman"/>
          <w:sz w:val="20"/>
        </w:rPr>
        <w:t xml:space="preserve">” will be the last VWAP as calculated over an entire Trading Day such that, in the event that this Warrant is exercised at a time that the Principal Trading Market is open, the prior Trading Day’s VWAP shall be used in this calculation); and </w:t>
      </w:r>
    </w:p>
    <w:p>
      <w:pPr>
        <w:pStyle w:val="TextBody"/>
        <w:bidi w:val="0"/>
        <w:spacing w:before="120" w:after="0"/>
        <w:jc w:val="left"/>
        <w:rPr/>
      </w:pPr>
      <w:r>
        <w:rPr/>
        <w:t>“</w:t>
      </w:r>
      <w:r>
        <w:rPr>
          <w:rFonts w:ascii="Times New Roman" w:hAnsi="Times New Roman"/>
          <w:sz w:val="20"/>
        </w:rPr>
        <w:t xml:space="preserve">B” equals the Exercise Price per Warrant Share then in effect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such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Section 12 (payment of cash in lieu of fractional shares), in no event will the exercise of this Warrant be settled in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Limitations on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its Affiliates and any other Persons whose beneficial ownership of shares of Common Stock would be aggregated with the Holder’s for purposes of Section 13(d) of the Exchange Act (such as any other members of a Section 13(d) “group”) to exceed [4.99][9.99]% (the “</w:t>
      </w:r>
      <w:r>
        <w:rPr>
          <w:rFonts w:ascii="Times New Roman" w:hAnsi="Times New Roman"/>
          <w:b/>
          <w:sz w:val="20"/>
        </w:rPr>
        <w:t>Maximum Percentage</w:t>
      </w:r>
      <w:r>
        <w:rPr>
          <w:rFonts w:ascii="Times New Roman" w:hAnsi="Times New Roman"/>
          <w:sz w:val="20"/>
        </w:rPr>
        <w:t xml:space="preserve">”) of the total number of issued and outstanding shares of Common Stock of the Company following such exercise, or (ii) the combined voting power of the securities of the Company beneficially owned by the Holder and its Affiliates and any other Persons whose beneficial ownership of shares of Common Stock would be aggregated with the Holder’s for purposes of Section 13(d) of the Exchange Act (such as any other members of a Section 13(d) “group”) to exceed [4.99][9.99]% of the combined voting power of all of the securities of the Company then outstanding following such exercise. For purposes of this Warrant, in determining the number of outstanding shares of Common Stock, the Holder may rely on the number of outstanding shares of Common Stock as reflected in (x) the Company’s most recent Form 10-Q or Form 10-K, as the case may be, filed with the Commission prior to the date hereof, (y) a more recent public announcement by the Company or (z) any other notice by the Company or its transfer agent setting forth the number of shares of Common Stock outstanding. Upon the written request of the Holder, the Company shall within three (3)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specified not in excess of 19.99% specified in such notice; provided that any such increase will not be effective until the sixty-first (61st) day after such notice is delivered to the Company. For purposes of this Section 11(a), the aggregate number of shares of Common Stock or voting securities beneficially owned by the Holder and its Affiliates and any other Persons whose beneficial ownership of shares of Common Stock would be aggregated with the Holder’s for purposes of Section 13(d) of the Exchange Act (such as any other members of a Section 13(d) “group”)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shares of Common Stock, including without limitation any debt, preferred stock, right, option, warrant or other instrument that is at any time convertible into or exercisable or exchangeable for, or otherwise entitles the holder thereof to receive, shares of Common Stock), is subject to a limitation on conversion or exercise analogous to the limitation contained herein and is beneficially owned by the Holder or any of its Affiliates and other Persons whose beneficial ownership of shares of Common Stock would be aggregated with the Holder’s for purposes of Section 13(d) of the Exchange Act (such as any other members of a Section 13(d) “group”). </w:t>
      </w:r>
    </w:p>
    <w:p>
      <w:pPr>
        <w:pStyle w:val="TextBody"/>
        <w:bidi w:val="0"/>
        <w:spacing w:before="240" w:after="0"/>
        <w:jc w:val="left"/>
        <w:rPr>
          <w:rFonts w:ascii="Times New Roman" w:hAnsi="Times New Roman"/>
          <w:sz w:val="20"/>
        </w:rPr>
      </w:pPr>
      <w:r>
        <w:rPr>
          <w:rFonts w:ascii="Times New Roman" w:hAnsi="Times New Roman"/>
          <w:sz w:val="20"/>
        </w:rPr>
        <w:t xml:space="preserve">(b) This Section 11 shall not restrict the number of shares of Common Stock which a Holder may receive or beneficially own in order to determine the amount of securities or other consideration that such Holder may receive in the event of a Fundamental Transaction as contemplated in Section 9(c) of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No Fractional Shares.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last VWAP immediately preceding the time of delivery of the applicable Exercise Notice) for any such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13. Notices. Any and all notices or other communications or deliveries hereunder (including, without limitation, any Exercise Notice) shall be in writing and shall be deemed given and effective on the earliest of (i) the date of transmission, if such notice or communication is delivered via confirmed e-mail prior to 5:30 P.M., New York City time, on a Trading Day, (ii) the next Trading Day after the date of transmission, if such notice or communication is delivered via confirmed e-mail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addresses and e-mail addresses for such communications shall be: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Vaxcyte, Inc. </w:t>
      </w:r>
    </w:p>
    <w:p>
      <w:pPr>
        <w:pStyle w:val="TextBody"/>
        <w:bidi w:val="0"/>
        <w:spacing w:before="0" w:after="0"/>
        <w:jc w:val="left"/>
        <w:rPr>
          <w:rFonts w:ascii="Times New Roman" w:hAnsi="Times New Roman"/>
          <w:sz w:val="20"/>
        </w:rPr>
      </w:pPr>
      <w:r>
        <w:rPr>
          <w:rFonts w:ascii="Times New Roman" w:hAnsi="Times New Roman"/>
          <w:sz w:val="20"/>
        </w:rPr>
        <w:t xml:space="preserve">825 Industrial Road </w:t>
      </w:r>
    </w:p>
    <w:p>
      <w:pPr>
        <w:pStyle w:val="TextBody"/>
        <w:bidi w:val="0"/>
        <w:spacing w:before="0" w:after="0"/>
        <w:jc w:val="left"/>
        <w:rPr>
          <w:rFonts w:ascii="Times New Roman" w:hAnsi="Times New Roman"/>
          <w:sz w:val="20"/>
        </w:rPr>
      </w:pPr>
      <w:r>
        <w:rPr>
          <w:rFonts w:ascii="Times New Roman" w:hAnsi="Times New Roman"/>
          <w:sz w:val="20"/>
        </w:rPr>
        <w:t xml:space="preserve">Suite 300 </w:t>
      </w:r>
    </w:p>
    <w:p>
      <w:pPr>
        <w:pStyle w:val="TextBody"/>
        <w:bidi w:val="0"/>
        <w:spacing w:before="0" w:after="0"/>
        <w:jc w:val="left"/>
        <w:rPr>
          <w:rFonts w:ascii="Times New Roman" w:hAnsi="Times New Roman"/>
          <w:sz w:val="20"/>
        </w:rPr>
      </w:pPr>
      <w:r>
        <w:rPr>
          <w:rFonts w:ascii="Times New Roman" w:hAnsi="Times New Roman"/>
          <w:sz w:val="20"/>
        </w:rPr>
        <w:t xml:space="preserve">San Carlos, California 94070 </w:t>
      </w:r>
    </w:p>
    <w:p>
      <w:pPr>
        <w:pStyle w:val="TextBody"/>
        <w:bidi w:val="0"/>
        <w:spacing w:before="240" w:after="0"/>
        <w:jc w:val="left"/>
        <w:rPr>
          <w:rFonts w:ascii="Times New Roman" w:hAnsi="Times New Roman"/>
          <w:sz w:val="20"/>
        </w:rPr>
      </w:pPr>
      <w:r>
        <w:rPr>
          <w:rFonts w:ascii="Times New Roman" w:hAnsi="Times New Roman"/>
          <w:sz w:val="20"/>
        </w:rPr>
        <w:t xml:space="preserve">with copies to: </w:t>
      </w:r>
    </w:p>
    <w:p>
      <w:pPr>
        <w:pStyle w:val="TextBody"/>
        <w:bidi w:val="0"/>
        <w:spacing w:before="120" w:after="0"/>
        <w:jc w:val="left"/>
        <w:rPr>
          <w:rFonts w:ascii="Times New Roman" w:hAnsi="Times New Roman"/>
          <w:sz w:val="20"/>
        </w:rPr>
      </w:pPr>
      <w:r>
        <w:rPr>
          <w:rFonts w:ascii="Times New Roman" w:hAnsi="Times New Roman"/>
          <w:sz w:val="20"/>
        </w:rPr>
        <w:t xml:space="preserve">Skadden, Arps, Slate, Meagher &amp; Flom LLP </w:t>
      </w:r>
    </w:p>
    <w:p>
      <w:pPr>
        <w:pStyle w:val="TextBody"/>
        <w:bidi w:val="0"/>
        <w:spacing w:before="0" w:after="0"/>
        <w:jc w:val="left"/>
        <w:rPr>
          <w:rFonts w:ascii="Times New Roman" w:hAnsi="Times New Roman"/>
          <w:sz w:val="20"/>
        </w:rPr>
      </w:pPr>
      <w:r>
        <w:rPr>
          <w:rFonts w:ascii="Times New Roman" w:hAnsi="Times New Roman"/>
          <w:sz w:val="20"/>
        </w:rPr>
        <w:t xml:space="preserve">One Manhattan West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10001 </w:t>
      </w:r>
    </w:p>
    <w:p>
      <w:pPr>
        <w:pStyle w:val="TextBody"/>
        <w:bidi w:val="0"/>
        <w:spacing w:before="0" w:after="0"/>
        <w:jc w:val="left"/>
        <w:rPr>
          <w:rFonts w:ascii="Times New Roman" w:hAnsi="Times New Roman"/>
          <w:sz w:val="20"/>
        </w:rPr>
      </w:pPr>
      <w:r>
        <w:rPr>
          <w:rFonts w:ascii="Times New Roman" w:hAnsi="Times New Roman"/>
          <w:sz w:val="20"/>
        </w:rPr>
        <w:t xml:space="preserve">Facsimile: (212) 735-2000 </w:t>
      </w:r>
    </w:p>
    <w:p>
      <w:pPr>
        <w:pStyle w:val="TextBody"/>
        <w:bidi w:val="0"/>
        <w:spacing w:before="0" w:after="0"/>
        <w:jc w:val="left"/>
        <w:rPr>
          <w:rFonts w:ascii="Times New Roman" w:hAnsi="Times New Roman"/>
          <w:sz w:val="20"/>
        </w:rPr>
      </w:pPr>
      <w:r>
        <w:rPr>
          <w:rFonts w:ascii="Times New Roman" w:hAnsi="Times New Roman"/>
          <w:sz w:val="20"/>
        </w:rPr>
        <w:t xml:space="preserve">Attention: Michael J. Hong </w:t>
      </w:r>
    </w:p>
    <w:p>
      <w:pPr>
        <w:pStyle w:val="TextBody"/>
        <w:bidi w:val="0"/>
        <w:spacing w:before="240" w:after="0"/>
        <w:jc w:val="left"/>
        <w:rPr>
          <w:rFonts w:ascii="Times New Roman" w:hAnsi="Times New Roman"/>
          <w:sz w:val="20"/>
        </w:rPr>
      </w:pPr>
      <w:r>
        <w:rPr>
          <w:rFonts w:ascii="Times New Roman" w:hAnsi="Times New Roman"/>
          <w:sz w:val="20"/>
        </w:rPr>
        <w:t xml:space="preserve">If to the Holder, to its address or e-mail address set forth herein or on the books and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Or, in each of the above instances, to such other address or e-mail address as the recipient party has specified by written notice given to each other party at least five (5) days prior to the effectiveness of such change. </w:t>
      </w:r>
    </w:p>
    <w:p>
      <w:pPr>
        <w:pStyle w:val="TextBody"/>
        <w:bidi w:val="0"/>
        <w:spacing w:before="240" w:after="0"/>
        <w:jc w:val="left"/>
        <w:rPr>
          <w:rFonts w:ascii="Times New Roman" w:hAnsi="Times New Roman"/>
          <w:sz w:val="20"/>
        </w:rPr>
      </w:pPr>
      <w:r>
        <w:rPr>
          <w:rFonts w:ascii="Times New Roman" w:hAnsi="Times New Roman"/>
          <w:sz w:val="20"/>
        </w:rPr>
        <w:t xml:space="preserve">14. Warrant Agent. The Company shall initially serve as warrant agent under this Warrant. Upon ten (10)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stockholders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Authorized Shares</w:t>
      </w:r>
      <w:r>
        <w:rPr>
          <w:rFonts w:ascii="Times New Roman" w:hAnsi="Times New Roman"/>
          <w:sz w:val="20"/>
        </w:rPr>
        <w:t xml:space="preserve">. Except and to the extent as waived or consented to by the Holder, the Company shall not by any action, including, without limitation, amending its certificate or articles of incorporation or through any reorganization, transfer of assets, consolidation, merger, amalgamation,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in which this Warrant is not automatically “cashless exercised”.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Except as otherwise provided herein, this Warrant may be modified or amended or the provisions hereof waived with the written consent of the Company and the Holder.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66"/>
        <w:gridCol w:w="79"/>
        <w:gridCol w:w="3537"/>
      </w:tblGrid>
      <w:tr>
        <w:trPr/>
        <w:tc>
          <w:tcPr>
            <w:tcW w:w="466"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35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VAXCYTE, INC.</w:t>
            </w:r>
          </w:p>
        </w:tc>
      </w:tr>
      <w:tr>
        <w:trPr>
          <w:trHeight w:val="240" w:hRule="atLeast"/>
        </w:trPr>
        <w:tc>
          <w:tcPr>
            <w:tcW w:w="466" w:type="dxa"/>
            <w:tcBorders/>
            <w:vAlign w:val="center"/>
          </w:tcPr>
          <w:p>
            <w:pPr>
              <w:pStyle w:val="TableContents"/>
              <w:bidi w:val="0"/>
              <w:spacing w:before="0" w:after="283"/>
              <w:jc w:val="left"/>
              <w:rPr>
                <w:sz w:val="4"/>
                <w:szCs w:val="4"/>
              </w:rPr>
            </w:pPr>
            <w:r>
              <w:rPr>
                <w:sz w:val="4"/>
                <w:szCs w:val="4"/>
              </w:rPr>
            </w:r>
          </w:p>
        </w:tc>
        <w:tc>
          <w:tcPr>
            <w:tcW w:w="3616" w:type="dxa"/>
            <w:gridSpan w:val="2"/>
            <w:tcBorders/>
            <w:vAlign w:val="center"/>
          </w:tcPr>
          <w:p>
            <w:pPr>
              <w:pStyle w:val="TableContents"/>
              <w:bidi w:val="0"/>
              <w:spacing w:before="0" w:after="283"/>
              <w:jc w:val="left"/>
              <w:rPr>
                <w:sz w:val="4"/>
                <w:szCs w:val="4"/>
              </w:rPr>
            </w:pPr>
            <w:r>
              <w:rPr>
                <w:sz w:val="4"/>
                <w:szCs w:val="4"/>
              </w:rPr>
            </w:r>
          </w:p>
        </w:tc>
      </w:tr>
      <w:tr>
        <w:trPr/>
        <w:tc>
          <w:tcPr>
            <w:tcW w:w="466" w:type="dxa"/>
            <w:tcBorders/>
          </w:tcPr>
          <w:p>
            <w:pPr>
              <w:pStyle w:val="TableContents"/>
              <w:bidi w:val="0"/>
              <w:spacing w:before="0" w:after="283"/>
              <w:jc w:val="left"/>
              <w:rPr/>
            </w:pPr>
            <w:r>
              <w:rPr/>
              <w:t>By:</w:t>
            </w:r>
          </w:p>
        </w:tc>
        <w:tc>
          <w:tcPr>
            <w:tcW w:w="79" w:type="dxa"/>
            <w:tcBorders>
              <w:bottom w:val="single" w:sz="2" w:space="0" w:color="000000"/>
            </w:tcBorders>
            <w:tcMar>
              <w:bottom w:w="28" w:type="dxa"/>
            </w:tcMar>
            <w:vAlign w:val="bottom"/>
          </w:tcPr>
          <w:p>
            <w:pPr>
              <w:pStyle w:val="TableContents"/>
              <w:bidi w:val="0"/>
              <w:spacing w:before="0" w:after="283"/>
              <w:jc w:val="left"/>
              <w:rPr/>
            </w:pPr>
            <w:r>
              <w:rPr/>
              <w:t> </w:t>
            </w:r>
          </w:p>
        </w:tc>
        <w:tc>
          <w:tcPr>
            <w:tcW w:w="3537" w:type="dxa"/>
            <w:tcBorders>
              <w:bottom w:val="single" w:sz="2" w:space="0" w:color="000000"/>
            </w:tcBorders>
            <w:tcMar>
              <w:bottom w:w="28" w:type="dxa"/>
            </w:tcMar>
          </w:tcPr>
          <w:p>
            <w:pPr>
              <w:pStyle w:val="TableContents"/>
              <w:bidi w:val="0"/>
              <w:spacing w:before="0" w:after="283"/>
              <w:jc w:val="left"/>
              <w:rPr/>
            </w:pPr>
            <w:r>
              <w:rPr/>
              <w:t> </w:t>
            </w:r>
          </w:p>
        </w:tc>
      </w:tr>
      <w:tr>
        <w:trPr/>
        <w:tc>
          <w:tcPr>
            <w:tcW w:w="466"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3537" w:type="dxa"/>
            <w:tcBorders/>
            <w:vAlign w:val="bottom"/>
          </w:tcPr>
          <w:p>
            <w:pPr>
              <w:pStyle w:val="TableContents"/>
              <w:bidi w:val="0"/>
              <w:spacing w:before="0" w:after="283"/>
              <w:jc w:val="left"/>
              <w:rPr/>
            </w:pPr>
            <w:r>
              <w:rPr/>
              <w:t xml:space="preserve">Name: </w:t>
            </w:r>
          </w:p>
        </w:tc>
      </w:tr>
      <w:tr>
        <w:trPr/>
        <w:tc>
          <w:tcPr>
            <w:tcW w:w="466"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3537" w:type="dxa"/>
            <w:tcBorders/>
            <w:vAlign w:val="bottom"/>
          </w:tcPr>
          <w:p>
            <w:pPr>
              <w:pStyle w:val="TableContents"/>
              <w:bidi w:val="0"/>
              <w:spacing w:before="0" w:after="283"/>
              <w:jc w:val="left"/>
              <w:rPr/>
            </w:pPr>
            <w:r>
              <w:rPr/>
              <w:t xml:space="preserve">Title: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is the Holder of Warrant No. </w:t>
            </w:r>
            <w:r>
              <w:rPr>
                <w:rFonts w:ascii="Times New Roman" w:hAnsi="Times New Roman"/>
                <w:sz w:val="20"/>
                <w:u w:val="single"/>
              </w:rPr>
              <w:t>   </w:t>
            </w:r>
            <w:r>
              <w:rPr>
                <w:rFonts w:ascii="Times New Roman" w:hAnsi="Times New Roman"/>
                <w:sz w:val="20"/>
              </w:rPr>
              <w:t xml:space="preserve"> (the “</w:t>
            </w:r>
            <w:r>
              <w:rPr>
                <w:rFonts w:ascii="Times New Roman" w:hAnsi="Times New Roman"/>
                <w:b/>
                <w:sz w:val="20"/>
              </w:rPr>
              <w:t>Warrant</w:t>
            </w:r>
            <w:r>
              <w:rPr>
                <w:rFonts w:ascii="Times New Roman" w:hAnsi="Times New Roman"/>
                <w:sz w:val="20"/>
              </w:rPr>
              <w:t>”) issued by Vaxcyte, Inc., a Delaware corporation (the “</w:t>
            </w:r>
            <w:r>
              <w:rPr>
                <w:rFonts w:ascii="Times New Roman" w:hAnsi="Times New Roman"/>
                <w:b/>
                <w:sz w:val="20"/>
              </w:rPr>
              <w:t>Company</w:t>
            </w:r>
            <w:r>
              <w:rPr>
                <w:rFonts w:ascii="Times New Roman" w:hAnsi="Times New Roman"/>
                <w:sz w:val="20"/>
              </w:rPr>
              <w:t xml:space="preserve">”). Capitalized terms used herein and not otherwise defined herein have the respective meanings set forth in the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hereby exercises its right to purchase </w:t>
            </w:r>
            <w:r>
              <w:rPr>
                <w:rFonts w:ascii="Times New Roman" w:hAnsi="Times New Roman"/>
                <w:sz w:val="20"/>
                <w:u w:val="single"/>
              </w:rPr>
              <w:t>     </w:t>
            </w:r>
            <w:r>
              <w:rPr>
                <w:rFonts w:ascii="Times New Roman" w:hAnsi="Times New Roman"/>
                <w:sz w:val="20"/>
              </w:rPr>
              <w:t xml:space="preserve"> Warrant Shares pursuant to the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intends that payment of the Exercise Price shall be made as (check one):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8879" w:type="dxa"/>
            <w:tcBorders/>
          </w:tcPr>
          <w:p>
            <w:pPr>
              <w:pStyle w:val="TableContents"/>
              <w:bidi w:val="0"/>
              <w:spacing w:before="0" w:after="0"/>
              <w:jc w:val="left"/>
              <w:rPr/>
            </w:pPr>
            <w:r>
              <w:rPr/>
              <w:t>“</w:t>
            </w:r>
            <w:r>
              <w:rPr>
                <w:rFonts w:ascii="Times New Roman" w:hAnsi="Times New Roman"/>
                <w:b/>
                <w:sz w:val="20"/>
              </w:rPr>
              <w:t>Cashless Exercise</w:t>
            </w:r>
            <w:r>
              <w:rPr>
                <w:rFonts w:ascii="Times New Roman" w:hAnsi="Times New Roman"/>
                <w:sz w:val="20"/>
              </w:rPr>
              <w:t xml:space="preserve">” under Section 10 of the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this Exercise Notice, the Company shall deliver to the Holder Warrant Shares determined in accordance with the terms of the Warrant. The Warrant Shares shall be delivered to the following DWAC Account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of the Warrant to which this notice relates.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796"/>
        <w:gridCol w:w="60"/>
        <w:gridCol w:w="2226"/>
      </w:tblGrid>
      <w:tr>
        <w:trPr/>
        <w:tc>
          <w:tcPr>
            <w:tcW w:w="17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Dated: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26"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1796" w:type="dxa"/>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Name of Holder:</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26"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1796" w:type="dxa"/>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26"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1796" w:type="dxa"/>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1796" w:type="dxa"/>
            <w:tcBorders/>
            <w:vAlign w:val="bottom"/>
          </w:tcPr>
          <w:p>
            <w:pPr>
              <w:pStyle w:val="TableContents"/>
              <w:bidi w:val="0"/>
              <w:spacing w:before="0" w:after="283"/>
              <w:jc w:val="left"/>
              <w:rPr/>
            </w:pPr>
            <w:r>
              <w:rPr/>
              <w:t>Name: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26"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120" w:hRule="atLeast"/>
        </w:trPr>
        <w:tc>
          <w:tcPr>
            <w:tcW w:w="1796" w:type="dxa"/>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1796" w:type="dxa"/>
            <w:tcBorders/>
            <w:vAlign w:val="bottom"/>
          </w:tcPr>
          <w:p>
            <w:pPr>
              <w:pStyle w:val="TableContents"/>
              <w:bidi w:val="0"/>
              <w:spacing w:before="0" w:after="283"/>
              <w:jc w:val="left"/>
              <w:rPr/>
            </w:pPr>
            <w:r>
              <w:rPr/>
              <w:t>Title: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26"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B-13 </w:t>
      </w:r>
    </w:p>
    <w:p>
      <w:pPr>
        <w:pStyle w:val="TextBody"/>
        <w:bidi w:val="0"/>
        <w:spacing w:before="0" w:after="0"/>
        <w:jc w:val="right"/>
        <w:rPr>
          <w:rFonts w:ascii="Times New Roman" w:hAnsi="Times New Roman"/>
          <w:b/>
          <w:sz w:val="20"/>
        </w:rPr>
      </w:pPr>
      <w:bookmarkStart w:id="4" w:name="d150490dex12.htm"/>
      <w:bookmarkStart w:id="5" w:name="ksd150490dex12"/>
      <w:bookmarkEnd w:id="4"/>
      <w:bookmarkEnd w:id="5"/>
      <w:r>
        <w:rPr>
          <w:rFonts w:ascii="Times New Roman" w:hAnsi="Times New Roman"/>
          <w:b/>
          <w:sz w:val="20"/>
        </w:rPr>
        <w:t xml:space="preserve">Exhibit 1.2 </w:t>
      </w:r>
      <w:r>
        <w:br w:type="page"/>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VAXCYTE, INC. </w:t>
      </w:r>
    </w:p>
    <w:p>
      <w:pPr>
        <w:pStyle w:val="TextBody"/>
        <w:bidi w:val="0"/>
        <w:spacing w:before="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120" w:after="0"/>
        <w:jc w:val="center"/>
        <w:rPr>
          <w:rFonts w:ascii="Times New Roman" w:hAnsi="Times New Roman"/>
          <w:sz w:val="20"/>
        </w:rPr>
      </w:pPr>
      <w:r>
        <w:rPr>
          <w:rFonts w:ascii="Times New Roman" w:hAnsi="Times New Roman"/>
          <w:sz w:val="20"/>
        </w:rPr>
        <w:t xml:space="preserve">$500,000,000 Aggregate Principal Amount of 1.50% Convertible Senior Notes due 2032 </w:t>
      </w:r>
    </w:p>
    <w:p>
      <w:pPr>
        <w:pStyle w:val="TextBody"/>
        <w:bidi w:val="0"/>
        <w:spacing w:before="120" w:after="0"/>
        <w:jc w:val="center"/>
        <w:rPr>
          <w:rFonts w:ascii="Times New Roman" w:hAnsi="Times New Roman"/>
          <w:sz w:val="20"/>
        </w:rPr>
      </w:pPr>
      <w:r>
        <w:rPr>
          <w:rFonts w:ascii="Times New Roman" w:hAnsi="Times New Roman"/>
          <w:sz w:val="20"/>
        </w:rPr>
        <w:t xml:space="preserve">UNDERWRITING AGREEMENT </w:t>
      </w:r>
    </w:p>
    <w:p>
      <w:pPr>
        <w:pStyle w:val="TextBody"/>
        <w:bidi w:val="0"/>
        <w:spacing w:before="120" w:after="0"/>
        <w:jc w:val="right"/>
        <w:rPr>
          <w:rFonts w:ascii="Times New Roman" w:hAnsi="Times New Roman"/>
          <w:sz w:val="20"/>
        </w:rPr>
      </w:pPr>
      <w:r>
        <w:rPr>
          <w:rFonts w:ascii="Times New Roman" w:hAnsi="Times New Roman"/>
          <w:sz w:val="20"/>
        </w:rPr>
        <w:t xml:space="preserve">October 6, 2026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240" w:after="0"/>
        <w:jc w:val="left"/>
        <w:rPr>
          <w:rFonts w:ascii="Times New Roman" w:hAnsi="Times New Roman"/>
          <w:sz w:val="20"/>
        </w:rPr>
      </w:pPr>
      <w:r>
        <w:rPr>
          <w:rFonts w:ascii="Times New Roman" w:hAnsi="Times New Roman"/>
          <w:sz w:val="20"/>
        </w:rPr>
        <w:t xml:space="preserve">c/o 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Vaxcyte, Inc., a Delaware corporation (the “Company”), confirms its agreement with Jefferies LLC (“Jefferies”), Leerink Partners LLC (“Leerink Partners”) and each of the other Underwriters named in Schedule A hereto (collectively, the “Underwriters,” which term shall also include any underwriter substituted as hereinafter provided in Section 10 hereof), for whom Jefferies and Leerink Partners are acting as representatives (in such capacity, the “Representatives”), with respect to (i) the sale by the Company and the purchase by the Underwriters, acting severally and not jointly, of the respective principal amount of the Company’s 1.50% Convertible Senior Notes due 2032 as set forth in Schedule A hereto (the “Initial Notes”) and (ii) the grant by the Company to the Underwriters, acting severally and not jointly, of the option described in Section 2(b) hereof to purchase all or any part of $75,000,000 additional aggregate principal amount of 1.50% Convertible Senior Notes due 2032 (the “Option Notes” and, collectively with the Initial Notes, the “Securities”). The Securities will be convertible into cash, shares of common stock, par value $0.001 per share, of the Company (“Common Stock”) or a combination of cash and shares (the “Underlying Shares”) of Common Stock, at the Company’s election, in accordance with the terms of the Securities and the Indenture (as defined below). The Securities will be issued pursuant to an indenture (the “Base Indenture”), as supplemented by a supplemental indenture (the Base Indenture, as so supplemented, the “Indenture”), in each case to be dated as of the Closing Time (as defined below), between the Company and U.S. Bank Trust Company, National Association, as trustee (the “Trustee”). In the event that the Company has only one subsidiary, then all references herein to “subsidiaries” of the Company shall be deemed to refer to such single subsidiary,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Substantially concurrently with the offering of the Securities, the Company will, among other things, issue and sell 7,412,500 shares of its Common Stock and pre-funded warrants to purchase 400,000 shares of its Common Stock (or 1,171,875 shares of Common Stock if the several underwriters named in Schedule A of the Follow-On Underwriting Agreement (as defined below) exercise their option to purchase additional shares of Common Stock in full) pursuant to a separate underwriting agreement (the “Follow-On Underwriting Agreement”) and separate prospectus supplement (such offering, the “Concurrent Follow-On Offering”).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offering of the Securities is not contingent upon the completion of the Concurrent Follow-On Offering, the Concurrent Follow-On Offering is not contingent upon the completion of the offering of the Securities, and the Securities are not being offered together with the shares of Common Stock in the Concurrent Follow-On Offering.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understands that the Underwriters propose to make a public offering of the Securities as soon as the Representatives deem advisable after this Agreement has been executed and delivered.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prepared and filed with the Securities and Exchange Commission (the “Commission”) an automatic shelf registration statement on Form S-3 (File No. 333-279735), covering the public offering and sale of certain securities, including the Securities and the Underlying Shares, under the Securities Act of 1933, as amended (the “1933 Act”), and the rules and regulations promulgated thereunder (the “1933 Act Regulations”), which automatic shelf registration statement became effective under Rule 462(e) under the 1933 Act Regulations (“Rule 462(e)”). Such registration statement, as of any time, means such registration statement as amended by any post-effective amendments thereto to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under the 1933 Act Regulations (“Rule 430B”), is referred to herein as the “Registration Statement;” provided, however, that the “Registration Statement”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Rule 430B. Each preliminary prospectus used in connection with the offering of the Securities, including the documents incorporated or deemed to be incorporated by reference therein pursuant to Item 12 of Form S-3 under the 1933 Act, are collectively referred to herein as a “preliminary prospectus.” Promptly after execution and delivery of this Agreement, the Company will prepare and file a final prospectus relating to the Securities in accordance with the provisions of Rule 424(b) under the 1933 Act Regulations (“Rule 424(b)”).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 collectively referred to herein as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w:t>
      </w:r>
    </w:p>
    <w:p>
      <w:pPr>
        <w:pStyle w:val="TextBody"/>
        <w:bidi w:val="0"/>
        <w:spacing w:before="120" w:after="0"/>
        <w:jc w:val="left"/>
        <w:rPr/>
      </w:pPr>
      <w:r>
        <w:rPr/>
        <w:t>“</w:t>
      </w:r>
      <w:r>
        <w:rPr>
          <w:rFonts w:ascii="Times New Roman" w:hAnsi="Times New Roman"/>
          <w:sz w:val="20"/>
        </w:rPr>
        <w:t xml:space="preserve">Applicable Time” means 9:00 P.M., New York City time, on October 6, 2026 or such other time as agreed by the Company and the Representatives. </w:t>
      </w:r>
    </w:p>
    <w:p>
      <w:pPr>
        <w:pStyle w:val="TextBody"/>
        <w:bidi w:val="0"/>
        <w:spacing w:before="120" w:after="0"/>
        <w:jc w:val="left"/>
        <w:rPr/>
      </w:pPr>
      <w:r>
        <w:rPr/>
        <w:t>“</w:t>
      </w:r>
      <w:r>
        <w:rPr>
          <w:rFonts w:ascii="Times New Roman" w:hAnsi="Times New Roman"/>
          <w:sz w:val="20"/>
        </w:rPr>
        <w:t xml:space="preserve">General Disclosure Package”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Schedule B-1 hereto, all considered together.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Issuer Free Writing Prospectus” means any “issuer free writing prospectus,” as defined in Rule 433 of the 1933 Act Regulations (“Rule 433”), including without limitation any “free writing prospectus” (as defined in Rule 405 of the 1933 Act Regulations (“Rule 405”)) relating to 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 </w:t>
      </w:r>
    </w:p>
    <w:p>
      <w:pPr>
        <w:pStyle w:val="TextBody"/>
        <w:bidi w:val="0"/>
        <w:spacing w:before="120" w:after="0"/>
        <w:jc w:val="left"/>
        <w:rPr/>
      </w:pPr>
      <w:r>
        <w:rPr/>
        <w:t>“</w:t>
      </w:r>
      <w:r>
        <w:rPr>
          <w:rFonts w:ascii="Times New Roman" w:hAnsi="Times New Roman"/>
          <w:sz w:val="20"/>
        </w:rPr>
        <w:t>Issuer General Use Free Writing Prospectus” means any Issuer Free Writing Prospectus that is intended for general distribution to prospective investors (other than a “</w:t>
      </w:r>
      <w:r>
        <w:rPr>
          <w:rFonts w:ascii="Times New Roman" w:hAnsi="Times New Roman"/>
          <w:i/>
          <w:sz w:val="20"/>
        </w:rPr>
        <w:t>bona fide</w:t>
      </w:r>
      <w:r>
        <w:rPr>
          <w:rFonts w:ascii="Times New Roman" w:hAnsi="Times New Roman"/>
          <w:sz w:val="20"/>
        </w:rPr>
        <w:t xml:space="preserve"> electronic road show,” as defined in Rule 433 (the “Bona Fide Electronic Road Show”)), as evidenced by its being specified in Schedule B-2 hereto. </w:t>
      </w:r>
    </w:p>
    <w:p>
      <w:pPr>
        <w:pStyle w:val="TextBody"/>
        <w:bidi w:val="0"/>
        <w:spacing w:before="120" w:after="0"/>
        <w:jc w:val="left"/>
        <w:rPr/>
      </w:pPr>
      <w:r>
        <w:rPr/>
        <w:t>“</w:t>
      </w:r>
      <w:r>
        <w:rPr>
          <w:rFonts w:ascii="Times New Roman" w:hAnsi="Times New Roman"/>
          <w:sz w:val="20"/>
        </w:rPr>
        <w:t xml:space="preserve">Issuer Limited Use Free Writing Prospectus” means any Issuer Free Writing Prospectus that is not an Issuer General Use Free Writing Prospectus. </w:t>
      </w:r>
    </w:p>
    <w:p>
      <w:pPr>
        <w:pStyle w:val="TextBody"/>
        <w:bidi w:val="0"/>
        <w:spacing w:before="120" w:after="0"/>
        <w:jc w:val="left"/>
        <w:rPr/>
      </w:pPr>
      <w:r>
        <w:rPr/>
        <w:t>“</w:t>
      </w:r>
      <w:r>
        <w:rPr>
          <w:rFonts w:ascii="Times New Roman" w:hAnsi="Times New Roman"/>
          <w:sz w:val="20"/>
        </w:rPr>
        <w:t xml:space="preserve">Testing-the-Waters Communication” means any oral or written communication with potential investors undertaken in reliance on Rule 163B of the 1933 Act. </w:t>
      </w:r>
    </w:p>
    <w:p>
      <w:pPr>
        <w:pStyle w:val="TextBody"/>
        <w:bidi w:val="0"/>
        <w:spacing w:before="120" w:after="0"/>
        <w:jc w:val="left"/>
        <w:rPr/>
      </w:pPr>
      <w:r>
        <w:rPr/>
        <w:t>“</w:t>
      </w:r>
      <w:r>
        <w:rPr>
          <w:rFonts w:ascii="Times New Roman" w:hAnsi="Times New Roman"/>
          <w:sz w:val="20"/>
        </w:rPr>
        <w:t xml:space="preserve">Written Testing-the-Waters Communication” means any Testing-the-Waters Communication that is a written communication within the meaning of Rule 405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Securities Exchange Act of 1934, as amended, and the rules and regulations promulgated thereunder (collectively, the “1934 Act”), incorporated or deemed to be incorporated by reference in the Registration Statement, such preliminary prospectus or the Prospectus, as the case may be, at or after the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 by the Company</w:t>
      </w:r>
      <w:r>
        <w:rPr>
          <w:rFonts w:ascii="Times New Roman" w:hAnsi="Times New Roman"/>
          <w:sz w:val="20"/>
        </w:rPr>
        <w:t xml:space="preserve">. The Company represents and warrants to each Underwriter as of the date hereof, the Applicable Time, the Closing Time and any Date of Delivery (as defined below), and agrees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Registration Statement and Prospectuses</w:t>
      </w:r>
      <w:r>
        <w:rPr>
          <w:rFonts w:ascii="Times New Roman" w:hAnsi="Times New Roman"/>
          <w:sz w:val="20"/>
        </w:rPr>
        <w:t xml:space="preserve">. The Company meets the requirements for use of Form S-3 under the 1933 Act. The Registration Statement is an “automatic shelf registration statement” (as defined in Rule 405) and the Securities have been and remain eligible for registration by the Company on such automatic shelf registration statement. Each of the Registration Statement and any post-effective amendment 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by the Commission and no proceedings for any of those purposes have been instituted or, to the Company’s knowledge, are pending or threatened by the Commission. The Company has complied with each request (if any) from the Commission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of the Registration Statement and any post-effective amendment thereto, at the time of its effectiveness, each deemed effective date with respect to the Underwriters pursuant to Rule 430B(f)(2) under the 1933 Act Regulations, the Applicable Time, the Closing Time and any Date of Delivery complied and will comply in all material respects with the requirements of the 1933 Act, the 1933 Act Regulations and the Trust Indenture Act of 1939, as amended, and the rules and regulations of the Commission thereunder (collectively, the “1939 Act”). Each preliminary prospectus, the Prospectus and any amendment or supplement thereto, at the time each was filed with the Commission, and, in each case, at the Applicable Time, the Closing Time and any Date of Delivery complied and will comply in all material respects with the requirements of the 1933 Act, the 1933 Act Regulations and the 1939 Act.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 </w:t>
      </w:r>
    </w:p>
    <w:p>
      <w:pPr>
        <w:pStyle w:val="TextBody"/>
        <w:bidi w:val="0"/>
        <w:spacing w:before="120" w:after="0"/>
        <w:jc w:val="left"/>
        <w:rPr>
          <w:rFonts w:ascii="Times New Roman" w:hAnsi="Times New Roman"/>
          <w:sz w:val="20"/>
        </w:rPr>
      </w:pPr>
      <w:r>
        <w:rPr>
          <w:rFonts w:ascii="Times New Roman" w:hAnsi="Times New Roman"/>
          <w:sz w:val="20"/>
        </w:rPr>
        <w:t xml:space="preserve">The documents incorporated or deemed to be incorporated by reference in the Registration Statement and the Prospectus, when they became effective or at the time they were or hereafter are filed with the Commission, complied and will comply in all material respects with the requirements of the 1934 Act and the rules and regulations of the Commission under the 1934 Act (the “1934 Act Regulations”).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Accurate Disclosure</w:t>
      </w:r>
      <w:r>
        <w:rPr>
          <w:rFonts w:ascii="Times New Roman" w:hAnsi="Times New Roman"/>
          <w:sz w:val="20"/>
        </w:rPr>
        <w:t xml:space="preserve">. Neither the Registration Statement nor any amendment thereto, at its effective time, on the date hereof, at the Closing Time or at any Date of Delivery, contained, contains or will contain an untrue statement of a material fact or omitted, omits or will omit to state a material fact required to be stated therein or necessary to make the statements therein not misleading. At the Applicable Time and any Date of Delivery, none of (A) the General Disclosure Package, (B) any individual Issuer Limited Use Free Writing Prospectus, when considered together with the General Disclosure Package or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time of filing with the Commission pursuant to Rule 424(b), at the Closing Time or at any Date of Delivery included, includes, or will include an untrue statement of a material fact or omitted, omits or will omit to state a material fact necessary in order to make the statements therein, in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representations and warranties in this subsection shall not apply to (A) that part of the Registration Statement that constitutes the Statement of Eligibility and Qualification (Form T-1) of the Trustee under the 1939 Act or (B)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the Representatives expressly for use therein. For purposes of this Agreement, the only information so furnished shall be the information in the first paragraph under the heading “Underwriting–Commissions and Discounts,” the information in the second, third and fourth paragraphs under the heading “Underwriting–Price Stabilization and Short Positions” and the information under the heading “Underwriting–Electronic Distribution”, in each case contained in the most recent preliminary prospectus that is distributed to investors prior to the Applicable Time and in the Prospectus (collectively, the “Underwriter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Issuer Free Writing Prospectuses</w:t>
      </w:r>
      <w:r>
        <w:rPr>
          <w:rFonts w:ascii="Times New Roman" w:hAnsi="Times New Roman"/>
          <w:sz w:val="20"/>
        </w:rPr>
        <w:t xml:space="preserve">.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the Underwriter Information. The Company has made available a Bona Fide Electronic Road Show in compliance with Rule 433(d)(8)(ii) such that no filing of any “road show” (as defined in Rule 433(h)) is required in connection with the offering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Well-Known Seasoned Issuer</w:t>
      </w:r>
      <w:r>
        <w:rPr>
          <w:rFonts w:ascii="Times New Roman" w:hAnsi="Times New Roman"/>
          <w:sz w:val="20"/>
        </w:rPr>
        <w:t xml:space="preserve">. (A) At the original effectiveness of the Registration Statement, (B) at the time of the most recent amendment thereto for the purposes of complying with Section 10(a)(3) of the 1933 Act (whether such amendment was by post-effective amendment, incorporated report filed pursuant to Section 13 or 15(d) of the 1934 Act or form of prospectus), (C) at the time the Company or any person acting on its behalf (within the meaning, for this clause only, of Rule 163(c) under the 1933 Act) made any offer relating to the Securities in reliance on the exemption of Rule 163 under the 1933 Act, and (D) as of the Applicable Time, the Company was and is a “well-known seasoned issuer” (as defined in Rule 405).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Testing-the-Waters Materials</w:t>
      </w:r>
      <w:r>
        <w:rPr>
          <w:rFonts w:ascii="Times New Roman" w:hAnsi="Times New Roman"/>
          <w:sz w:val="20"/>
        </w:rPr>
        <w:t xml:space="preserve">. The Company (A) has not engaged in any Testing-the-Waters Communication other than Testing-the-Waters Communications with the consent of the Representatives with entities that the Company has a reasonable basis to believe are qualified institutional buyers within the meaning of Rule 144A under the 1933 Act or institutions that are accredited investors within the meaning of Rule 501 under the 1933 Act and (B) has not authorized anyone other than the Representatives to engage in Testing-the-Waters Communications, in each case, in connection with the offering of the Securities. The Company reconfirms that the Representatives have been authorized to act on its behalf in undertaking Testing-the-Waters Communications specifically authorized by the Company. The Company has not distributed any Written Testing-the-Waters Communications other than those listed on Schedule C hereto.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Company Not Ineligible Issuer</w:t>
      </w:r>
      <w:r>
        <w:rPr>
          <w:rFonts w:ascii="Times New Roman" w:hAnsi="Times New Roman"/>
          <w:sz w:val="20"/>
        </w:rPr>
        <w:t xml:space="preserve">. At the time of filing the Registration Statement and any post-effective amendment thereto, at the earliest time thereafter that the Company or another offering participant made a </w:t>
      </w:r>
      <w:r>
        <w:rPr>
          <w:rFonts w:ascii="Times New Roman" w:hAnsi="Times New Roman"/>
          <w:i/>
          <w:sz w:val="20"/>
        </w:rPr>
        <w:t>bona fide</w:t>
      </w:r>
      <w:r>
        <w:rPr>
          <w:rFonts w:ascii="Times New Roman" w:hAnsi="Times New Roman"/>
          <w:sz w:val="20"/>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Independent Accountants</w:t>
      </w:r>
      <w:r>
        <w:rPr>
          <w:rFonts w:ascii="Times New Roman" w:hAnsi="Times New Roman"/>
          <w:sz w:val="20"/>
        </w:rPr>
        <w:t xml:space="preserve">. The accountants who certified the financial statements included in the Registration Statement, the General Disclosure Package and the Prospectus are independent public accountants as required by the 1933 Act, the 1933 Act Regulations, the 1934 Act, the 1934 Act Regulations and the Public Company Accounting Oversight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Financial Statements</w:t>
      </w:r>
      <w:r>
        <w:rPr>
          <w:rFonts w:ascii="Times New Roman" w:hAnsi="Times New Roman"/>
          <w:sz w:val="20"/>
        </w:rPr>
        <w:t xml:space="preserve">. The financial statements included or incorporated by reference in the Registration Statement, the General Disclosure Package and the Prospectus, together with the related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(“GAAP”) applied on a consistent basis throughout the periods involved except, in the case of unaudited interim financial statements, subject to normal year-end audit adjustments and the exclusion of certain footnotes as permitted by the applicable rules of the Commission. The selected financial data and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or incorporated by reference in the Registration Statement, the General Disclosure Package or the Prospectus under the 1933 Act or the 1933 Act Regulations. The interactive data in eXtensible Business Reporting Language incorporated by reference in the Registration Statement, the General Disclosure Package and the Prospectus fairly presents the information called for in all material respects and has been prepared in accordance with the Commission’s rules and guidelines applicable thereto.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No Material Adverse Change in Business</w:t>
      </w:r>
      <w:r>
        <w:rPr>
          <w:rFonts w:ascii="Times New Roman" w:hAnsi="Times New Roman"/>
          <w:sz w:val="20"/>
        </w:rPr>
        <w:t xml:space="preserve">. Except as otherwise stated therein, since the respective dates as of which information is given in the Registration Statement, the General Disclosure Package or the Prospectus, (A) there has been no material adverse change in the condition, financial or otherwise, or in the earnings, business affairs or business prospects of the Company and its subsidiaries considered as one enterprise, whether or not arising in the ordinary course of business (a “Material Adverse Effect”),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sz w:val="20"/>
          <w:u w:val="single"/>
        </w:rPr>
        <w:t>Good Standing of the Company</w:t>
      </w:r>
      <w:r>
        <w:rPr>
          <w:rFonts w:ascii="Times New Roman" w:hAnsi="Times New Roman"/>
          <w:sz w:val="20"/>
        </w:rPr>
        <w:t xml:space="preserve">. The Company has been duly incorporated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(to the extent the concept of “good standing” is applicable in each such jurisdiction) in which such qualification is required, whether by reason of the ownership or leasing of property or the conduct of business, except where the failure so to qualify or to be in good standing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sz w:val="20"/>
          <w:u w:val="single"/>
        </w:rPr>
        <w:t>Good Standing of Subsidiaries</w:t>
      </w:r>
      <w:r>
        <w:rPr>
          <w:rFonts w:ascii="Times New Roman" w:hAnsi="Times New Roman"/>
          <w:sz w:val="20"/>
        </w:rPr>
        <w:t xml:space="preserve">. Each “significant subsidiary” of the Company (as such term is defined in Rule 1-02 of Regulation S-X) (each, a “Subsidiary” and, collectively, the “Subsidiaries”)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the General Disclosure Package and the Prospectus and is duly qualified to transact business and is in good standing in each jurisdiction in which such qualification is required, whether by reason of the ownership or leasing of property or the conduct of business, except where the failure to so qualify or to be in good standing would not result in a Material Adverse Effect. Except as otherwise disclosed in the Registration Statement, the General Disclosure Package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Prospectus, all of the issued and outstanding capital stock of each Subsidiary has been duly authorized and validly issued, is fully paid and non-assessable and is owned by the Company, directly or through subsidiaries, free and clear of any security interest, mortgage, pledge, lien, encumbrance, claim or equity. None of the outstanding shares of capital stock of any Subsidiary were issued in violation of the preemptive or similar rights of any securityholder of such Subsidiary. </w:t>
      </w:r>
    </w:p>
    <w:p>
      <w:pPr>
        <w:pStyle w:val="TextBody"/>
        <w:bidi w:val="0"/>
        <w:spacing w:before="120" w:after="0"/>
        <w:jc w:val="left"/>
        <w:rPr>
          <w:rFonts w:ascii="Times New Roman" w:hAnsi="Times New Roman"/>
          <w:sz w:val="20"/>
        </w:rPr>
      </w:pPr>
      <w:r>
        <w:rPr>
          <w:rFonts w:ascii="Times New Roman" w:hAnsi="Times New Roman"/>
          <w:sz w:val="20"/>
        </w:rPr>
        <w:t xml:space="preserve">(xiii) </w:t>
      </w:r>
      <w:r>
        <w:rPr>
          <w:rFonts w:ascii="Times New Roman" w:hAnsi="Times New Roman"/>
          <w:sz w:val="20"/>
          <w:u w:val="single"/>
        </w:rPr>
        <w:t>Capitalization</w:t>
      </w:r>
      <w:r>
        <w:rPr>
          <w:rFonts w:ascii="Times New Roman" w:hAnsi="Times New Roman"/>
          <w:sz w:val="20"/>
        </w:rPr>
        <w:t xml:space="preserve">. As of the Closing Time, the authorized capital stock is as set forth in the Registration Statement, the General Disclosure Package and the Prospectus under the caption “Description of Capital Stock”, and the issued and outstanding shares of capital stock of the Company are as set forth in the Registration Statement, the General Disclosure Package and the Prospectus in the column entitled “Actual” under the caption “Capitalization” (except for subsequent issuances, if any, pursuant to this Agreement, pursuant to reservations, agreements or employee benefit or equity incentive plans referred to in the Registration Statement, the General Disclosure Package and the Prospectus or pursuant to the exercise of convertible securities or options referred to in the Registration Statement, the General Disclosure Package and the Prospectus).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except as have been validly waived. </w:t>
      </w:r>
    </w:p>
    <w:p>
      <w:pPr>
        <w:pStyle w:val="TextBody"/>
        <w:bidi w:val="0"/>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sz w:val="20"/>
          <w:u w:val="single"/>
        </w:rPr>
        <w:t>Stock Plans</w:t>
      </w:r>
      <w:r>
        <w:rPr>
          <w:rFonts w:ascii="Times New Roman" w:hAnsi="Times New Roman"/>
          <w:sz w:val="20"/>
        </w:rPr>
        <w:t xml:space="preserve">. With respect to the stock options granted pursuant to the stock-based compensation plans of the Company and any of its subsidiaries (the “Company Stock Plans”), each grant of a stock option was made in accordance with the terms of the Company Stock Plans and all applicable laws and regulatory rules or requirements, including all applicable federal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sz w:val="20"/>
          <w:u w:val="single"/>
        </w:rPr>
        <w:t>Authorization of Agreement</w:t>
      </w:r>
      <w:r>
        <w:rPr>
          <w:rFonts w:ascii="Times New Roman" w:hAnsi="Times New Roman"/>
          <w:sz w:val="20"/>
        </w:rPr>
        <w:t xml:space="preserve">.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(xvi) </w:t>
      </w:r>
      <w:r>
        <w:rPr>
          <w:rFonts w:ascii="Times New Roman" w:hAnsi="Times New Roman"/>
          <w:sz w:val="20"/>
          <w:u w:val="single"/>
        </w:rPr>
        <w:t>Authorization of Securities and Indenture</w:t>
      </w:r>
      <w:r>
        <w:rPr>
          <w:rFonts w:ascii="Times New Roman" w:hAnsi="Times New Roman"/>
          <w:sz w:val="20"/>
        </w:rPr>
        <w:t xml:space="preserve">. The Securities to be purchased by the Underwriters from the Company have been duly authorized for issuance and sale to the Underwriters pursuant to this Agreement and, when duly executed, authenticated, issued and delivered in the manner provided in the Indenture against payment of the consideration set forth herein, will be duly and validly issued and outstanding and will constitute valid and legally binding obligations of the Company enforceable against the Company in accordance with their terms, except as enforceability may be limited by applicable bankruptcy, insolvency or similar laws affecting the enforcement of creditors’ rights generally or by equitable principles relating to enforceability (collectively, the “Enforceability Exceptions”), and will be entitled to the benefits of the Indenture. The Indenture has been duly authorized by the Company and, when duly executed and delivered by the Company and the Trustee, will constitute a valid and legally binding agreement of the Company enforceable against the Company in accordance with its terms, subject to the Enforceability Exceptions, and the Indenture conforms in all material respects to the requirements of the 1939 Act. The Securities, the Indenture and the Common Stock conform, in all material respects, to all statements relating thereto contained in the Registration Statement, the General Disclosure Package and the Prospectus and such descriptions conform, in all material respects, to the rights set forth in the instruments defining the same. </w:t>
      </w:r>
    </w:p>
    <w:p>
      <w:pPr>
        <w:pStyle w:val="TextBody"/>
        <w:bidi w:val="0"/>
        <w:spacing w:before="120" w:after="0"/>
        <w:jc w:val="left"/>
        <w:rPr>
          <w:rFonts w:ascii="Times New Roman" w:hAnsi="Times New Roman"/>
          <w:sz w:val="20"/>
        </w:rPr>
      </w:pPr>
      <w:r>
        <w:rPr>
          <w:rFonts w:ascii="Times New Roman" w:hAnsi="Times New Roman"/>
          <w:sz w:val="20"/>
        </w:rPr>
        <w:t xml:space="preserve">(xvii) </w:t>
      </w:r>
      <w:r>
        <w:rPr>
          <w:rFonts w:ascii="Times New Roman" w:hAnsi="Times New Roman"/>
          <w:sz w:val="20"/>
          <w:u w:val="single"/>
        </w:rPr>
        <w:t>Underlying Common Stock</w:t>
      </w:r>
      <w:r>
        <w:rPr>
          <w:rFonts w:ascii="Times New Roman" w:hAnsi="Times New Roman"/>
          <w:sz w:val="20"/>
        </w:rPr>
        <w:t xml:space="preserve">. Upon issuance and delivery of the Securities in accordance with this Agreement and the Indenture, the Securities will be convertible at the option of the holder thereof into cash, shares of Common Stock, or a combination of cash and shares of Common Stock, at the Company’s election, in accordance with the terms of the Securities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Indenture. At the Closing Time and each Date of Delivery, if any, a number of shares of Common Stock equal to the product of (x) the quotient obtained by dividing the aggregate principal amount of Securities by $1,000 and (y) the conversion rate for the Securities (assuming the maximum increase to such conversion rate for a conversion of Securities in connection with a “make-whole fundamental change,” as described in the Indenture) (the “Maximum Number of Underlying Shares”) for the Securities then outstanding or otherwise to have been issued on such date will have been duly authorized and reserved for issuance by the Company upon any conversion of the Securities and, if and when issued upon any conversion of the Securities in accordance with the terms of the Securities and the Indenture, will be validly issued, fully paid and nonassessable; no holder of such shares will be subject to personal liability by reason of being such a holder; and the issuance of such shares upon any such conversion will not be subject to the preemptive or other similar rights of any securityholder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(xviii) </w:t>
      </w:r>
      <w:r>
        <w:rPr>
          <w:rFonts w:ascii="Times New Roman" w:hAnsi="Times New Roman"/>
          <w:sz w:val="20"/>
          <w:u w:val="single"/>
        </w:rPr>
        <w:t>Registration Rights</w:t>
      </w:r>
      <w:r>
        <w:rPr>
          <w:rFonts w:ascii="Times New Roman" w:hAnsi="Times New Roman"/>
          <w:sz w:val="20"/>
        </w:rPr>
        <w:t xml:space="preserve">.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 and have been waived. </w:t>
      </w:r>
    </w:p>
    <w:p>
      <w:pPr>
        <w:pStyle w:val="TextBody"/>
        <w:bidi w:val="0"/>
        <w:spacing w:before="120" w:after="0"/>
        <w:jc w:val="left"/>
        <w:rPr>
          <w:rFonts w:ascii="Times New Roman" w:hAnsi="Times New Roman"/>
          <w:sz w:val="20"/>
        </w:rPr>
      </w:pPr>
      <w:r>
        <w:rPr>
          <w:rFonts w:ascii="Times New Roman" w:hAnsi="Times New Roman"/>
          <w:sz w:val="20"/>
        </w:rPr>
        <w:t xml:space="preserve">(xix) </w:t>
      </w:r>
      <w:r>
        <w:rPr>
          <w:rFonts w:ascii="Times New Roman" w:hAnsi="Times New Roman"/>
          <w:sz w:val="20"/>
          <w:u w:val="single"/>
        </w:rPr>
        <w:t>Absence of Violations, Defaults and Conflicts</w:t>
      </w:r>
      <w:r>
        <w:rPr>
          <w:rFonts w:ascii="Times New Roman" w:hAnsi="Times New Roman"/>
          <w:sz w:val="20"/>
        </w:rPr>
        <w:t xml:space="preserve">. Neither the Company nor any of its subsidiaries is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“Agreements and Instruments”), except for such defaults that would not, singly or in the aggregate, reasonably be expected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“Governmental Entity”), except for such violations that would not, singly or in the aggregate, reasonably be expected to result in a Material Adverse Effect. The execution, delivery and performance of this Agreement and the consummation of the transactions contemplated herein and in the Registration Statement, the General Disclosure Package and the Prospectus (including the issuance and sale of the Securities and the Underlying Shares and the use of the proceeds from the sale of the Securities as described therein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singly or in the aggregate, reasonably be expected to result in a Material Adverse Effect), nor will such action result in any violation of (x) the provisions of the charter, bylaws or similar organizational document of the Company or any of its subsidiaries or (y) any law, statute, rule, regulation, judgment, order, writ or decree of any Governmental Entity (except, in the case of clause (y), for such violations that would not, singly or in the aggregate, reasonably be expected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 </w:t>
      </w:r>
      <w:r>
        <w:rPr>
          <w:rFonts w:ascii="Times New Roman" w:hAnsi="Times New Roman"/>
          <w:sz w:val="20"/>
          <w:u w:val="single"/>
        </w:rPr>
        <w:t>Absence of Labor Dispute</w:t>
      </w:r>
      <w:r>
        <w:rPr>
          <w:rFonts w:ascii="Times New Roman" w:hAnsi="Times New Roman"/>
          <w:sz w:val="20"/>
        </w:rPr>
        <w:t xml:space="preserve">. No labor dispute with the employees of the Company or any of its subsidiaries exists or, to the knowledge of the Company, is imminent, and the Company is not aware of any existing or imminent labor disturbance by the employees of any of its or any subsidiary’s principal suppliers, manufacturers, customers or contractors, which, in either case,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(xxi) </w:t>
      </w:r>
      <w:r>
        <w:rPr>
          <w:rFonts w:ascii="Times New Roman" w:hAnsi="Times New Roman"/>
          <w:sz w:val="20"/>
          <w:u w:val="single"/>
        </w:rPr>
        <w:t>Compliance with ERISA</w:t>
      </w:r>
      <w:r>
        <w:rPr>
          <w:rFonts w:ascii="Times New Roman" w:hAnsi="Times New Roman"/>
          <w:sz w:val="20"/>
        </w:rPr>
        <w:t xml:space="preserve">. (A) Each employee benefit plan, within the meaning of Section 3(3) of the Employee Retirement 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“Code”)) would have any liability (each, a “Plan”) has been maintained in compliance with its terms and the requirements of any applicable statutes, orders, rules and regulations, including but not limited to ERISA and the Code; (B) no prohibited transaction, within the meaning of Section 406 of ERISA or Section 4975 of the Code, has occurred with respect to any Plan, excluding transactions effected pursuant to a statutory or administrative exemption; (C)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(D)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(E) the fair market value of the assets of each Plan exceeds the present value of all benefits accrued under such Plan (determined based on those assumptions used to fund such Plan); (F) no “reportable event” (within the meaning of Section 4043(c) of ERISA and the regulations promulgated thereunder) has occurred or is reasonably expected to occur; (G) each Plan that is intended to be qualified under Section 401(a) of the Code is so qualified, and nothing has occurred, whether by action or by failure to act, which would cause the loss of such qualification; (H)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 none of the following events has occurred or is reasonably likely to occur: (x)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(y) a material increase in the Company’s “accumulated post-retirement benefit obligations” (within the meaning of Accounting Standards Codification Topic 715-60) compared to the amount of such obligations in the Company’s most recently completed fiscal year, except in each case with respect to the events or conditions set forth in (A) through (I) hereof, as would not, individually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(xxii) </w:t>
      </w:r>
      <w:r>
        <w:rPr>
          <w:rFonts w:ascii="Times New Roman" w:hAnsi="Times New Roman"/>
          <w:sz w:val="20"/>
          <w:u w:val="single"/>
        </w:rPr>
        <w:t>Absence of Proceedings</w:t>
      </w:r>
      <w:r>
        <w:rPr>
          <w:rFonts w:ascii="Times New Roman" w:hAnsi="Times New Roman"/>
          <w:sz w:val="20"/>
        </w:rPr>
        <w:t xml:space="preserve">. Except as disclosed in the Registration Statement, the General Disclosure Package and the Prospectus, there is no action, suit, proceeding, inquiry or investigation before or brought by any Governmental Entity now pending or, to the knowledge of the Company, threatened, against or affecting the Company or any of its subsidiaries, which would reasonably be expected to result in a Material Adverse Effect, or which would reasonably be expected to materially and adversely affect their respective properties or assets or the consummation of the transactions contemplated in this Agreement or the performance by the Company of its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(xxiii) </w:t>
      </w:r>
      <w:r>
        <w:rPr>
          <w:rFonts w:ascii="Times New Roman" w:hAnsi="Times New Roman"/>
          <w:sz w:val="20"/>
          <w:u w:val="single"/>
        </w:rPr>
        <w:t>Accuracy of Exhibits</w:t>
      </w:r>
      <w:r>
        <w:rPr>
          <w:rFonts w:ascii="Times New Roman" w:hAnsi="Times New Roman"/>
          <w:sz w:val="20"/>
        </w:rPr>
        <w:t xml:space="preserve">. There are no contracts or documents that are required under the 1933 Act or the 1933 Act Regulations to be described in the Registration Statement, the General Disclosure Package or the Prospectus or to be filed as exhibits to the Registration Statement which have not been so described and filed as required. </w:t>
      </w:r>
    </w:p>
    <w:p>
      <w:pPr>
        <w:pStyle w:val="TextBody"/>
        <w:bidi w:val="0"/>
        <w:spacing w:before="120" w:after="0"/>
        <w:jc w:val="left"/>
        <w:rPr>
          <w:rFonts w:ascii="Times New Roman" w:hAnsi="Times New Roman"/>
          <w:sz w:val="20"/>
        </w:rPr>
      </w:pPr>
      <w:r>
        <w:rPr>
          <w:rFonts w:ascii="Times New Roman" w:hAnsi="Times New Roman"/>
          <w:sz w:val="20"/>
        </w:rPr>
        <w:t xml:space="preserve">(xxiv) </w:t>
      </w:r>
      <w:r>
        <w:rPr>
          <w:rFonts w:ascii="Times New Roman" w:hAnsi="Times New Roman"/>
          <w:sz w:val="20"/>
          <w:u w:val="single"/>
        </w:rPr>
        <w:t>Absence of Further Requirements</w:t>
      </w:r>
      <w:r>
        <w:rPr>
          <w:rFonts w:ascii="Times New Roman" w:hAnsi="Times New Roman"/>
          <w:sz w:val="20"/>
        </w:rPr>
        <w:t xml:space="preserve">.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the 1933 Act, the 1933 Act Regulations, the 1939 Act, the rules of the Nasdaq Global Select Market, state securities laws or the rules of Financial Industry Regulatory Authority, Inc. (“FINRA”). </w:t>
      </w:r>
    </w:p>
    <w:p>
      <w:pPr>
        <w:pStyle w:val="TextBody"/>
        <w:bidi w:val="0"/>
        <w:spacing w:before="120" w:after="0"/>
        <w:jc w:val="left"/>
        <w:rPr>
          <w:rFonts w:ascii="Times New Roman" w:hAnsi="Times New Roman"/>
          <w:sz w:val="20"/>
        </w:rPr>
      </w:pPr>
      <w:r>
        <w:rPr>
          <w:rFonts w:ascii="Times New Roman" w:hAnsi="Times New Roman"/>
          <w:sz w:val="20"/>
        </w:rPr>
        <w:t xml:space="preserve">(xxv) </w:t>
      </w:r>
      <w:r>
        <w:rPr>
          <w:rFonts w:ascii="Times New Roman" w:hAnsi="Times New Roman"/>
          <w:sz w:val="20"/>
          <w:u w:val="single"/>
        </w:rPr>
        <w:t>Possession of Licenses and Permits</w:t>
      </w:r>
      <w:r>
        <w:rPr>
          <w:rFonts w:ascii="Times New Roman" w:hAnsi="Times New Roman"/>
          <w:sz w:val="20"/>
        </w:rPr>
        <w:t xml:space="preserve">. The Company and its subsidiaries possess such certificates, approvals, clearances, registrations, franchises, exemptions, licenses, permits and other authorizations (collectively, “Governmental Licenses”) issued by the appropriate Governmental Entities necessary to conduct the business now operated by it, except where the failure to so possess would not, singly or in the aggregate, reasonably be expected to result in a Material Adverse Effect. The Company and its subsidiaries are in compliance with the terms and conditions of all Governmental Licenses, except where the failure to so comply would not, singly or in the aggregate, reasonably be expected to result in a Material Adverse Effect. All of the Governmental Licenses are valid and in full force and effect, except where the invalidity of such Governmental Licenses or the failure of such Governmental Licenses to be in full force and effect would not, singly or in the aggregate, reasonably be expected to result in a Material Adverse Effect. Neither the Company nor any of its subsidiaries has received any notice of proceedings relating to the revocation or modification of any Governmental Licenses that, singly or in the aggregate, if the subject of an unfavorable decision, ruling or finding,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(xxvi) </w:t>
      </w:r>
      <w:r>
        <w:rPr>
          <w:rFonts w:ascii="Times New Roman" w:hAnsi="Times New Roman"/>
          <w:sz w:val="20"/>
          <w:u w:val="single"/>
        </w:rPr>
        <w:t>Regulatory Compliance</w:t>
      </w:r>
      <w:r>
        <w:rPr>
          <w:rFonts w:ascii="Times New Roman" w:hAnsi="Times New Roman"/>
          <w:sz w:val="20"/>
        </w:rPr>
        <w:t xml:space="preserve">. The Company: (i) has operated and currently operates its business in compliance in all material respects with applicable provisions of the Health Care Laws (as defined below) of the Food and Drug Administration (“FDA”), the Department of Health and Human Services (“HHS”) and any comparable foreign or other regulatory authority to which they are subject (collectively, the “Applicable Regulatory Authorities”) applicable to the ownership, testing, development, manufacture, packaging, processing, use, distribution, storage, import, export or disposal of any of the Company’s or its subsidiaries’ product candidates or any product manufactured or distributed by the Company and its subsidiaries; (ii) has not received any FDA Form 483, written notice of adverse finding, warning letter, untitled letter or other correspondence or written notice from any court or arbitrator or governmental or regulatory authority alleging or asserting non-compliance with (A) any Health Care Laws or (B) any licenses, certificates, approvals, clearances, exemptions, authorizations, permits and supplements or amendments thereto required by any such Health Care Laws (“Regulatory Authorizations”); (iii) possesses all Regulatory Authorizations required to conduct its business as currently conducted and such Regulatory Authorizations are valid and in full force and effect and neither the Company nor any of its subsidiaries are in violation, in any material respect, of any term of any such Regulatory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Authorizations; (iv) has not received written notice of any claim, action, suit, audit, survey, proceeding, hearing, enforcement, investigation, arbitration or other action from the Applicable Regulatory Authorities or any other third party alleging that any product operation or activity is in material violation of any Health Care Laws or Regulatory Authorizations and has no knowledge that the Applicable Regulatory Authorities or any other third party is considering any such claim, litigation, arbitration, action, suit, investigation or proceeding; (v) has not received written notice that any of the Applicable Regulatory Authorities has taken, is taking or intends to take action to limit, suspend, modify or revoke any material Regulatory Authorizations and has no knowledge that any of the Applicable Regulatory Authorities is considering such action; (vi) has filed, obtained, maintained or submitted all material reports, documents, forms, notices, applications, records, claims, submissions and supplements or amendments as required by any Health Care Laws or Regulatory Authorizations and that all such reports, documents, forms, notices, applications, records, claims, submissions and supplements or amendments were materially complete and correct on the date filed (or were materially corrected or supplemented by a subsequent submission); (vii) is not a party to and does not have any ongoing reporting obligations pursuant to any corporate integrity agreements, deferred prosecution agreements, monitoring agreements, consent decrees, settlement orders, plans of correction or similar agreements with or imposed by any Applicable Regulatory Authority; and (viii) along with its employees, officers, directors and agents, has not been excluded, suspended, debarred or is otherwise ineligible from participation in any government health care program or human clinical research or, to the knowledge of the Company, is subject to a governmental inquiry, investigation, proceeding, or other similar action that could reasonably be expected to result in debarment, suspension, or exclusion or ineligibility. The term “Health Care Laws” means Title XVIII of the Social Security Act, 42 U.S.C. §§ 1395-1395hhh (the Medicare statute); Title XIX of the Social Security Act, 42 U.S.C. §§ 1396-1396v (the Medicaid statute); the Federal Anti-Kickback Statute, 42 U.S.C. § 1320a-7b(b); the civil False Claims Act, 31 U.S.C. §§ 3729 et seq.; the criminal False Claims Act, 42 U.S.C. 1320a-7b(a); any criminal laws relating to health care fraud and abuse, including but not limited to 18 U.S.C. Sections 286, 287, 1001, 1035, 1347 and 1349, and the health care fraud criminal provisions under the Health Insurance Portability and Accountability Act of 1996, 42 U.S.C. §§ 1320d et seq., (“HIPAA”); the Civil Monetary Penalties Law, 42 U.S.C. §§ 1320a-7a; the Physician Payments Sunshine Act, 42 U.S.C. § 1320a-7h; the Exclusions Law, 42 U.S.C. § 1320a-7; HIPAA, as amended by the Health Information Technology for Economic and Clinical Health Act, 42 U.S.C. §§ 17921 et seq.; the Federal Food, Drug, and Cosmetic Act, 21 U.S.C. §§ 301 et seq.; the Public Health Service Act, 42 U.S.C. §§ 201 et seq.; each as amended, and the regulations promulgated pursuant to such laws; and any similar foreign, federal, state and local laws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(xxvii) </w:t>
      </w:r>
      <w:r>
        <w:rPr>
          <w:rFonts w:ascii="Times New Roman" w:hAnsi="Times New Roman"/>
          <w:sz w:val="20"/>
          <w:u w:val="single"/>
        </w:rPr>
        <w:t>Manufacturing and Suppliers</w:t>
      </w:r>
      <w:r>
        <w:rPr>
          <w:rFonts w:ascii="Times New Roman" w:hAnsi="Times New Roman"/>
          <w:sz w:val="20"/>
        </w:rPr>
        <w:t xml:space="preserve">. To the Company’s knowledge, the manufacturing facilities and operations of its suppliers have been operated and are currently operated in compliance in all material respects with all applicable statutes, rules, regulations and policies of the Applicable Regulatory Authorities, including, without limitation, the Health Care Laws. </w:t>
      </w:r>
    </w:p>
    <w:p>
      <w:pPr>
        <w:pStyle w:val="TextBody"/>
        <w:bidi w:val="0"/>
        <w:spacing w:before="120" w:after="0"/>
        <w:jc w:val="left"/>
        <w:rPr>
          <w:rFonts w:ascii="Times New Roman" w:hAnsi="Times New Roman"/>
          <w:sz w:val="20"/>
        </w:rPr>
      </w:pPr>
      <w:r>
        <w:rPr>
          <w:rFonts w:ascii="Times New Roman" w:hAnsi="Times New Roman"/>
          <w:sz w:val="20"/>
        </w:rPr>
        <w:t xml:space="preserve">(xxviii) </w:t>
      </w:r>
      <w:r>
        <w:rPr>
          <w:rFonts w:ascii="Times New Roman" w:hAnsi="Times New Roman"/>
          <w:sz w:val="20"/>
          <w:u w:val="single"/>
        </w:rPr>
        <w:t>Studies, Tests and Trials</w:t>
      </w:r>
      <w:r>
        <w:rPr>
          <w:rFonts w:ascii="Times New Roman" w:hAnsi="Times New Roman"/>
          <w:sz w:val="20"/>
        </w:rPr>
        <w:t xml:space="preserve">. None of the Company’s product candidates have received marketing approval or licensure from any Applicable Regulatory Authority. All clinical and pre-clinical studies and trials conducted by or on behalf of or sponsored by the Company, or in which the Company has participated, with respect to the Company’s product candidates, including any such studies and trials that are described in the Registration Statement, General Disclosure Package and the Prospectus, or the results of which are referred to in the Registration Statement, General Disclosure Package and the Prospectus, as applicable (collectively, “Company Trials”), were, and if still pending are, being conducted in all material respects in accordance with the Health Care Laws, including, without limitation, current Good Clinical Practices and Good Laboratory Practices, and with standard medical and scientific research procedures and any applicable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regulations and policies of the jurisdiction in which such trials and studies are being conducted; the descriptions in the Registration Statement, General Disclosure Package and the Prospectus of the results of any Company Trials are accurate and complete descriptions in all material respects and fairly present the data derived therefrom; the Company has no knowledge of any other studies or trials not described in the Registration Statement, General Disclosure Package and the Prospectus, the results of which are inconsistent with or call into question the results described or referred to in the Registration Statement, General Disclosure Package and the Prospectus; the Company has operated at all times and is currently in compliance in all material respects with all applicable Health Care Laws of the Applicable Regulatory Authorities; the Company has not received, and the Company does not have knowledge after due inquiry that any of its collaboration partners has received, any written notices, correspondence or other communications from the Applicable Regulatory Authorities or any other governmental entity requiring or threatening the termination, material modification or suspension of Company Trials, other than ordinary course communications with respect to modifications in connection with the design and implementation of such studies or trials, and, to the Company’s knowledge, there are no reasonable grounds for the same. No investigational new drug application or comparable submission filed by or on behalf of the Company or any of its subsidiaries has been terminated or suspended by the FDA or any other Applicable Regulatory Authority. The Company has obtained (or caused to be obtained) informed consent by or on behalf of each human subject who participated in a Company Trial. In using or disclosing patient information received by the Company in connection with a Company Trial, the Company has complied in all material respects with all applicable laws and regulatory rules or requirements, including, without limitation, HIPAA and the rules and regulations thereunder. To the Company’s knowledge, none of the Company Trials involved any investigator who has been disqualified as a clinical investigator or has been found by the FDA to have engaged in scientific misconduct. </w:t>
      </w:r>
    </w:p>
    <w:p>
      <w:pPr>
        <w:pStyle w:val="TextBody"/>
        <w:bidi w:val="0"/>
        <w:spacing w:before="120" w:after="0"/>
        <w:jc w:val="left"/>
        <w:rPr>
          <w:rFonts w:ascii="Times New Roman" w:hAnsi="Times New Roman"/>
          <w:sz w:val="20"/>
        </w:rPr>
      </w:pPr>
      <w:r>
        <w:rPr>
          <w:rFonts w:ascii="Times New Roman" w:hAnsi="Times New Roman"/>
          <w:sz w:val="20"/>
        </w:rPr>
        <w:t xml:space="preserve">(xxix) </w:t>
      </w:r>
      <w:r>
        <w:rPr>
          <w:rFonts w:ascii="Times New Roman" w:hAnsi="Times New Roman"/>
          <w:sz w:val="20"/>
          <w:u w:val="single"/>
        </w:rPr>
        <w:t>Title to Property</w:t>
      </w:r>
      <w:r>
        <w:rPr>
          <w:rFonts w:ascii="Times New Roman" w:hAnsi="Times New Roman"/>
          <w:sz w:val="20"/>
        </w:rPr>
        <w:t xml:space="preserve">.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 (B) do not, singly or in the aggregate, materially and adversely affect the value of such property and do not materially interfere with the use made and proposed to be made of such property by the Company or any of its subsidiaries; and all of the leases and subleases of the Company or any of its subsidiaries considered as one enterprise, and under which the Company or any of its subsidiaries holds properties described in the Registration Statement, the General Disclosure Package or the Prospectus, are in full force and effect, and neither the Company nor any such subsidiary has received any notice of any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 except to the extent that such failure to be in effect or such claim or adverse effect on the Company’s rights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(xxx) </w:t>
      </w:r>
      <w:r>
        <w:rPr>
          <w:rFonts w:ascii="Times New Roman" w:hAnsi="Times New Roman"/>
          <w:sz w:val="20"/>
          <w:u w:val="single"/>
        </w:rPr>
        <w:t>Possession of Intellectual Property</w:t>
      </w:r>
      <w:r>
        <w:rPr>
          <w:rFonts w:ascii="Times New Roman" w:hAnsi="Times New Roman"/>
          <w:sz w:val="20"/>
        </w:rPr>
        <w:t xml:space="preserve">.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it as described in the Registration Statement, the General Disclosure Package and the Prospectus, and neither the Company nor any of its subsidiaries has received any notice or is otherwise aware of any infringement of or conflict with asserted rights of others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any Intellectual Property or of any facts or circumstances that would render any Intellectual Property invalid or inadequate to protect the interest of the Company therein, and which infringement or conflict (if the subject of any unfavorable decision, ruling or finding) or invalidity or inadequacy, singly or in the aggregate, would reasonably be expected to result in a Material Adverse Effect. All Intellectual Property owned by the Company and any of its subsidiaries and registered with any Governmental Entity has been duly maintained in all material respects in accordance with applicable law, including submission of all necessary filings and payment of fees in accordance with the legal and administrative requirements of the appropriate jurisdictions. Neither the Company nor any of its subsidiaries has received any notice that any issued patents with the Intellectual Property are invalid or unenforceable, and is not otherwise aware of any facts or circumstances that would render any issued patents within the Intellectual Property invalid or unenforceable. All material technical information developed by and belonging to the Company and its subsidiaries that has not been disclosed in a patent application has been kept confidential and, to the Company’s knowledge, there is no infringement or misappropriation by third parties of any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(xxxi) </w:t>
      </w:r>
      <w:r>
        <w:rPr>
          <w:rFonts w:ascii="Times New Roman" w:hAnsi="Times New Roman"/>
          <w:sz w:val="20"/>
          <w:u w:val="single"/>
        </w:rPr>
        <w:t>Environmental Laws</w:t>
      </w:r>
      <w:r>
        <w:rPr>
          <w:rFonts w:ascii="Times New Roman" w:hAnsi="Times New Roman"/>
          <w:sz w:val="20"/>
        </w:rPr>
        <w:t xml:space="preserve">. Except as described in the Registration Statement, the General Disclosure Package and the Prospectus or would not, singly or in the aggregate,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“Hazardous Materials”) or to the manufacture, processing, distribution, use, treatment, storage, disposal, transport or handling of Hazardous Materials (collectively, “Environmental Laws”), (B) the Company and its subsidiaries have all permits, authorizations and approvals required for its operations under any applicable Environmental Laws and are each in compliance with their requirements, (C) there are no pending, or to the Company’s knowledge, threatened administrative, regulatory or judicial actions, suits, demands, demand letters, claims, liens, notices of noncompliance or violation, investigations or proceedings relating to any Environmental Law against the Company or any of its subsidiaries and (D) there are no events or circumstances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(xxxii) </w:t>
      </w:r>
      <w:r>
        <w:rPr>
          <w:rFonts w:ascii="Times New Roman" w:hAnsi="Times New Roman"/>
          <w:sz w:val="20"/>
          <w:u w:val="single"/>
        </w:rPr>
        <w:t>Accounting Controls and Disclosure Controls</w:t>
      </w:r>
      <w:r>
        <w:rPr>
          <w:rFonts w:ascii="Times New Roman" w:hAnsi="Times New Roman"/>
          <w:sz w:val="20"/>
        </w:rPr>
        <w:t xml:space="preserve">. The Company and its subsidiaries, on a consolidated basis, maintain a system of internal control over financial reporting (as defined under Rule 13a-15 and Rule 15d-15 under the 1934 Act Regulations) and a system of internal accounting controls, each designed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incorporated by reference in the Registration Statement, the General Disclosure Package and the Prospectus fairly presents the information called for in all material respects and is prepared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accordance with the Commission’s rules and guidelines applicable thereto.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and adversely affected, or is reasonably likely to materially and adversely affect, the Company’s internal control over financial reporting. The Company and each of its subsidiaries maintain a system of disclosure controls and procedures (as defined in Rule 13a-15 and Rule 15d-15 under the 1934 Act Regulations) that is designed to provide reasonable assurance that the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 </w:t>
      </w:r>
    </w:p>
    <w:p>
      <w:pPr>
        <w:pStyle w:val="TextBody"/>
        <w:bidi w:val="0"/>
        <w:spacing w:before="120" w:after="0"/>
        <w:jc w:val="left"/>
        <w:rPr>
          <w:rFonts w:ascii="Times New Roman" w:hAnsi="Times New Roman"/>
          <w:sz w:val="20"/>
        </w:rPr>
      </w:pPr>
      <w:r>
        <w:rPr>
          <w:rFonts w:ascii="Times New Roman" w:hAnsi="Times New Roman"/>
          <w:sz w:val="20"/>
        </w:rPr>
        <w:t xml:space="preserve">(xxxiii) </w:t>
      </w:r>
      <w:r>
        <w:rPr>
          <w:rFonts w:ascii="Times New Roman" w:hAnsi="Times New Roman"/>
          <w:sz w:val="20"/>
          <w:u w:val="single"/>
        </w:rPr>
        <w:t>Compliance with the Sarbanes-Oxley Act.</w:t>
      </w:r>
      <w:r>
        <w:rPr>
          <w:rFonts w:ascii="Times New Roman" w:hAnsi="Times New Roman"/>
          <w:sz w:val="20"/>
        </w:rPr>
        <w:t xml:space="preserve"> There is and has been no failure on the part of the Company or, to the Company’s knowledge, any of the Company’s directors or officers, in their capacities as such, to comply in all material respects with any applicable provision of the Sarbanes-Oxley Act of 2002 and the rules and regulations promulgated in connection therewith, including Section 402 related to loans and Sections 302 and 906 related to certifications. </w:t>
      </w:r>
    </w:p>
    <w:p>
      <w:pPr>
        <w:pStyle w:val="TextBody"/>
        <w:bidi w:val="0"/>
        <w:spacing w:before="120" w:after="0"/>
        <w:jc w:val="left"/>
        <w:rPr>
          <w:rFonts w:ascii="Times New Roman" w:hAnsi="Times New Roman"/>
          <w:sz w:val="20"/>
        </w:rPr>
      </w:pPr>
      <w:r>
        <w:rPr>
          <w:rFonts w:ascii="Times New Roman" w:hAnsi="Times New Roman"/>
          <w:sz w:val="20"/>
        </w:rPr>
        <w:t xml:space="preserve">(xxxiv) </w:t>
      </w:r>
      <w:r>
        <w:rPr>
          <w:rFonts w:ascii="Times New Roman" w:hAnsi="Times New Roman"/>
          <w:sz w:val="20"/>
          <w:u w:val="single"/>
        </w:rPr>
        <w:t>Payment of Taxes</w:t>
      </w:r>
      <w:r>
        <w:rPr>
          <w:rFonts w:ascii="Times New Roman" w:hAnsi="Times New Roman"/>
          <w:sz w:val="20"/>
        </w:rPr>
        <w:t xml:space="preserve">. All United States federal income tax returns of the Company and its subsidiaries required by law to be filed have been filed and all taxes shown by such returns or otherwise assessed, which are due and payable, have been paid, except for any such assessment that is currently being contested and as to which adequate reserves have been provided or any such assessment as would not have a Material Adverse Effect. The Company and its subsidiaries have filed all other tax returns that are required to have been filed by it pursuant to applicable foreign, state, local or other law except insofar as the failure to file such returns would not, singly or in the aggregate, result in a Material Adverse Effect, and has paid all taxes due pursuant to such returns or pursuant to any assessment received by the Company and its subsidiaries, except for such taxes, if any, as are being contested in good faith and as to which adequate reserves have been established by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or any such assessment or re-assessment as would not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(xxxv) </w:t>
      </w:r>
      <w:r>
        <w:rPr>
          <w:rFonts w:ascii="Times New Roman" w:hAnsi="Times New Roman"/>
          <w:sz w:val="20"/>
          <w:u w:val="single"/>
        </w:rPr>
        <w:t>Insurance</w:t>
      </w:r>
      <w:r>
        <w:rPr>
          <w:rFonts w:ascii="Times New Roman" w:hAnsi="Times New Roman"/>
          <w:sz w:val="20"/>
        </w:rPr>
        <w:t xml:space="preserve">. The Company and its subsidiaries carry or are entitled to the benefits of insurance, with financially sound and reputable insurers, in such amounts and covering such risks as the Company reasonably believes is generally maintained by companies of established repute and comparable size engaged in the same or similar business, and all such insurance is in full force and effect.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Neither the Company nor any of its subsidiaries has been denied any insurance coverage which it has sought or for which it has applied. </w:t>
      </w:r>
    </w:p>
    <w:p>
      <w:pPr>
        <w:pStyle w:val="TextBody"/>
        <w:bidi w:val="0"/>
        <w:spacing w:before="120" w:after="0"/>
        <w:jc w:val="left"/>
        <w:rPr>
          <w:rFonts w:ascii="Times New Roman" w:hAnsi="Times New Roman"/>
          <w:sz w:val="20"/>
        </w:rPr>
      </w:pPr>
      <w:r>
        <w:rPr>
          <w:rFonts w:ascii="Times New Roman" w:hAnsi="Times New Roman"/>
          <w:sz w:val="20"/>
        </w:rPr>
        <w:t xml:space="preserve">(xxxvi) </w:t>
      </w:r>
      <w:r>
        <w:rPr>
          <w:rFonts w:ascii="Times New Roman" w:hAnsi="Times New Roman"/>
          <w:sz w:val="20"/>
          <w:u w:val="single"/>
        </w:rPr>
        <w:t>Investment Company Act</w:t>
      </w:r>
      <w:r>
        <w:rPr>
          <w:rFonts w:ascii="Times New Roman" w:hAnsi="Times New Roman"/>
          <w:sz w:val="20"/>
        </w:rPr>
        <w:t xml:space="preserve">. The Company is not required, and upon the issuance and sale of the Securities as herein contemplated and the shares of Common Stock in the Concurrent Follow-On Offering and the application of the net proceeds therefrom as described in the Registration Statement, the General Disclosure Package and the Prospectus, will not be required, to register as an “investment company” under the Investment Company Act of 1940, as amended (the “1940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(xxxvii) </w:t>
      </w:r>
      <w:r>
        <w:rPr>
          <w:rFonts w:ascii="Times New Roman" w:hAnsi="Times New Roman"/>
          <w:sz w:val="20"/>
          <w:u w:val="single"/>
        </w:rPr>
        <w:t>Margin Regulations</w:t>
      </w:r>
      <w:r>
        <w:rPr>
          <w:rFonts w:ascii="Times New Roman" w:hAnsi="Times New Roman"/>
          <w:sz w:val="20"/>
        </w:rPr>
        <w:t xml:space="preserve">. None of the transactions contemplated by this Agreement, the Indenture or the Securities (including the application of the proceeds of the offering of the Securities) will violate or result in a violation of Regulation T, U or X of the Board of Governors of the Federal Reserve System or any other regulation of such Board of Governors. </w:t>
      </w:r>
    </w:p>
    <w:p>
      <w:pPr>
        <w:pStyle w:val="TextBody"/>
        <w:bidi w:val="0"/>
        <w:spacing w:before="120" w:after="0"/>
        <w:jc w:val="left"/>
        <w:rPr>
          <w:rFonts w:ascii="Times New Roman" w:hAnsi="Times New Roman"/>
          <w:sz w:val="20"/>
        </w:rPr>
      </w:pPr>
      <w:r>
        <w:rPr>
          <w:rFonts w:ascii="Times New Roman" w:hAnsi="Times New Roman"/>
          <w:sz w:val="20"/>
        </w:rPr>
        <w:t xml:space="preserve">(xxxviii) </w:t>
      </w:r>
      <w:r>
        <w:rPr>
          <w:rFonts w:ascii="Times New Roman" w:hAnsi="Times New Roman"/>
          <w:sz w:val="20"/>
          <w:u w:val="single"/>
        </w:rPr>
        <w:t>Absence of Manipulation</w:t>
      </w:r>
      <w:r>
        <w:rPr>
          <w:rFonts w:ascii="Times New Roman" w:hAnsi="Times New Roman"/>
          <w:sz w:val="20"/>
        </w:rPr>
        <w:t xml:space="preserve">. Neither the Company nor any controlled affiliate of the Company has taken, nor will the Company or any controlled affiliate take, directly or indirectly, any action which is designed, or would reasonably be expected, to cause or result in, or which constitutes, the stabilization or manipulation of the price of any security of the Company to facilitate the sale or resale of the Securities or to result in a violation of Regulation M under the 1934 Act. </w:t>
      </w:r>
    </w:p>
    <w:p>
      <w:pPr>
        <w:pStyle w:val="TextBody"/>
        <w:bidi w:val="0"/>
        <w:spacing w:before="120" w:after="0"/>
        <w:jc w:val="left"/>
        <w:rPr>
          <w:rFonts w:ascii="Times New Roman" w:hAnsi="Times New Roman"/>
          <w:sz w:val="20"/>
        </w:rPr>
      </w:pPr>
      <w:r>
        <w:rPr>
          <w:rFonts w:ascii="Times New Roman" w:hAnsi="Times New Roman"/>
          <w:sz w:val="20"/>
        </w:rPr>
        <w:t xml:space="preserve">(xxxix) </w:t>
      </w:r>
      <w:r>
        <w:rPr>
          <w:rFonts w:ascii="Times New Roman" w:hAnsi="Times New Roman"/>
          <w:sz w:val="20"/>
          <w:u w:val="single"/>
        </w:rPr>
        <w:t>Foreign Corrupt Practices Act</w:t>
      </w:r>
      <w:r>
        <w:rPr>
          <w:rFonts w:ascii="Times New Roman" w:hAnsi="Times New Roman"/>
          <w:sz w:val="20"/>
        </w:rPr>
        <w:t xml:space="preserve">. None of the Company, any of its subsidiaries or, to the knowledge of the Company, any director, officer,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controlled affiliates have conducted their businesses in compliance with the FCPA and have instituted and maintain policies and procedures designed to ensure, and which are reasonably expected to continue to ensure, continued compliance therewith. </w:t>
      </w:r>
    </w:p>
    <w:p>
      <w:pPr>
        <w:pStyle w:val="TextBody"/>
        <w:bidi w:val="0"/>
        <w:spacing w:before="120" w:after="0"/>
        <w:jc w:val="left"/>
        <w:rPr>
          <w:rFonts w:ascii="Times New Roman" w:hAnsi="Times New Roman"/>
          <w:sz w:val="20"/>
        </w:rPr>
      </w:pPr>
      <w:r>
        <w:rPr>
          <w:rFonts w:ascii="Times New Roman" w:hAnsi="Times New Roman"/>
          <w:sz w:val="20"/>
        </w:rPr>
        <w:t xml:space="preserve">(xl) </w:t>
      </w:r>
      <w:r>
        <w:rPr>
          <w:rFonts w:ascii="Times New Roman" w:hAnsi="Times New Roman"/>
          <w:sz w:val="20"/>
          <w:u w:val="single"/>
        </w:rPr>
        <w:t>Money Laundering Laws</w:t>
      </w:r>
      <w:r>
        <w:rPr>
          <w:rFonts w:ascii="Times New Roman" w:hAnsi="Times New Roman"/>
          <w:sz w:val="20"/>
        </w:rPr>
        <w:t xml:space="preserve">.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“Money Laundering Laws”); and no action, suit or proceeding by or before any Governmental Entity involving the Company or any of its subsidiaries with respect to the Money Laundering Laws is pending or, to the best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 xml:space="preserve">(xli) </w:t>
      </w:r>
      <w:r>
        <w:rPr>
          <w:rFonts w:ascii="Times New Roman" w:hAnsi="Times New Roman"/>
          <w:sz w:val="20"/>
          <w:u w:val="single"/>
        </w:rPr>
        <w:t>OFAC</w:t>
      </w:r>
      <w:r>
        <w:rPr>
          <w:rFonts w:ascii="Times New Roman" w:hAnsi="Times New Roman"/>
          <w:sz w:val="20"/>
        </w:rPr>
        <w:t xml:space="preserve">. None of the Company, any of its subsidiaries nor, to the knowledge of the Company, any director, officer, agent, employee, affiliate or representative of the Company or any of its subsidiaries is an individual or entity (“Person”) currently the subject or target of any sanctions administered or enforced by the United States Government, including, without limitation, the U.S. Department of the Treasury’s Office of Foreign Assets Control (“OFAC”), the United Nations Security Council (“UNSC”), the European Union, His Majesty’s Treasury (“HMT”), or other relevant sanctions authority (collectively, “Sanctions”), nor is the Company located, organized or resident in a country or territory that is the subject of Sanctions; and the Company will not directly or indirectly use the proceeds of the sale of the Securities, or lend, contribute or otherwise make available such proceeds to any subsidiaries, joint venture partners or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 </w:t>
      </w:r>
    </w:p>
    <w:p>
      <w:pPr>
        <w:pStyle w:val="TextBody"/>
        <w:bidi w:val="0"/>
        <w:spacing w:before="120" w:after="0"/>
        <w:jc w:val="left"/>
        <w:rPr>
          <w:rFonts w:ascii="Times New Roman" w:hAnsi="Times New Roman"/>
          <w:sz w:val="20"/>
        </w:rPr>
      </w:pPr>
      <w:r>
        <w:rPr>
          <w:rFonts w:ascii="Times New Roman" w:hAnsi="Times New Roman"/>
          <w:sz w:val="20"/>
        </w:rPr>
        <w:t xml:space="preserve">(xlii) </w:t>
      </w:r>
      <w:r>
        <w:rPr>
          <w:rFonts w:ascii="Times New Roman" w:hAnsi="Times New Roman"/>
          <w:sz w:val="20"/>
          <w:u w:val="single"/>
        </w:rPr>
        <w:t>Lending Relationship</w:t>
      </w:r>
      <w:r>
        <w:rPr>
          <w:rFonts w:ascii="Times New Roman" w:hAnsi="Times New Roman"/>
          <w:i/>
          <w:sz w:val="20"/>
        </w:rPr>
        <w:t xml:space="preserve">. </w:t>
      </w:r>
      <w:r>
        <w:rPr>
          <w:rFonts w:ascii="Times New Roman" w:hAnsi="Times New Roman"/>
          <w:sz w:val="20"/>
        </w:rPr>
        <w:t xml:space="preserve">Except as disclosed in the Registration Statement, the General Disclosure Package and the Prospectus, the Company (i) does not have any material lending or other relationship with any banking or lending affiliate of any Underwriter and (ii) does not intend to use any of the proceeds from the sale of the Securities to repay any outstanding debt owed to any affiliate of any Underwriter. </w:t>
      </w:r>
    </w:p>
    <w:p>
      <w:pPr>
        <w:pStyle w:val="TextBody"/>
        <w:bidi w:val="0"/>
        <w:spacing w:before="120" w:after="0"/>
        <w:jc w:val="left"/>
        <w:rPr>
          <w:rFonts w:ascii="Times New Roman" w:hAnsi="Times New Roman"/>
          <w:sz w:val="20"/>
        </w:rPr>
      </w:pPr>
      <w:r>
        <w:rPr>
          <w:rFonts w:ascii="Times New Roman" w:hAnsi="Times New Roman"/>
          <w:sz w:val="20"/>
        </w:rPr>
        <w:t xml:space="preserve">(xliii) </w:t>
      </w:r>
      <w:r>
        <w:rPr>
          <w:rFonts w:ascii="Times New Roman" w:hAnsi="Times New Roman"/>
          <w:sz w:val="20"/>
          <w:u w:val="single"/>
        </w:rPr>
        <w:t>Statistical and Market-Related Data</w:t>
      </w:r>
      <w:r>
        <w:rPr>
          <w:rFonts w:ascii="Times New Roman" w:hAnsi="Times New Roman"/>
          <w:sz w:val="20"/>
        </w:rPr>
        <w:t xml:space="preserve">. Any statistical and market-related data included in the Registration Statement, the General Disclosure Package or the Prospectus are based on or derived from sources that the Company believes, after reasonable inquiry, to be reliable and accurate and, to the extent required, the Company has obtained the written consent to the use of such data from such sources. </w:t>
      </w:r>
    </w:p>
    <w:p>
      <w:pPr>
        <w:pStyle w:val="TextBody"/>
        <w:bidi w:val="0"/>
        <w:spacing w:before="120" w:after="0"/>
        <w:jc w:val="left"/>
        <w:rPr>
          <w:rFonts w:ascii="Times New Roman" w:hAnsi="Times New Roman"/>
          <w:sz w:val="20"/>
        </w:rPr>
      </w:pPr>
      <w:r>
        <w:rPr>
          <w:rFonts w:ascii="Times New Roman" w:hAnsi="Times New Roman"/>
          <w:sz w:val="20"/>
        </w:rPr>
        <w:t xml:space="preserve">(xliv) </w:t>
      </w:r>
      <w:r>
        <w:rPr>
          <w:rFonts w:ascii="Times New Roman" w:hAnsi="Times New Roman"/>
          <w:sz w:val="20"/>
          <w:u w:val="single"/>
        </w:rPr>
        <w:t>Cybersecurity</w:t>
      </w:r>
      <w:r>
        <w:rPr>
          <w:rFonts w:ascii="Times New Roman" w:hAnsi="Times New Roman"/>
          <w:sz w:val="20"/>
        </w:rPr>
        <w:t>. (A) The Company has no knowledge of any security breach, attack or other compromise of or relating to the Company or its subsidiaries information technology and computer systems, networks, hardware, software, and data (including the data of its customers, employees, suppliers, vendors and any third party data maintained by or on behalf of the Company and its subsidiaries), equipment or technology (“</w:t>
      </w:r>
      <w:r>
        <w:rPr>
          <w:rFonts w:ascii="Times New Roman" w:hAnsi="Times New Roman"/>
          <w:sz w:val="20"/>
          <w:u w:val="single"/>
        </w:rPr>
        <w:t>IT Systems and Data</w:t>
      </w:r>
      <w:r>
        <w:rPr>
          <w:rFonts w:ascii="Times New Roman" w:hAnsi="Times New Roman"/>
          <w:sz w:val="20"/>
        </w:rPr>
        <w:t xml:space="preserve">”); (B) neither the Company nor its subsidiaries have been notified of, and has no knowledge of any event or condition that would reasonably be expected to result in, any security breach, attack or other compromise to its IT Systems and Data; (C) the Company and its subsidiaries have complied, and is presently in compliance with, all applicable laws, statutes or any judgment, order, rule or regulation of any court or arbitrator or governmental or regulatory authority and all industry guidelines, standards, internal policies and contractual obligations relating to the privacy and security of IT Systems and Data and to the protection of such IT Systems and Data from unauthorized use, access, misappropriation or modification, except as would not, singly or in the aggregate, result in a Material Adverse Effect; and (D) the Company and its subsidiaries have implemented backup and disaster recovery technology consistent with industry standards and practices.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Officer’s Certificates</w:t>
      </w:r>
      <w:r>
        <w:rPr>
          <w:rFonts w:ascii="Times New Roman" w:hAnsi="Times New Roman"/>
          <w:sz w:val="20"/>
        </w:rPr>
        <w:t xml:space="preserve">. Any certificate signed by any officer of the Company or any of its subsidiaries delivered to the Representatives or to counsel for the Underwriters shall be deemed a representation and warranty by the Company to each Underwriter as to the matters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Sale and Delivery to Underwriters;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Initial Notes</w:t>
      </w:r>
      <w:r>
        <w:rPr>
          <w:rFonts w:ascii="Times New Roman" w:hAnsi="Times New Roman"/>
          <w:sz w:val="20"/>
        </w:rPr>
        <w:t xml:space="preserve">. On the basis of the representations and warranties herein contained and subject to the terms and conditions herein set forth, the Company agrees to sell to each Underwriter, severally and not jointly, and each Underwriter, severally and not jointly, agrees to purchase from the Company, at a price equal to 97.25% of the principal amount set forth in Schedule A (the “Purchase Price”), plus accrued interest, if any, from October 6, 2026 to the Closing Time, that principal amount of Initial Notes set forth in Schedule A opposite the name of such Underwriter, plus any additional principal amount of Initial Notes which such Underwriter may become obligated to purchase pursuant to the provisions of Section 10 hereof, subject, in each case, to such adjustments among the Underwriters as the Representatives in their sole discretion shall make to eliminate any sales or purchases of Securities in denominations other than $1,000 or integral multiples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Option Notes</w:t>
      </w:r>
      <w:r>
        <w:rPr>
          <w:rFonts w:ascii="Times New Roman" w:hAnsi="Times New Roman"/>
          <w:sz w:val="20"/>
        </w:rPr>
        <w:t xml:space="preserve">. In addition, on the basis of the representations and warranties herein contained and subject to the terms and conditions herein set forth, the Company hereby grants an option to the Underwriters, severally and not jointly, to purchase up to an additional $75,000,000 aggregate principal amount of the Option Notes, at the Purchase Price, plus accrued interest, if any, from October 6, 2026 to the relevant Date of Delivery. Such option may be exercised only to cover over-allotments in the sale of the Initial Notes. The option hereby granted may be exercised for 30 days after the date hereof and may be exercised in whole or in part at any time from time to time upon notice by the Representatives to the Company setting forth the principal amount of Option Notes as to which the several Underwriters are then exercising the option and the time and date of payment and delivery for such Option Notes. Any such time and date of delivery (a “Date of Delivery”) shall be determined by the Representatives, but shall not be earlier than two full business days (except in the case of Option Notes being delivered at the Closing Time) nor later than seven full business days after the exercise of said option, nor in any event prior to the Closing Time. If the option is exercised as to all or any portion of the Option Notes, each of the Underwriters, acting severally and not jointly, will purchase that proportion of the total principal amount of Option Notes then being purchased which the principal amount of Initial Notes set forth in Schedule A opposite the name of such Underwriter bears to the total principal amount of Initial Notes, subject, in each case, to such adjustments as the Representatives in their sole discretion shall make to eliminate any sales or purchases of Securities in denominations other than $1,000 or integral multiples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Payment</w:t>
      </w:r>
      <w:r>
        <w:rPr>
          <w:rFonts w:ascii="Times New Roman" w:hAnsi="Times New Roman"/>
          <w:sz w:val="20"/>
        </w:rPr>
        <w:t xml:space="preserve">. Payment of the purchase price for, and delivery of, the Initial Notes shall be made at the offices of Latham &amp; Watkins LLP, 801 Jefferson Ave, Ste 300, Redwood City, CA 94063, or at such other place as shall be agreed upon by the Representatives and the Company, at 9:00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“Closing Time”). Delivery of the Initial Notes at the Closing Time shall be made through the facilities of The Depository Trust Company (“DTC”), in the form of one or more global notes registered in the name of the nominee of DTC, unless the Representatives shall otherwise instruct.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event that any or all of the Option Notes are purchased by the Underwriters, payment of the purchase price for, and delivery of, such Option Notes shall be made at the abovementioned offices, or at such other place as shall be agreed upon by the Representatives and the Company, on each Date of Delivery as specified in the notice from the Representatives to the Company. Delivery of the Option Notes on each such Date of Delivery shall be made through the facilities of DTC, in the form of one or more global notes registered in the name of the nominee of DTC, unless the Representatives shall otherwise instruct. </w:t>
      </w:r>
    </w:p>
    <w:p>
      <w:pPr>
        <w:pStyle w:val="TextBody"/>
        <w:bidi w:val="0"/>
        <w:spacing w:before="240" w:after="0"/>
        <w:jc w:val="left"/>
        <w:rPr>
          <w:rFonts w:ascii="Times New Roman" w:hAnsi="Times New Roman"/>
          <w:sz w:val="20"/>
        </w:rPr>
      </w:pPr>
      <w:r>
        <w:rPr>
          <w:rFonts w:ascii="Times New Roman" w:hAnsi="Times New Roman"/>
          <w:sz w:val="20"/>
        </w:rPr>
        <w:t xml:space="preserve">Payment shall be made to the Company by wire transfer of immediately available funds to a bank account designated by the Company against delivery to the Representatives for the respective accounts of the Underwriters of the Securities to be purchased by them (which delivery shall be made through the facilities of DTC unless the Representatives shall otherwise instruct). It is understood that each Underwriter has authorized the Representatives, for its account, to accept delivery of, receipt for, and make payment of the purchase price for, the Initial Notes and the Option Notes, if any, which it has agreed to purchase. Jefferies, individually and not as representative of the Underwriters, may (but shall not be obligated to) make payment of the purchase price for the Initial Notes or the Option Notes, if any, to be purchased by any Underwriter whose funds have not been received by the Closing Time or the relevant Date of Delivery, as the case may be, but such payment shall not relieve such Underwriter from its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Covenants of the Company</w:t>
      </w:r>
      <w:r>
        <w:rPr>
          <w:rFonts w:ascii="Times New Roman" w:hAnsi="Times New Roman"/>
          <w:sz w:val="20"/>
        </w:rPr>
        <w:t xml:space="preserve">. The Company covenants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Compliance with Securities Regulations and Commission Requests</w:t>
      </w:r>
      <w:r>
        <w:rPr>
          <w:rFonts w:ascii="Times New Roman" w:hAnsi="Times New Roman"/>
          <w:sz w:val="20"/>
        </w:rPr>
        <w:t xml:space="preserve">. The Company, subject to Section 3(b), will comply with the requirements of Rule 430B, and will notify the Representatives promptly,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use reasonable efforts to prevent the issuance of any stop order, prevention or suspension and, if any such order is issued, to obtain the lifting thereof as soon as practicable. The Company shall pay the required Commission filing fees relating to the Securities within the time required by Rule 456(b)(1)(i) under the 1933 Act Regulations without regard to the proviso therein and otherwise in accordance with Rules 456(b) and 457(r) under the 1933 Act Regulations (including, if applicable, by updating the “Calculation of Registration Fee” table in accordance with Rule 456(b)(1)(ii) either in a post-effective amendment to the Registration Statement or on the cover page of a prospectus filed pursuant to Rule 424(b)).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Continued Compliance with Securities Laws</w:t>
      </w:r>
      <w:r>
        <w:rPr>
          <w:rFonts w:ascii="Times New Roman" w:hAnsi="Times New Roman"/>
          <w:sz w:val="20"/>
        </w:rPr>
        <w:t xml:space="preserve">. The Company will comply with the 1933 Act, the 1933 Act Regulations, the 1934 Act and the 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(“Rule 172”),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reasonably object. The Company will furnish to the Underwriters such number of copies of such amendment or supplement as the Underwriters may reasonably request. The Company has given the Representative(s) notice of any filings made pursuant to the 1934 Act or 1934 Act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within 48 hours prior to the Applicable Time; the Company will give the Representative(s) notice of its intention to make any such filing from the Applicable Time to the Closing Time and will furnish the Representative(s) with copies of any such documents a reasonable amount of time prior to such proposed filing, as the case may be, and will not file or use any such document to which the Representative(s) or counsel for the Underwriters shall reasonably object.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Delivery of Registration Statements</w:t>
      </w:r>
      <w:r>
        <w:rPr>
          <w:rFonts w:ascii="Times New Roman" w:hAnsi="Times New Roman"/>
          <w:sz w:val="20"/>
        </w:rPr>
        <w:t xml:space="preserve">. If requested in writing, the Company will deliver to the Representatives and counsel for the Underwriters, without charge, conformed copies of the Registration Statement as originally filed and each amendment thereto (including exhibits filed therewith or incorporated by reference therein and documents incorporated or deemed to be incorporated by reference therein) and of all consents and certificates of experts, and will also deliver to the Representatives,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Delivery of Prospectuses</w:t>
      </w:r>
      <w:r>
        <w:rPr>
          <w:rFonts w:ascii="Times New Roman" w:hAnsi="Times New Roman"/>
          <w:sz w:val="20"/>
        </w:rPr>
        <w:t xml:space="preserve">. The Company has delivered to each Underwriter, without charge, as many copies of each preliminary prospectus 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Blue Sky Qualifications</w:t>
      </w:r>
      <w:r>
        <w:rPr>
          <w:rFonts w:ascii="Times New Roman" w:hAnsi="Times New Roman"/>
          <w:sz w:val="20"/>
        </w:rPr>
        <w:t xml:space="preserve">. The Company will use its reasonable best efforts, in cooperation with the Underwriters, to qualify the Securities for offering and sale under the applicable securities laws of such states and other jurisdictions (domestic or foreign) as the Representatives may reasonably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Rule 158</w:t>
      </w:r>
      <w:r>
        <w:rPr>
          <w:rFonts w:ascii="Times New Roman" w:hAnsi="Times New Roman"/>
          <w:sz w:val="20"/>
        </w:rPr>
        <w:t xml:space="preserve">. The Company will timely file such reports pursuant to the 1934 Act as are necessary in order to make generally available (which may be satisfied by filing with the Commission pursuant to EDGAR) to its securityholders as soon as practicable an earnings statement for the purposes of, and to provide to the Underwriters the benefits contemplated by, the last paragraph of Section 11(a) of the 1933 Act.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Use of Proceeds</w:t>
      </w:r>
      <w:r>
        <w:rPr>
          <w:rFonts w:ascii="Times New Roman" w:hAnsi="Times New Roman"/>
          <w:sz w:val="20"/>
        </w:rPr>
        <w:t xml:space="preserve">. The Company will use the net proceeds received by it from the sale of the Securities in all material respects in the manner specified in the Registration Statement, the General Disclosure Package and the Prospectus under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Reservation and Listing of Underlying Common Stock</w:t>
      </w:r>
      <w:r>
        <w:rPr>
          <w:rFonts w:ascii="Times New Roman" w:hAnsi="Times New Roman"/>
          <w:sz w:val="20"/>
        </w:rPr>
        <w:t xml:space="preserve">. The Company will reserve and keep available at all times, free of preemptive rights, a number of shares of Common Stock equal to the Maximum Number of Underlying Shares for the Securities then outstanding. The Company will use its reasonable best efforts to effect and maintain the listing of the Common Stock, including a number of shares of Common Stock equal to the Maximum Number of Underlying Shares for the Securities then outstanding, on the Nasdaq Global Select Market for so long as the Common Stock is so listed and, if the Common Stock ceases to be so listed, on any successor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Restriction on Sale of Securities</w:t>
      </w:r>
      <w:r>
        <w:rPr>
          <w:rFonts w:ascii="Times New Roman" w:hAnsi="Times New Roman"/>
          <w:sz w:val="20"/>
        </w:rPr>
        <w:t xml:space="preserve">. During a period of 60 days from the date of the Prospectus (the “Restricted Period”), the Company will not, without the prior written consent of Jefferies and Leerink,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The foregoing sentence shall not apply to (A) the Securities to be sold hereunder and any shares of Common Stock issued upon conversion of the Securities, (B) any shares of Common Stock issued by the Company upon the exercise of an option or warrant or the conversion of a security outstanding on the date hereof and referred to in the Registration Statement, the General Disclosure Package and the Prospectus, (C) the shares of Common Stock to be sold in the Concurrent Follow-On Offering, (D) any shares of Common Stock issued or equity awards to purchase or receive Common Stock granted pursuant to employee benefit or equity incentive plans of the Company referred to in the Registration Statement, the General Disclosure Package and the Prospectus, (E) any shares of Common Stock issued pursuant to any non-employee director stock plan or dividend reinvestment plan referred to in the Registration Statement, the General Disclosure Package and the Prospectus, (F) the filing by the Company of a registration statement on Form S-8 or any successor form thereto with respect to the registration of securities to be offered under any employee benefit or equity incentive plans of the Company referred to in the Registration Statement, the General Disclosure Package and the Prospectus, (G) the issuance by the Company of shares of Common Stock in connection with sales under an “at-the-market” equity offering program pursuant to a Sales Agreement (the “Sales Agreement”) between the Company and Leerink Partners dated as of February 24, 2026, provided no sales shall be made under the Sales Agreement until the thirtieth day following the date of the Prospectus, or (H) shares of Common Stock or other securities issued in connection with a transaction that includes a commercial relationship (including strategic alliances, commercial lending relationships, joint ventures and strategic acquisitions), provided that (i) the aggregate number of shares issued pursuant to this clause (H) (on an as-converted or as-exercised basis, as the case may be) shall not exceed five percent (5%) of the total number of outstanding shares of Common Stock immediately following the issuance and sale of the securities (including shares underlying any pre-funded warrants) pursuant to the Concurrent Follow-On Offering and (ii) the recipient of any such shares of Common Stock or securities issued pursuant to this clause (H) during the Restricted Period shall enter into an agreement substantially in the form of Exhibit A hereto.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Reporting Requirements</w:t>
      </w:r>
      <w:r>
        <w:rPr>
          <w:rFonts w:ascii="Times New Roman" w:hAnsi="Times New Roman"/>
          <w:sz w:val="20"/>
        </w:rPr>
        <w:t xml:space="preserve">. The Company, during the period when a Prospectus relating to the Securities is (or, but for the exception afforded 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Issuer Free Writing Prospectuses</w:t>
      </w:r>
      <w:r>
        <w:rPr>
          <w:rFonts w:ascii="Times New Roman" w:hAnsi="Times New Roman"/>
          <w:sz w:val="20"/>
        </w:rPr>
        <w:t xml:space="preserve">. The Company agrees that, unless it obtains the prior written consent of the Representatives, it will not 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Schedule B-2 hereto and any “road show that is a written communication”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 Each Underwriter represents that it has not made, and agrees that, without the prior consent of the Company, it will not make any offer relating to the Securities that would constitute a “free writing prospectus” required to be filed by the Company with the Commission or retained by the Company under Rule 433; provided that the Company will be deemed to have consented to any “road show” that is a written communication within the meaning of Rule 433(d)(8)(i) that has been reviewed by the Company. The Company shall prepare a final term sheet relating to this offering of the Securities and the Concurrent Follow-On Offering in a form approved by the Representatives (as set forth in Schedule B-1 hereto) and to file such term sheet pursuant to and within the time required by Rule 433(d)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Certification Regarding Beneficial Owners</w:t>
      </w:r>
      <w:r>
        <w:rPr>
          <w:rFonts w:ascii="Times New Roman" w:hAnsi="Times New Roman"/>
          <w:sz w:val="20"/>
        </w:rPr>
        <w:t xml:space="preserve">. The Company will deliver to the Representatives, on the date of execution of this Agreement, a properly completed and executed Certification Regarding Beneficial Owners of Legal Entity Customers, together with copies of identifying documentation, and the Company undertakes to provide such additional supporting documentation as the Representatives may reasonably request in connection with the verification of the foregoing certification.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Testing-the-Waters Materials</w:t>
      </w:r>
      <w:r>
        <w:rPr>
          <w:rFonts w:ascii="Times New Roman" w:hAnsi="Times New Roman"/>
          <w:sz w:val="20"/>
        </w:rPr>
        <w:t xml:space="preserve">. If at any time following the distribution of any Written Testing-the-Waters Communication there occurred or occurs an event or development as a result of which such Written Testing-the-Waters Communication prepared or authorized by the Company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 provided, however, that this covenant shall not apply to any statements or omissions in a Written Testing-the-Waters Communication prepared or authorized by the Company made in reliance upon and in conformity with the Underwriter Information.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DTC Eligibility</w:t>
      </w:r>
      <w:r>
        <w:rPr>
          <w:rFonts w:ascii="Times New Roman" w:hAnsi="Times New Roman"/>
          <w:sz w:val="20"/>
        </w:rPr>
        <w:t xml:space="preserve">. The Company will assist the Underwriters in arranging for the Securities to be eligible for clearance and settlement through DTC.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Payment of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Expenses</w:t>
      </w:r>
      <w:r>
        <w:rPr>
          <w:rFonts w:ascii="Times New Roman" w:hAnsi="Times New Roman"/>
          <w:sz w:val="20"/>
        </w:rPr>
        <w:t xml:space="preserve">. The Company will pay or cause to be paid all expenses incident to the performance of its obligations under this Agreement, 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the reasonable costs associated with electronic delivery of any of the foregoing by the Underwriters to investors, (iii) the preparation, execution, authentication, issuance and delivery of the Securities to the Underwriters, including any transfer taxes and any stamp or other duties payable upon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sale, issuance or delivery of the Securities to the Underwriters, (iv) the fees and disbursements of the Company’s counsel, accountants and other advisors, (v) the qualification of the Securities under securities laws in accordance with the provisions of Section 3(e) hereof, including filing fees and the reasonable fees and disbursements of counsel for the Underwriters in connection therewith and in connection with the preparation of the Blue Sky Survey and any supplement thereto, (vi) the fees and expenses of the Trustee and any paying agent or conversion agent (including the fees and expenses of any counsel to such parties), all expenses and application fees incurred in connection with the approval of the Securities for book-entry transfer by DTC, and the fees and expenses of any transfer agent or registrar for the Securities or the Common Stock,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with the Company’s consent in connection with the road show presentations, travel and lodging expenses of the representatives and officers of the Company and any such consultants (provided that the lodging and any car travel expenses of the Representatives shall be paid by the Underwriters), and 50% of the cost of aircraft and other transportation chartered in connection with the road show, (viii) the filing fees incident to, and the reasonable fees and disbursements of counsel to the Underwriters in connection with, the review by FINRA of the terms of the sale of the Securities, provided, however, that the reasonable fees and disbursements of counsel for the Underwriters relating to clauses (v) and (viii) shall not exceed $15,000 in the aggregate, (ix) the fees and expenses incurred in connection with the listing on the Nasdaq Global Select Market of a number of shares of Common Stock equal to the Maximum Number of Underlying Shares and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 It is understood, however, that except as provided in this Section and Section 6 entitled “Indemnification,” the Underwriters will pay all of their costs and expenses, including fees and disbursements of their counsel, stock transfer taxes payable upon the resale of any of the Securities by them and any advertising expenses connected with any offer they may make.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Termination of Agreement</w:t>
      </w:r>
      <w:r>
        <w:rPr>
          <w:rFonts w:ascii="Times New Roman" w:hAnsi="Times New Roman"/>
          <w:sz w:val="20"/>
        </w:rPr>
        <w:t xml:space="preserve">. If this Agreement is terminated by the Representatives in accordance with the provisions of Section 5, Section 9(a)(i) or (iii) or Section 10 hereof, the Company shall reimburse the Underwriters for all of their reasonable and documented out-of-pocket expenses actually incurred, including the reasonable and documented fees and disbursements of counsel for the Underwriters, provided, however, that if this Agreement is terminated pursuant to Section 10, the Company shall only be required to reimburse the reasonable and documented out-of-pocket expenses (including the reasonable and documented fees and disbursements of counsel for the Underwriters) of the Underwriters that have not failed to purchase the Securities that they have agreed to purchase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Conditions of Underwriters’ Obligations</w:t>
      </w:r>
      <w:r>
        <w:rPr>
          <w:rFonts w:ascii="Times New Roman" w:hAnsi="Times New Roman"/>
          <w:sz w:val="20"/>
        </w:rPr>
        <w:t xml:space="preserve">.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Effectiveness of Registration Statement</w:t>
      </w:r>
      <w:r>
        <w:rPr>
          <w:rFonts w:ascii="Times New Roman" w:hAnsi="Times New Roman"/>
          <w:sz w:val="20"/>
        </w:rPr>
        <w:t xml:space="preserve">. The Registration Statement has 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to the knowledge of the Company, are pending or contemplated by the Commission; and the Company has complied with each request (if any) from the Commission for additional information. The Company shall have paid the required Commission filing fees relating to the Securities within the time period required by Rule 456(b)(1)(i) under the 1933 Act Regulations without regard to the proviso therein and otherwise in accordance with Rules 456(b) and 457(r) under the 1933 Act Regulations and, if applicable, shall have updated the “Calculation of Registration Fee” table in accordance with Rule 456(b)(1)(ii) either in a post-effective amendment to the Registration Statement or on the cover page of a prospectus filed pursuant to Rule 424(b).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Opinion of Counsel for Company</w:t>
      </w:r>
      <w:r>
        <w:rPr>
          <w:rFonts w:ascii="Times New Roman" w:hAnsi="Times New Roman"/>
          <w:sz w:val="20"/>
        </w:rPr>
        <w:t xml:space="preserve">. At the Closing Time, the Representatives shall have received the opinion and negative assurance letter, dated the Closing Time, of Skadden, Arps, Slate, Meagher &amp; Flom LLP, counsel for the Company, in form and substance reasonably satisfactory to counsel for the Underwriters, together with reproduced copies of such opinion and letter for each of the other Underwriters.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Opinion of Intellectual Property Counsel for Company</w:t>
      </w:r>
      <w:r>
        <w:rPr>
          <w:rFonts w:ascii="Times New Roman" w:hAnsi="Times New Roman"/>
          <w:sz w:val="20"/>
        </w:rPr>
        <w:t xml:space="preserve">. At the Closing Time, the Representatives shall have received the opinion, dated the Closing Time, of Polsinelli PC, counsel for the Company with respect to intellectual property matters, in the form and substance reasonably satisfactory to counsel for the Underwriters, together with reproduced copies of such letter for each of the other Underwriters.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Opinion of Counsel for Underwriters</w:t>
      </w:r>
      <w:r>
        <w:rPr>
          <w:rFonts w:ascii="Times New Roman" w:hAnsi="Times New Roman"/>
          <w:sz w:val="20"/>
        </w:rPr>
        <w:t xml:space="preserve">. At the Closing Time, the Representatives shall have received the opinion and negative assurance letter, dated the Closing Time, of Latham &amp; Watkins LLP, counsel for the Underwriters, in the form and substance reasonably satisfactory to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Officers’ Certificate</w:t>
      </w:r>
      <w:r>
        <w:rPr>
          <w:rFonts w:ascii="Times New Roman" w:hAnsi="Times New Roman"/>
          <w:sz w:val="20"/>
        </w:rPr>
        <w:t xml:space="preserve">. At the Closing Time, there shall not have been, since the date hereof or since the respective dates as of which information is given in the Registration Statement, the General Disclosure Package or the Prospectus, any Material Adverse Effect, whether or not arising in the ordinary course of business, and the Representatives shall have received a certificate of the Chief Executive Officer or the President of the Company and of the chief financial or chief accounting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in all material respects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to their knowledge, are pending or contemplated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Accountant’s Comfort Letter</w:t>
      </w:r>
      <w:r>
        <w:rPr>
          <w:rFonts w:ascii="Times New Roman" w:hAnsi="Times New Roman"/>
          <w:sz w:val="20"/>
        </w:rPr>
        <w:t xml:space="preserve">. At the time of the execution of this Agreement, the Representatives shall have received from Deloitte &amp; Touche LLP a letter, dated such date, in form and substance reasonably satisfactory to the Representatives, together with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Bring-down Comfort Letter</w:t>
      </w:r>
      <w:r>
        <w:rPr>
          <w:rFonts w:ascii="Times New Roman" w:hAnsi="Times New Roman"/>
          <w:sz w:val="20"/>
        </w:rPr>
        <w:t xml:space="preserve">. At the Closing Time, the Representatives shall have received from Deloitte &amp; Touche LLP a letter, dated as of the Closing Time, to the effect that they reaffirm the statements made in the letter furnished pursuant to subsection (f) of this Section, except that the specified date referred to shall be a date not more than three business days prior to the Closing Time.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Listing of Additional Shares Notification</w:t>
      </w:r>
      <w:r>
        <w:rPr>
          <w:rFonts w:ascii="Times New Roman" w:hAnsi="Times New Roman"/>
          <w:sz w:val="20"/>
        </w:rPr>
        <w:t xml:space="preserve">. At the Closing Time, the Company shall have submitted to the Nasdaq Global Select Market a listing of additional shares notification form with respect to a number of shares of Common Stock equal to the Maximum Number of Underlying Shares for the Securities to be issued (or otherwise outstanding) on the Closing Time, and the Company shall not have received any written objection to such notification from the Nasdaq Global Select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Indenture and Securities; DTC Eligibility</w:t>
      </w:r>
      <w:r>
        <w:rPr>
          <w:rFonts w:ascii="Times New Roman" w:hAnsi="Times New Roman"/>
          <w:sz w:val="20"/>
        </w:rPr>
        <w:t xml:space="preserve">. At the Closing Time, the Indenture shall have been duly executed and delivered by the Company and the Trustee, the Securities shall have been duly executed and delivered by the Company and duly authenticated by the Trustee, and the Securities shall be eligible for clearance and settlement through DTC.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Lock-up Agreements</w:t>
      </w:r>
      <w:r>
        <w:rPr>
          <w:rFonts w:ascii="Times New Roman" w:hAnsi="Times New Roman"/>
          <w:sz w:val="20"/>
        </w:rPr>
        <w:t xml:space="preserve">. At the date of this Agreement, the Representatives shall have received an agreement substantially in the form of Exhibit A hereto signed by each of the Company’s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Chief Financial Officer’s Certificate</w:t>
      </w:r>
      <w:r>
        <w:rPr>
          <w:rFonts w:ascii="Times New Roman" w:hAnsi="Times New Roman"/>
          <w:sz w:val="20"/>
        </w:rPr>
        <w:t xml:space="preserve">. The Representatives shall have received on the date of this Agreement and at the Closing Time a certificate dated as of the date hereof and as of the Closing Time, respectively, from the Chief Financial Officer of the Company, in form and substance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No Rated Securities</w:t>
      </w:r>
      <w:r>
        <w:rPr>
          <w:rFonts w:ascii="Times New Roman" w:hAnsi="Times New Roman"/>
          <w:sz w:val="20"/>
        </w:rPr>
        <w:t xml:space="preserve">. The Company does not have any debt securities or preferred stock that are rated by any “nationally recognized statistical rating organization” (as defined in Section 3(a)(62) of the 1934 Act).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Conditions to Purchase of Option Notes</w:t>
      </w:r>
      <w:r>
        <w:rPr>
          <w:rFonts w:ascii="Times New Roman" w:hAnsi="Times New Roman"/>
          <w:sz w:val="20"/>
        </w:rPr>
        <w:t xml:space="preserve">. In the event that the Underwriters exercise their option provided in Section 2(b) hereof to purchase all or any portion of the Option Notes, the representations and warranties of the Company contained herein and the statements in any certificates furnished by the Company hereunder shall be true and correct as of each Date of Delivery and, at the relevant Date of Delivery, the Representatives shall have received: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Officers’ Certificate</w:t>
      </w:r>
      <w:r>
        <w:rPr>
          <w:rFonts w:ascii="Times New Roman" w:hAnsi="Times New Roman"/>
          <w:sz w:val="20"/>
        </w:rPr>
        <w:t xml:space="preserve">. A certificate, dated such Date of Delivery, of the Chief Executive Officer of the Company and of the Chief Financial or Chief Accounting Officer of the Company confirming that the certificate delivered at the Closing Time pursuant to Section 5(e) hereof remains true and correct as of such Date of Delivery.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Opinion of Counsel for Company</w:t>
      </w:r>
      <w:r>
        <w:rPr>
          <w:rFonts w:ascii="Times New Roman" w:hAnsi="Times New Roman"/>
          <w:sz w:val="20"/>
        </w:rPr>
        <w:t xml:space="preserve">. If requested by the Representatives, the opinion and negative assurance letter of Skadden, Arps, Slate, Meagher &amp; Flom LLP, counsel for the Company, in form and substance reasonably satisfactory to counsel for the Underwriters, dated such Date of Delivery, relating to the Option Notes to be purchased on such Date of Delivery and otherwise to the same effect as the opinion required by Section 5(b) hereof.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Opinion of Intellectual Property Counsel for Company</w:t>
      </w:r>
      <w:r>
        <w:rPr>
          <w:rFonts w:ascii="Times New Roman" w:hAnsi="Times New Roman"/>
          <w:i/>
          <w:sz w:val="20"/>
        </w:rPr>
        <w:t>.</w:t>
      </w:r>
      <w:r>
        <w:rPr>
          <w:rFonts w:ascii="Times New Roman" w:hAnsi="Times New Roman"/>
          <w:sz w:val="20"/>
        </w:rPr>
        <w:t xml:space="preserve"> If requested by the Representatives, the opinion of Polsinelli PC, counsel for the Company with respect to intellectual property matters, in form and substance reasonably satisfactory to counsel for the Underwriters, dated such Date of Delivery, relating to the Option Notes to be purchased on such Date of Delivery and otherwise to the same effect as the opinion required by Section 5(c) hereof.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Opinion of Counsel for Underwriters</w:t>
      </w:r>
      <w:r>
        <w:rPr>
          <w:rFonts w:ascii="Times New Roman" w:hAnsi="Times New Roman"/>
          <w:sz w:val="20"/>
        </w:rPr>
        <w:t xml:space="preserve">. If requested by the Representatives, the opinion and negative assurance letter of Latham &amp; Watkins LLP, counsel for the Underwriters, dated such Date of Delivery, relating to the Option Notes to be purchased on such Date of Delivery and otherwise to the same effect as the opinion required by Section 5(d)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Bring-down Comfort Letter</w:t>
      </w:r>
      <w:r>
        <w:rPr>
          <w:rFonts w:ascii="Times New Roman" w:hAnsi="Times New Roman"/>
          <w:sz w:val="20"/>
        </w:rPr>
        <w:t xml:space="preserve">. If requested by the Representatives, a letter from Deloitte &amp; Touche LLP, in form and substance reasonably satisfactory to the Representatives and dated such Date of Delivery, substantially in the same form and substance as the letter furnished to the Representatives pursuant to Section 5(g) hereof, except that the “specified date” in the letter furnished pursuant to this paragraph shall be a date not more than three business days prior to such Date of Delivery.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Chief Financial Officer’s Certificate</w:t>
      </w:r>
      <w:r>
        <w:rPr>
          <w:rFonts w:ascii="Times New Roman" w:hAnsi="Times New Roman"/>
          <w:sz w:val="20"/>
        </w:rPr>
        <w:t xml:space="preserve">. If requested by the Representatives, a letter from the Chief Financial Officer of the Company, in form and substance reasonably satisfactory to the Representatives and dated such Date of Delivery, substantially in the same form and substance as the letter furnished to the Representatives pursuant to Section 5(k) hereof.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Additional Documents</w:t>
      </w:r>
      <w:r>
        <w:rPr>
          <w:rFonts w:ascii="Times New Roman" w:hAnsi="Times New Roman"/>
          <w:sz w:val="20"/>
        </w:rPr>
        <w:t xml:space="preserve">. At the Closing Time and at each Date of Delivery (if any) counsel for the Underwriters shall have been furnished with such customary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the Representatives and counsel for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Termination of Agreement</w:t>
      </w:r>
      <w:r>
        <w:rPr>
          <w:rFonts w:ascii="Times New Roman" w:hAnsi="Times New Roman"/>
          <w:sz w:val="20"/>
        </w:rPr>
        <w:t xml:space="preserve">. If any condition specified in this Section shall not have been fulfilled when and as required to be fulfilled, this Agreement, or, in the case of any condition to the purchase of Option Notes on a Date of Delivery which is after the Closing Time, the obligations of the several Underwriters to purchase the relevant Option Notes,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6, 7, 8, 14, 15, 16 and 17 shall survive any such termination and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Underwriters</w:t>
      </w:r>
      <w:r>
        <w:rPr>
          <w:rFonts w:ascii="Times New Roman" w:hAnsi="Times New Roman"/>
          <w:sz w:val="20"/>
        </w:rPr>
        <w:t xml:space="preserve">. The Company agrees to indemnify and hold harmless each Underwriter, its affiliates (as such term is defined in Rule 501(b) under the 1933 Act (each, an “Affiliate”)), its selling agents and each person, if any, who controls any Underwriter within the meaning of Section 15 of the 1933 Act or Section 20 of the 1934 Act as follows: </w:t>
      </w:r>
    </w:p>
    <w:p>
      <w:pPr>
        <w:pStyle w:val="TextBody"/>
        <w:bidi w:val="0"/>
        <w:spacing w:before="120" w:after="0"/>
        <w:jc w:val="left"/>
        <w:rPr>
          <w:rFonts w:ascii="Times New Roman" w:hAnsi="Times New Roman"/>
          <w:sz w:val="20"/>
        </w:rPr>
      </w:pPr>
      <w:r>
        <w:rPr>
          <w:rFonts w:ascii="Times New Roman" w:hAnsi="Times New Roman"/>
          <w:sz w:val="20"/>
        </w:rPr>
        <w:t xml:space="preserve">(i) 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prepared or authorized by the Company, any Written Testing-the-Waters Communication prepared or authorized by the Company, the General Disclosure Package or the Prospectus (or any amendment or supplement thereto), or (B) in any materials or information provided to investors by, or with the approval of, the Company in connection with the marketing of the offering of the Securities (“Marketing Materials”), including any roadshow (as defined in Rule 433(h) under the 1933 Act) or investor presentations made to investors by the Company (whether in person or electronically), or the omission or alleged omission in any preliminary prospectus, Issuer Free Writing Prospectus prepared or authorized by the Company, any Written Testing-the-Waters Communication prepared or authorized by the Company, Prospectus or in any Marketing Materials of a material fact necessary in order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against any and all loss, liability, claim, damage and expense whatsoever, as incurred, to the extent of the aggregate amount paid in settlement of any litigation, or any investigation or proceeding by any Governmental Entity, commenced or threatened, or of any claim whatsoever based upon any such untrue statement or omission, or any such alleged untrue statement or omission; provided that (subject to Section 6(d) below) any such settlement is effected with the written consent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against any and all expense whatsoever, as incurred (including the fees and disbursements of counsel chosen by the Representatives), reasonably incurred in investigating, preparing or defending against any litigation, or any investigation or proceeding by any Governmental Entity, commenced or threatened, or any claim whatsoever based upon any such untrue statement or omission, or any such alleged untrue statement or omission, to the extent that any such expense is not paid under (i) or (ii) above;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any preliminary prospectus, any Issuer Free Writing Prospectus, any Written Testing-the-Waters Communication, any Marketing Materials or the Prospectus (or any amendment or supplement thereto) in reliance upon and in conformity with the Underwriter Information.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Company, Directors and Officers</w:t>
      </w:r>
      <w:r>
        <w:rPr>
          <w:rFonts w:ascii="Times New Roman" w:hAnsi="Times New Roman"/>
          <w:sz w:val="20"/>
        </w:rPr>
        <w:t xml:space="preserve">. Each Underwriter severally agrees to indemnify and hold harmless the 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any preliminary prospectus, any Issuer Free Writing Prospectus, any Written Testing-the-Waters Communication, any Marketing Materials or the Prospectus (or any amendment or supplement thereto) in reliance upon and in conformity with the Underwriter Information.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Actions against Parties; Notification</w:t>
      </w:r>
      <w:r>
        <w:rPr>
          <w:rFonts w:ascii="Times New Roman" w:hAnsi="Times New Roman"/>
          <w:sz w:val="20"/>
        </w:rPr>
        <w:t xml:space="preserve">.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without the prior written consent of the indemnified parties, settle or compromise or consent to the entry of any judgment with respect to any litigation, or any investigation or proceeding by any Governmental Entity,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Settlement without Consent if Failure to Reimburse</w:t>
      </w:r>
      <w:r>
        <w:rPr>
          <w:rFonts w:ascii="Times New Roman" w:hAnsi="Times New Roman"/>
          <w:sz w:val="20"/>
        </w:rPr>
        <w:t xml:space="preserve">. If at any time an indemnified party shall have requested an indemnifying party to reimburse the indemnified party for fees and expenses of counsel as contemplated by this Section 6, such indemnifying party agrees that it shall be liable for any settlement of the nature contemplated by Section 6(a)(ii) effected without its written consent if (i) such settlement is entered into more than 60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Contribution</w:t>
      </w:r>
      <w:r>
        <w:rPr>
          <w:rFonts w:ascii="Times New Roman" w:hAnsi="Times New Roman"/>
          <w:sz w:val="20"/>
        </w:rPr>
        <w:t xml:space="preserve">.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reasonably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(after deducting underwriting discounts and commissions but before deducting expenses) received by the Company, on the one hand, and the total underwriting discount received by the Underwriters, on the other hand, in each case as set forth on the cover of the Prospectus, bear to the aggregate initial public offering price of the Securities as set forth on the cover of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documented legal or other expenses reasonably incurred by such indemnified party in investigating, preparing or defending against any litigation, or any investigation or proceeding by any Governmental Entity, commenced or threatened, or any claim whatsoever based upon any such untrue or alleged untrue statement or omission or alleged omission.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provisions of this Section 7, no Underwriter shall be required to contribute any amount in excess of the underwriting commissions received by such Underwriter in connection with the Securities underwritten by it and distributed to the public. </w:t>
      </w:r>
    </w:p>
    <w:p>
      <w:pPr>
        <w:pStyle w:val="TextBody"/>
        <w:bidi w:val="0"/>
        <w:spacing w:before="240" w:after="0"/>
        <w:jc w:val="left"/>
        <w:rPr>
          <w:rFonts w:ascii="Times New Roman" w:hAnsi="Times New Roman"/>
          <w:sz w:val="20"/>
        </w:rPr>
      </w:pPr>
      <w:r>
        <w:rPr>
          <w:rFonts w:ascii="Times New Roman" w:hAnsi="Times New Roman"/>
          <w:sz w:val="20"/>
        </w:rPr>
        <w:t xml:space="preserve">No person guilty of fraudulent misrepresentation (within the meaning of Section 11(f) of the 1933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principal amount of Initial Notes set forth opposite their respective names in Schedule A hereto and not joint.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Representations, Warranties and Agreements to Survive</w:t>
      </w:r>
      <w:r>
        <w:rPr>
          <w:rFonts w:ascii="Times New Roman" w:hAnsi="Times New Roman"/>
          <w:sz w:val="20"/>
        </w:rPr>
        <w:t xml:space="preserve">.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Termination of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Termination</w:t>
      </w:r>
      <w:r>
        <w:rPr>
          <w:rFonts w:ascii="Times New Roman" w:hAnsi="Times New Roman"/>
          <w:sz w:val="20"/>
        </w:rPr>
        <w:t xml:space="preserve">. The Representatives may terminate this Agreement, by notice to the Company, at any time at or prior to the Closing Time (i) if 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such as to make it, in the judgment of the Representatives, impractical or inadvisable to proceed with the completion of the offering contemplated hereby or to enforce contracts for sales of the Securities,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Global Select Market, or (iv) if trading generally on the NYSE American or the New York Stock Exchange or in the Nasdaq Global Select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(vi) if a banking moratorium has been declared by either Federal or New York authorities.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Liabilities</w:t>
      </w:r>
      <w:r>
        <w:rPr>
          <w:rFonts w:ascii="Times New Roman" w:hAnsi="Times New Roman"/>
          <w:sz w:val="20"/>
        </w:rPr>
        <w:t xml:space="preserve">. If this Agreement is terminated pursuant to this Section, such termination shall be without liability of any party to any other party except as provided in Section 4 hereof, and provided further that Sections 1, 6, 7, 8, 14, 15, 16 and 17 shall survive such termination and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Default by One or More of the Underwriters</w:t>
      </w:r>
      <w:r>
        <w:rPr>
          <w:rFonts w:ascii="Times New Roman" w:hAnsi="Times New Roman"/>
          <w:sz w:val="20"/>
        </w:rPr>
        <w:t xml:space="preserve">. If one or more of the Underwriters shall fail at the Closing Time or a Date of Delivery to purchase the Securities which it or they are obligated to purchase under this Agreement (the “Defaulted Securities”),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 </w:t>
      </w:r>
    </w:p>
    <w:p>
      <w:pPr>
        <w:pStyle w:val="TextBody"/>
        <w:bidi w:val="0"/>
        <w:spacing w:before="120" w:after="0"/>
        <w:jc w:val="left"/>
        <w:rPr>
          <w:rFonts w:ascii="Times New Roman" w:hAnsi="Times New Roman"/>
          <w:sz w:val="20"/>
        </w:rPr>
      </w:pPr>
      <w:r>
        <w:rPr>
          <w:rFonts w:ascii="Times New Roman" w:hAnsi="Times New Roman"/>
          <w:sz w:val="20"/>
        </w:rPr>
        <w:t xml:space="preserve">(i) if the aggregate principal amount of Defaulted Securities does not exceed 10% of the aggregate principal amount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 </w:t>
      </w:r>
    </w:p>
    <w:p>
      <w:pPr>
        <w:pStyle w:val="TextBody"/>
        <w:bidi w:val="0"/>
        <w:spacing w:before="120" w:after="0"/>
        <w:jc w:val="left"/>
        <w:rPr>
          <w:rFonts w:ascii="Times New Roman" w:hAnsi="Times New Roman"/>
          <w:sz w:val="20"/>
        </w:rPr>
      </w:pPr>
      <w:r>
        <w:rPr>
          <w:rFonts w:ascii="Times New Roman" w:hAnsi="Times New Roman"/>
          <w:sz w:val="20"/>
        </w:rPr>
        <w:t xml:space="preserve">(ii) if the aggregate principal amount of Defaulted Securities exceeds 10% of the aggregate principal amount of Securities to be purchased on such date, this Agreement or, with respect to any Date of Delivery which occurs after the Closing Time, the obligation of the Underwriters to purchase, and the Company to sell, the Option Notes to be purchased and sold on such Date of Delivery shall terminate without liability on the part of any non-defaulting Underwriter. </w:t>
      </w:r>
    </w:p>
    <w:p>
      <w:pPr>
        <w:pStyle w:val="TextBody"/>
        <w:bidi w:val="0"/>
        <w:spacing w:before="240" w:after="0"/>
        <w:jc w:val="left"/>
        <w:rPr>
          <w:rFonts w:ascii="Times New Roman" w:hAnsi="Times New Roman"/>
          <w:sz w:val="20"/>
        </w:rPr>
      </w:pPr>
      <w:r>
        <w:rPr>
          <w:rFonts w:ascii="Times New Roman" w:hAnsi="Times New Roman"/>
          <w:sz w:val="20"/>
        </w:rPr>
        <w:t xml:space="preserve">No action taken pursuant to this Section shall relieve any defaulting Underwriter from liability in respect of its default.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Notes, as the case may be, either the (i) Representatives or (ii) the Company shall have the right to postpone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given if mailed or transmitted by any standard form of telecommunication. Notices to the Underwriters shall be directed to (i) Jefferies at 520 Madison Avenue, New York, New York 10022, attention: Equity Syndicate Department (email: Prospectus_Department@Jefferies.com); and (ii) Leerink Partners at 1301 Avenue of the Americas, 5th Floor, New York, New York 10019, attention of Stuart Nayman (facsimile: (646) 499-7051); and notices to the Company shall be directed to it at 825 Industrial Road, Suite 300, San Carlos, California 94070, attention of Andrew Guggenhime.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No Advisory or Fiduciary Relationship</w:t>
      </w:r>
      <w:r>
        <w:rPr>
          <w:rFonts w:ascii="Times New Roman" w:hAnsi="Times New Roman"/>
          <w:sz w:val="20"/>
        </w:rPr>
        <w:t xml:space="preserve">. The Company acknowledges and agrees that (a) the purchase and sale of the Securities pursuant to this Agreement, including the determination of the initial public offering price of the Securities and any related discounts and commissions, is an arm’s-length commercial transaction between the Company, on the one hand, and the several Underwriters, on the other hand, and does not constitute a recommendation, investment advice, or solicitation of any action by the Underwriters, (b) in connection with the offering of the Securities and the process leading thereto, each Underwriter is and has been acting solely as a principal and is not the agent or fiduciary of the Company, any of its subsidiaries or its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(e) the Underwriters have not provided any legal, accounting, financial, regulatory, investment or tax advice with respect to the offering of the Securities and the Company has consulted its own respective legal, accounting, financial, regulatory and tax advisors to the extent it deemed appropriate, and (f) none of the activities of the Underwriters in connection with the transactions contemplated herein constitutes a recommendation, investment advice or solicitation of any action by the Underwriters with respect to any entity or natural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13,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Parties</w:t>
      </w:r>
      <w:r>
        <w:rPr>
          <w:rFonts w:ascii="Times New Roman" w:hAnsi="Times New Roman"/>
          <w:sz w:val="20"/>
        </w:rPr>
        <w:t xml:space="preserve">. This Agreement shall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Trial by Jury</w:t>
      </w:r>
      <w:r>
        <w:rPr>
          <w:rFonts w:ascii="Times New Roman" w:hAnsi="Times New Roman"/>
          <w:sz w:val="20"/>
        </w:rPr>
        <w:t xml:space="preserve">.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WITHOUT REGARD TO ITS CHOICE OF LAW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Consent to Jurisdiction</w:t>
      </w:r>
      <w:r>
        <w:rPr>
          <w:rFonts w:ascii="Times New Roman" w:hAnsi="Times New Roman"/>
          <w:sz w:val="20"/>
        </w:rPr>
        <w:t xml:space="preserve">.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TIME</w:t>
      </w:r>
      <w:r>
        <w:rPr>
          <w:rFonts w:ascii="Times New Roman" w:hAnsi="Times New Roman"/>
          <w:sz w:val="20"/>
        </w:rPr>
        <w:t xml:space="preserve">. TIME SHALL BE OF THE ESSENCE OF THIS AGREEMENT. EXCEPT AS OTHERWISE SET FORTH HEREIN, SPECIFIED TIMES OF DAY REFER TO NEW YORK CITY TIME.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Counterparts and Electronic Signatures</w:t>
      </w:r>
      <w:r>
        <w:rPr>
          <w:rFonts w:ascii="Times New Roman" w:hAnsi="Times New Roman"/>
          <w:sz w:val="20"/>
        </w:rPr>
        <w:t xml:space="preserve">. This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 </w:t>
      </w:r>
    </w:p>
    <w:p>
      <w:pPr>
        <w:pStyle w:val="TextBody"/>
        <w:bidi w:val="0"/>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Effect of Headings</w:t>
      </w:r>
      <w:r>
        <w:rPr>
          <w:rFonts w:ascii="Times New Roman" w:hAnsi="Times New Roman"/>
          <w:sz w:val="20"/>
        </w:rPr>
        <w:t xml:space="preserve">. The Section headings herein are for convenience only and shall not affect the construction hereof.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3"/>
        <w:gridCol w:w="61"/>
        <w:gridCol w:w="3648"/>
      </w:tblGrid>
      <w:tr>
        <w:trPr/>
        <w:tc>
          <w:tcPr>
            <w:tcW w:w="37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VAXCYTE, INC.</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283"/>
              <w:jc w:val="left"/>
              <w:rPr/>
            </w:pPr>
            <w:r>
              <w:rPr/>
              <w:t>/s/ Andrew Guggenhime</w:t>
            </w:r>
          </w:p>
        </w:tc>
      </w:tr>
      <w:tr>
        <w:trPr/>
        <w:tc>
          <w:tcPr>
            <w:tcW w:w="37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 Andrew Guggenhime</w:t>
            </w:r>
          </w:p>
        </w:tc>
      </w:tr>
      <w:tr>
        <w:trPr/>
        <w:tc>
          <w:tcPr>
            <w:tcW w:w="37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 President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CONFIRMED AND ACCEPTED,</w:t>
            </w:r>
          </w:p>
          <w:p>
            <w:pPr>
              <w:pStyle w:val="TableContents"/>
              <w:bidi w:val="0"/>
              <w:spacing w:before="0" w:after="20"/>
              <w:jc w:val="left"/>
              <w:rPr>
                <w:rFonts w:ascii="Times New Roman" w:hAnsi="Times New Roman"/>
                <w:sz w:val="20"/>
              </w:rPr>
            </w:pPr>
            <w:r>
              <w:rPr>
                <w:rFonts w:ascii="Times New Roman" w:hAnsi="Times New Roman"/>
                <w:sz w:val="20"/>
              </w:rPr>
              <w:t>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JEFFERIES LLC</w:t>
            </w:r>
          </w:p>
        </w:tc>
      </w:tr>
      <w:tr>
        <w:trPr/>
        <w:tc>
          <w:tcPr>
            <w:tcW w:w="4082" w:type="dxa"/>
            <w:gridSpan w:val="3"/>
            <w:tcBorders/>
          </w:tcPr>
          <w:p>
            <w:pPr>
              <w:pStyle w:val="TableContents"/>
              <w:bidi w:val="0"/>
              <w:spacing w:before="0" w:after="283"/>
              <w:jc w:val="left"/>
              <w:rPr/>
            </w:pPr>
            <w:r>
              <w:rPr/>
              <w:t>LEERINK PARTNERS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JEFFERIES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Michael Brinkman</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 Michael Brinkman</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LEERINK PARTNERS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Anurag Jindal, M.D.</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 Anurag Jindal, M.D.</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 Senior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For themselves and as Representatives of the other Underwriters named in Schedule A hereto.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71"/>
        <w:gridCol w:w="418"/>
        <w:gridCol w:w="201"/>
        <w:gridCol w:w="1758"/>
        <w:gridCol w:w="60"/>
        <w:gridCol w:w="418"/>
        <w:gridCol w:w="339"/>
        <w:gridCol w:w="2676"/>
        <w:gridCol w:w="64"/>
      </w:tblGrid>
      <w:tr>
        <w:trPr/>
        <w:tc>
          <w:tcPr>
            <w:tcW w:w="4271"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7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Name of Underwriter</w:t>
            </w:r>
          </w:p>
        </w:tc>
        <w:tc>
          <w:tcPr>
            <w:tcW w:w="418" w:type="dxa"/>
            <w:tcBorders/>
            <w:vAlign w:val="bottom"/>
          </w:tcPr>
          <w:p>
            <w:pPr>
              <w:pStyle w:val="TableContents"/>
              <w:bidi w:val="0"/>
              <w:spacing w:before="0" w:after="283"/>
              <w:jc w:val="left"/>
              <w:rPr/>
            </w:pPr>
            <w:r>
              <w:rPr/>
              <w:t>  </w:t>
            </w:r>
          </w:p>
        </w:tc>
        <w:tc>
          <w:tcPr>
            <w:tcW w:w="1959" w:type="dxa"/>
            <w:gridSpan w:val="2"/>
            <w:tcBorders>
              <w:bottom w:val="single" w:sz="8" w:space="0" w:color="000000"/>
            </w:tcBorders>
            <w:tcMar>
              <w:bottom w:w="28" w:type="dxa"/>
            </w:tcMar>
            <w:vAlign w:val="bottom"/>
          </w:tcPr>
          <w:p>
            <w:pPr>
              <w:pStyle w:val="TableContents"/>
              <w:bidi w:val="0"/>
              <w:spacing w:before="0" w:after="283"/>
              <w:jc w:val="center"/>
              <w:rPr/>
            </w:pPr>
            <w:r>
              <w:rPr/>
              <w:t>Principal Amount of</w:t>
              <w:br/>
              <w:t>Initial Notes</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3015" w:type="dxa"/>
            <w:gridSpan w:val="2"/>
            <w:tcBorders>
              <w:bottom w:val="single" w:sz="8" w:space="0" w:color="000000"/>
            </w:tcBorders>
            <w:tcMar>
              <w:bottom w:w="28" w:type="dxa"/>
            </w:tcMar>
            <w:vAlign w:val="bottom"/>
          </w:tcPr>
          <w:p>
            <w:pPr>
              <w:pStyle w:val="TableContents"/>
              <w:bidi w:val="0"/>
              <w:spacing w:before="0" w:after="283"/>
              <w:jc w:val="center"/>
              <w:rPr/>
            </w:pPr>
            <w:r>
              <w:rPr/>
              <w:t>Maximum Principal Amount of</w:t>
              <w:br/>
              <w:t>Option Notes</w:t>
            </w:r>
          </w:p>
        </w:tc>
        <w:tc>
          <w:tcPr>
            <w:tcW w:w="64" w:type="dxa"/>
            <w:tcBorders/>
            <w:vAlign w:val="bottom"/>
          </w:tcPr>
          <w:p>
            <w:pPr>
              <w:pStyle w:val="TableContents"/>
              <w:bidi w:val="0"/>
              <w:spacing w:before="0" w:after="283"/>
              <w:jc w:val="left"/>
              <w:rPr/>
            </w:pPr>
            <w:r>
              <w:rPr/>
              <w:t> </w:t>
            </w:r>
          </w:p>
        </w:tc>
      </w:tr>
      <w:tr>
        <w:trPr/>
        <w:tc>
          <w:tcPr>
            <w:tcW w:w="42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41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758" w:type="dxa"/>
            <w:tcBorders/>
            <w:shd w:fill="CCEEFF" w:val="clear"/>
            <w:vAlign w:val="bottom"/>
          </w:tcPr>
          <w:p>
            <w:pPr>
              <w:pStyle w:val="TableContents"/>
              <w:bidi w:val="0"/>
              <w:spacing w:before="0" w:after="283"/>
              <w:jc w:val="right"/>
              <w:rPr/>
            </w:pPr>
            <w:r>
              <w:rPr/>
              <w:t>150,000,000</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w:t>
            </w:r>
          </w:p>
        </w:tc>
        <w:tc>
          <w:tcPr>
            <w:tcW w:w="2676" w:type="dxa"/>
            <w:tcBorders/>
            <w:shd w:fill="CCEEFF" w:val="clear"/>
            <w:vAlign w:val="bottom"/>
          </w:tcPr>
          <w:p>
            <w:pPr>
              <w:pStyle w:val="TableContents"/>
              <w:bidi w:val="0"/>
              <w:spacing w:before="0" w:after="283"/>
              <w:jc w:val="right"/>
              <w:rPr/>
            </w:pPr>
            <w:r>
              <w:rPr/>
              <w:t>22,500,000</w:t>
            </w:r>
          </w:p>
        </w:tc>
        <w:tc>
          <w:tcPr>
            <w:tcW w:w="64" w:type="dxa"/>
            <w:tcBorders/>
            <w:shd w:fill="CCEEFF" w:val="clear"/>
            <w:vAlign w:val="bottom"/>
          </w:tcPr>
          <w:p>
            <w:pPr>
              <w:pStyle w:val="TableContents"/>
              <w:bidi w:val="0"/>
              <w:spacing w:before="0" w:after="283"/>
              <w:jc w:val="left"/>
              <w:rPr/>
            </w:pPr>
            <w:r>
              <w:rPr/>
              <w:t> </w:t>
            </w:r>
          </w:p>
        </w:tc>
      </w:tr>
      <w:tr>
        <w:trPr/>
        <w:tc>
          <w:tcPr>
            <w:tcW w:w="4271" w:type="dxa"/>
            <w:tcBorders/>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41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758" w:type="dxa"/>
            <w:tcBorders/>
            <w:vAlign w:val="bottom"/>
          </w:tcPr>
          <w:p>
            <w:pPr>
              <w:pStyle w:val="TableContents"/>
              <w:bidi w:val="0"/>
              <w:spacing w:before="0" w:after="283"/>
              <w:jc w:val="right"/>
              <w:rPr/>
            </w:pPr>
            <w:r>
              <w:rPr/>
              <w:t>120,000,000</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w:t>
            </w:r>
          </w:p>
        </w:tc>
        <w:tc>
          <w:tcPr>
            <w:tcW w:w="2676" w:type="dxa"/>
            <w:tcBorders/>
            <w:vAlign w:val="bottom"/>
          </w:tcPr>
          <w:p>
            <w:pPr>
              <w:pStyle w:val="TableContents"/>
              <w:bidi w:val="0"/>
              <w:spacing w:before="0" w:after="283"/>
              <w:jc w:val="right"/>
              <w:rPr/>
            </w:pPr>
            <w:r>
              <w:rPr/>
              <w:t>18,000,000</w:t>
            </w:r>
          </w:p>
        </w:tc>
        <w:tc>
          <w:tcPr>
            <w:tcW w:w="64" w:type="dxa"/>
            <w:tcBorders/>
            <w:vAlign w:val="bottom"/>
          </w:tcPr>
          <w:p>
            <w:pPr>
              <w:pStyle w:val="TableContents"/>
              <w:bidi w:val="0"/>
              <w:spacing w:before="0" w:after="283"/>
              <w:jc w:val="left"/>
              <w:rPr/>
            </w:pPr>
            <w:r>
              <w:rPr/>
              <w:t> </w:t>
            </w:r>
          </w:p>
        </w:tc>
      </w:tr>
      <w:tr>
        <w:trPr/>
        <w:tc>
          <w:tcPr>
            <w:tcW w:w="42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41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758" w:type="dxa"/>
            <w:tcBorders/>
            <w:shd w:fill="CCEEFF" w:val="clear"/>
            <w:vAlign w:val="bottom"/>
          </w:tcPr>
          <w:p>
            <w:pPr>
              <w:pStyle w:val="TableContents"/>
              <w:bidi w:val="0"/>
              <w:spacing w:before="0" w:after="283"/>
              <w:jc w:val="right"/>
              <w:rPr/>
            </w:pPr>
            <w:r>
              <w:rPr/>
              <w:t>65,000,000</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w:t>
            </w:r>
          </w:p>
        </w:tc>
        <w:tc>
          <w:tcPr>
            <w:tcW w:w="2676" w:type="dxa"/>
            <w:tcBorders/>
            <w:shd w:fill="CCEEFF" w:val="clear"/>
            <w:vAlign w:val="bottom"/>
          </w:tcPr>
          <w:p>
            <w:pPr>
              <w:pStyle w:val="TableContents"/>
              <w:bidi w:val="0"/>
              <w:spacing w:before="0" w:after="283"/>
              <w:jc w:val="right"/>
              <w:rPr/>
            </w:pPr>
            <w:r>
              <w:rPr/>
              <w:t>9,750,000</w:t>
            </w:r>
          </w:p>
        </w:tc>
        <w:tc>
          <w:tcPr>
            <w:tcW w:w="64" w:type="dxa"/>
            <w:tcBorders/>
            <w:shd w:fill="CCEEFF" w:val="clear"/>
            <w:vAlign w:val="bottom"/>
          </w:tcPr>
          <w:p>
            <w:pPr>
              <w:pStyle w:val="TableContents"/>
              <w:bidi w:val="0"/>
              <w:spacing w:before="0" w:after="283"/>
              <w:jc w:val="left"/>
              <w:rPr/>
            </w:pPr>
            <w:r>
              <w:rPr/>
              <w:t> </w:t>
            </w:r>
          </w:p>
        </w:tc>
      </w:tr>
      <w:tr>
        <w:trPr/>
        <w:tc>
          <w:tcPr>
            <w:tcW w:w="4271"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41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758" w:type="dxa"/>
            <w:tcBorders/>
            <w:vAlign w:val="bottom"/>
          </w:tcPr>
          <w:p>
            <w:pPr>
              <w:pStyle w:val="TableContents"/>
              <w:bidi w:val="0"/>
              <w:spacing w:before="0" w:after="283"/>
              <w:jc w:val="right"/>
              <w:rPr/>
            </w:pPr>
            <w:r>
              <w:rPr/>
              <w:t>65,000,000</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w:t>
            </w:r>
          </w:p>
        </w:tc>
        <w:tc>
          <w:tcPr>
            <w:tcW w:w="2676" w:type="dxa"/>
            <w:tcBorders/>
            <w:vAlign w:val="bottom"/>
          </w:tcPr>
          <w:p>
            <w:pPr>
              <w:pStyle w:val="TableContents"/>
              <w:bidi w:val="0"/>
              <w:spacing w:before="0" w:after="283"/>
              <w:jc w:val="right"/>
              <w:rPr/>
            </w:pPr>
            <w:r>
              <w:rPr/>
              <w:t>9,750,000</w:t>
            </w:r>
          </w:p>
        </w:tc>
        <w:tc>
          <w:tcPr>
            <w:tcW w:w="64" w:type="dxa"/>
            <w:tcBorders/>
            <w:vAlign w:val="bottom"/>
          </w:tcPr>
          <w:p>
            <w:pPr>
              <w:pStyle w:val="TableContents"/>
              <w:bidi w:val="0"/>
              <w:spacing w:before="0" w:after="283"/>
              <w:jc w:val="left"/>
              <w:rPr/>
            </w:pPr>
            <w:r>
              <w:rPr/>
              <w:t> </w:t>
            </w:r>
          </w:p>
        </w:tc>
      </w:tr>
      <w:tr>
        <w:trPr/>
        <w:tc>
          <w:tcPr>
            <w:tcW w:w="42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Evercore Group L.L.C.</w:t>
            </w:r>
          </w:p>
        </w:tc>
        <w:tc>
          <w:tcPr>
            <w:tcW w:w="41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758" w:type="dxa"/>
            <w:tcBorders/>
            <w:shd w:fill="CCEEFF" w:val="clear"/>
            <w:vAlign w:val="bottom"/>
          </w:tcPr>
          <w:p>
            <w:pPr>
              <w:pStyle w:val="TableContents"/>
              <w:bidi w:val="0"/>
              <w:spacing w:before="0" w:after="283"/>
              <w:jc w:val="right"/>
              <w:rPr/>
            </w:pPr>
            <w:r>
              <w:rPr/>
              <w:t>52,500,000</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w:t>
            </w:r>
          </w:p>
        </w:tc>
        <w:tc>
          <w:tcPr>
            <w:tcW w:w="2676" w:type="dxa"/>
            <w:tcBorders/>
            <w:shd w:fill="CCEEFF" w:val="clear"/>
            <w:vAlign w:val="bottom"/>
          </w:tcPr>
          <w:p>
            <w:pPr>
              <w:pStyle w:val="TableContents"/>
              <w:bidi w:val="0"/>
              <w:spacing w:before="0" w:after="283"/>
              <w:jc w:val="right"/>
              <w:rPr/>
            </w:pPr>
            <w:r>
              <w:rPr/>
              <w:t>7,875,000</w:t>
            </w:r>
          </w:p>
        </w:tc>
        <w:tc>
          <w:tcPr>
            <w:tcW w:w="64" w:type="dxa"/>
            <w:tcBorders/>
            <w:shd w:fill="CCEEFF" w:val="clear"/>
            <w:vAlign w:val="bottom"/>
          </w:tcPr>
          <w:p>
            <w:pPr>
              <w:pStyle w:val="TableContents"/>
              <w:bidi w:val="0"/>
              <w:spacing w:before="0" w:after="283"/>
              <w:jc w:val="left"/>
              <w:rPr/>
            </w:pPr>
            <w:r>
              <w:rPr/>
              <w:t> </w:t>
            </w:r>
          </w:p>
        </w:tc>
      </w:tr>
      <w:tr>
        <w:trPr/>
        <w:tc>
          <w:tcPr>
            <w:tcW w:w="4271"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41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758" w:type="dxa"/>
            <w:tcBorders/>
            <w:vAlign w:val="bottom"/>
          </w:tcPr>
          <w:p>
            <w:pPr>
              <w:pStyle w:val="TableContents"/>
              <w:bidi w:val="0"/>
              <w:spacing w:before="0" w:after="283"/>
              <w:jc w:val="right"/>
              <w:rPr/>
            </w:pPr>
            <w:r>
              <w:rPr/>
              <w:t>20,000,000</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w:t>
            </w:r>
          </w:p>
        </w:tc>
        <w:tc>
          <w:tcPr>
            <w:tcW w:w="2676" w:type="dxa"/>
            <w:tcBorders/>
            <w:vAlign w:val="bottom"/>
          </w:tcPr>
          <w:p>
            <w:pPr>
              <w:pStyle w:val="TableContents"/>
              <w:bidi w:val="0"/>
              <w:spacing w:before="0" w:after="283"/>
              <w:jc w:val="right"/>
              <w:rPr/>
            </w:pPr>
            <w:r>
              <w:rPr/>
              <w:t>3,000,000</w:t>
            </w:r>
          </w:p>
        </w:tc>
        <w:tc>
          <w:tcPr>
            <w:tcW w:w="64" w:type="dxa"/>
            <w:tcBorders/>
            <w:vAlign w:val="bottom"/>
          </w:tcPr>
          <w:p>
            <w:pPr>
              <w:pStyle w:val="TableContents"/>
              <w:bidi w:val="0"/>
              <w:spacing w:before="0" w:after="283"/>
              <w:jc w:val="left"/>
              <w:rPr/>
            </w:pPr>
            <w:r>
              <w:rPr/>
              <w:t> </w:t>
            </w:r>
          </w:p>
        </w:tc>
      </w:tr>
      <w:tr>
        <w:trPr/>
        <w:tc>
          <w:tcPr>
            <w:tcW w:w="42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41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758" w:type="dxa"/>
            <w:tcBorders/>
            <w:shd w:fill="CCEEFF" w:val="clear"/>
            <w:vAlign w:val="bottom"/>
          </w:tcPr>
          <w:p>
            <w:pPr>
              <w:pStyle w:val="TableContents"/>
              <w:bidi w:val="0"/>
              <w:spacing w:before="0" w:after="283"/>
              <w:jc w:val="right"/>
              <w:rPr/>
            </w:pPr>
            <w:r>
              <w:rPr/>
              <w:t>20,000,000</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w:t>
            </w:r>
          </w:p>
        </w:tc>
        <w:tc>
          <w:tcPr>
            <w:tcW w:w="2676" w:type="dxa"/>
            <w:tcBorders/>
            <w:shd w:fill="CCEEFF" w:val="clear"/>
            <w:vAlign w:val="bottom"/>
          </w:tcPr>
          <w:p>
            <w:pPr>
              <w:pStyle w:val="TableContents"/>
              <w:bidi w:val="0"/>
              <w:spacing w:before="0" w:after="283"/>
              <w:jc w:val="right"/>
              <w:rPr/>
            </w:pPr>
            <w:r>
              <w:rPr/>
              <w:t>3,000,000</w:t>
            </w:r>
          </w:p>
        </w:tc>
        <w:tc>
          <w:tcPr>
            <w:tcW w:w="64" w:type="dxa"/>
            <w:tcBorders/>
            <w:shd w:fill="CCEEFF" w:val="clear"/>
            <w:vAlign w:val="bottom"/>
          </w:tcPr>
          <w:p>
            <w:pPr>
              <w:pStyle w:val="TableContents"/>
              <w:bidi w:val="0"/>
              <w:spacing w:before="0" w:after="283"/>
              <w:jc w:val="left"/>
              <w:rPr/>
            </w:pPr>
            <w:r>
              <w:rPr/>
              <w:t> </w:t>
            </w:r>
          </w:p>
        </w:tc>
      </w:tr>
      <w:tr>
        <w:trPr/>
        <w:tc>
          <w:tcPr>
            <w:tcW w:w="4271" w:type="dxa"/>
            <w:tcBorders/>
          </w:tcPr>
          <w:p>
            <w:pPr>
              <w:pStyle w:val="TableContents"/>
              <w:bidi w:val="0"/>
              <w:spacing w:before="0" w:after="0"/>
              <w:jc w:val="left"/>
              <w:rPr>
                <w:rFonts w:ascii="Times New Roman" w:hAnsi="Times New Roman"/>
                <w:sz w:val="20"/>
              </w:rPr>
            </w:pPr>
            <w:r>
              <w:rPr>
                <w:rFonts w:ascii="Times New Roman" w:hAnsi="Times New Roman"/>
                <w:sz w:val="20"/>
              </w:rPr>
              <w:t>Needham &amp; Company, LLC</w:t>
            </w:r>
          </w:p>
        </w:tc>
        <w:tc>
          <w:tcPr>
            <w:tcW w:w="41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758" w:type="dxa"/>
            <w:tcBorders/>
            <w:vAlign w:val="bottom"/>
          </w:tcPr>
          <w:p>
            <w:pPr>
              <w:pStyle w:val="TableContents"/>
              <w:bidi w:val="0"/>
              <w:spacing w:before="0" w:after="283"/>
              <w:jc w:val="right"/>
              <w:rPr/>
            </w:pPr>
            <w:r>
              <w:rPr/>
              <w:t>7,500,000</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w:t>
            </w:r>
          </w:p>
        </w:tc>
        <w:tc>
          <w:tcPr>
            <w:tcW w:w="2676" w:type="dxa"/>
            <w:tcBorders/>
            <w:vAlign w:val="bottom"/>
          </w:tcPr>
          <w:p>
            <w:pPr>
              <w:pStyle w:val="TableContents"/>
              <w:bidi w:val="0"/>
              <w:spacing w:before="0" w:after="283"/>
              <w:jc w:val="right"/>
              <w:rPr/>
            </w:pPr>
            <w:r>
              <w:rPr/>
              <w:t>1,125,000</w:t>
            </w:r>
          </w:p>
        </w:tc>
        <w:tc>
          <w:tcPr>
            <w:tcW w:w="64" w:type="dxa"/>
            <w:tcBorders/>
            <w:vAlign w:val="bottom"/>
          </w:tcPr>
          <w:p>
            <w:pPr>
              <w:pStyle w:val="TableContents"/>
              <w:bidi w:val="0"/>
              <w:spacing w:before="0" w:after="283"/>
              <w:jc w:val="left"/>
              <w:rPr/>
            </w:pPr>
            <w:r>
              <w:rPr/>
              <w:t> </w:t>
            </w:r>
          </w:p>
        </w:tc>
      </w:tr>
      <w:tr>
        <w:trPr/>
        <w:tc>
          <w:tcPr>
            <w:tcW w:w="4271"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7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339" w:type="dxa"/>
            <w:tcBorders/>
            <w:vAlign w:val="bottom"/>
          </w:tcPr>
          <w:p>
            <w:pPr>
              <w:pStyle w:val="TableContents"/>
              <w:pBdr>
                <w:top w:val="single" w:sz="2" w:space="1" w:color="000000"/>
              </w:pBdr>
              <w:bidi w:val="0"/>
              <w:spacing w:before="0" w:after="0"/>
              <w:jc w:val="left"/>
              <w:rPr/>
            </w:pPr>
            <w:r>
              <w:rPr/>
              <w:t> </w:t>
            </w:r>
          </w:p>
        </w:tc>
        <w:tc>
          <w:tcPr>
            <w:tcW w:w="267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1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758" w:type="dxa"/>
            <w:tcBorders/>
            <w:shd w:fill="CCEEFF" w:val="clear"/>
            <w:vAlign w:val="bottom"/>
          </w:tcPr>
          <w:p>
            <w:pPr>
              <w:pStyle w:val="TableContents"/>
              <w:bidi w:val="0"/>
              <w:spacing w:before="0" w:after="283"/>
              <w:jc w:val="right"/>
              <w:rPr/>
            </w:pPr>
            <w:r>
              <w:rPr/>
              <w:t>500,000,000</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w:t>
            </w:r>
          </w:p>
        </w:tc>
        <w:tc>
          <w:tcPr>
            <w:tcW w:w="2676" w:type="dxa"/>
            <w:tcBorders/>
            <w:shd w:fill="CCEEFF" w:val="clear"/>
            <w:vAlign w:val="bottom"/>
          </w:tcPr>
          <w:p>
            <w:pPr>
              <w:pStyle w:val="TableContents"/>
              <w:bidi w:val="0"/>
              <w:spacing w:before="0" w:after="283"/>
              <w:jc w:val="right"/>
              <w:rPr/>
            </w:pPr>
            <w:r>
              <w:rPr/>
              <w:t>75,000,000</w:t>
            </w:r>
          </w:p>
        </w:tc>
        <w:tc>
          <w:tcPr>
            <w:tcW w:w="64" w:type="dxa"/>
            <w:tcBorders/>
            <w:shd w:fill="CCEEFF" w:val="clear"/>
            <w:vAlign w:val="bottom"/>
          </w:tcPr>
          <w:p>
            <w:pPr>
              <w:pStyle w:val="TableContents"/>
              <w:bidi w:val="0"/>
              <w:spacing w:before="0" w:after="283"/>
              <w:jc w:val="left"/>
              <w:rPr/>
            </w:pPr>
            <w:r>
              <w:rPr/>
              <w:t> </w:t>
            </w:r>
          </w:p>
        </w:tc>
      </w:tr>
      <w:tr>
        <w:trPr/>
        <w:tc>
          <w:tcPr>
            <w:tcW w:w="4271"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7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339" w:type="dxa"/>
            <w:tcBorders/>
            <w:vAlign w:val="bottom"/>
          </w:tcPr>
          <w:p>
            <w:pPr>
              <w:pStyle w:val="TableContents"/>
              <w:pBdr>
                <w:top w:val="double" w:sz="6" w:space="1" w:color="000000"/>
              </w:pBdr>
              <w:bidi w:val="0"/>
              <w:spacing w:before="0" w:after="0"/>
              <w:jc w:val="left"/>
              <w:rPr/>
            </w:pPr>
            <w:r>
              <w:rPr/>
              <w:t> </w:t>
            </w:r>
          </w:p>
        </w:tc>
        <w:tc>
          <w:tcPr>
            <w:tcW w:w="267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A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B-1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Pricing Term Sheet </w:t>
      </w:r>
    </w:p>
    <w:p>
      <w:pPr>
        <w:pStyle w:val="TextBody"/>
        <w:bidi w:val="0"/>
        <w:spacing w:before="120" w:after="0"/>
        <w:jc w:val="center"/>
        <w:rPr>
          <w:rFonts w:ascii="Times New Roman" w:hAnsi="Times New Roman"/>
          <w:sz w:val="20"/>
        </w:rPr>
      </w:pPr>
      <w:r>
        <w:rPr>
          <w:rFonts w:ascii="Times New Roman" w:hAnsi="Times New Roman"/>
          <w:sz w:val="20"/>
        </w:rPr>
        <w:t>(</w:t>
      </w:r>
      <w:r>
        <w:rPr>
          <w:rFonts w:ascii="Times New Roman" w:hAnsi="Times New Roman"/>
          <w:i/>
          <w:sz w:val="20"/>
        </w:rPr>
        <w:t>attached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0" w:after="0"/>
        <w:jc w:val="center"/>
        <w:rPr>
          <w:rFonts w:ascii="Times New Roman" w:hAnsi="Times New Roman"/>
          <w:b/>
          <w:sz w:val="20"/>
        </w:rPr>
      </w:pPr>
      <w:r>
        <w:rPr>
          <w:rFonts w:ascii="Times New Roman" w:hAnsi="Times New Roman"/>
          <w:b/>
          <w:sz w:val="20"/>
        </w:rPr>
        <w:t xml:space="preserve">October 6, 2026 </w:t>
      </w:r>
    </w:p>
    <w:p>
      <w:pPr>
        <w:pStyle w:val="TextBody"/>
        <w:bidi w:val="0"/>
        <w:spacing w:before="120" w:after="0"/>
        <w:jc w:val="center"/>
        <w:rPr>
          <w:rFonts w:ascii="Times New Roman" w:hAnsi="Times New Roman"/>
          <w:b/>
          <w:sz w:val="20"/>
        </w:rPr>
      </w:pPr>
      <w:r>
        <w:rPr>
          <w:rFonts w:ascii="Times New Roman" w:hAnsi="Times New Roman"/>
          <w:b/>
          <w:sz w:val="20"/>
        </w:rPr>
        <w:t xml:space="preserve">Vaxcyte, Inc. </w:t>
      </w:r>
    </w:p>
    <w:p>
      <w:pPr>
        <w:pStyle w:val="TextBody"/>
        <w:bidi w:val="0"/>
        <w:spacing w:before="0" w:after="0"/>
        <w:jc w:val="center"/>
        <w:rPr>
          <w:rFonts w:ascii="Times New Roman" w:hAnsi="Times New Roman"/>
          <w:b/>
          <w:sz w:val="20"/>
        </w:rPr>
      </w:pPr>
      <w:r>
        <w:rPr>
          <w:rFonts w:ascii="Times New Roman" w:hAnsi="Times New Roman"/>
          <w:b/>
          <w:sz w:val="20"/>
        </w:rPr>
        <w:t xml:space="preserve">Offerings of </w:t>
      </w:r>
    </w:p>
    <w:p>
      <w:pPr>
        <w:pStyle w:val="TextBody"/>
        <w:bidi w:val="0"/>
        <w:spacing w:before="0" w:after="0"/>
        <w:jc w:val="center"/>
        <w:rPr>
          <w:rFonts w:ascii="Times New Roman" w:hAnsi="Times New Roman"/>
          <w:b/>
          <w:sz w:val="20"/>
        </w:rPr>
      </w:pPr>
      <w:r>
        <w:rPr>
          <w:rFonts w:ascii="Times New Roman" w:hAnsi="Times New Roman"/>
          <w:b/>
          <w:sz w:val="20"/>
        </w:rPr>
        <w:t xml:space="preserve">7,412,500 Shares of Common Stock and Pre-Funded Warrants to Purchase 400,000 Shares of Common Stock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$500,000,000 Aggregate Principal Amount of </w:t>
      </w:r>
    </w:p>
    <w:p>
      <w:pPr>
        <w:pStyle w:val="TextBody"/>
        <w:bidi w:val="0"/>
        <w:spacing w:before="0" w:after="0"/>
        <w:jc w:val="center"/>
        <w:rPr>
          <w:rFonts w:ascii="Times New Roman" w:hAnsi="Times New Roman"/>
          <w:b/>
          <w:sz w:val="20"/>
        </w:rPr>
      </w:pPr>
      <w:r>
        <w:rPr>
          <w:rFonts w:ascii="Times New Roman" w:hAnsi="Times New Roman"/>
          <w:b/>
          <w:sz w:val="20"/>
        </w:rPr>
        <w:t xml:space="preserve">1.50% Convertible Senior Notes due 2032 </w:t>
      </w:r>
    </w:p>
    <w:p>
      <w:pPr>
        <w:pStyle w:val="TextBody"/>
        <w:bidi w:val="0"/>
        <w:spacing w:before="240" w:after="0"/>
        <w:jc w:val="left"/>
        <w:rPr>
          <w:rFonts w:ascii="Times New Roman" w:hAnsi="Times New Roman"/>
          <w:sz w:val="20"/>
        </w:rPr>
      </w:pPr>
      <w:r>
        <w:rPr>
          <w:rFonts w:ascii="Times New Roman" w:hAnsi="Times New Roman"/>
          <w:i/>
          <w:sz w:val="20"/>
        </w:rPr>
        <w:t>The information in this pricing term sheet supplements Vaxcyte, Inc.’s preliminary prospectus supplement, dated October</w:t>
      </w:r>
      <w:r>
        <w:rPr>
          <w:rFonts w:ascii="Times New Roman" w:hAnsi="Times New Roman"/>
          <w:sz w:val="20"/>
        </w:rPr>
        <w:t> </w:t>
      </w:r>
      <w:r>
        <w:rPr>
          <w:rFonts w:ascii="Times New Roman" w:hAnsi="Times New Roman"/>
          <w:i/>
          <w:sz w:val="20"/>
        </w:rPr>
        <w:t>5, 2026</w:t>
      </w:r>
      <w:r>
        <w:rPr>
          <w:rFonts w:ascii="Times New Roman" w:hAnsi="Times New Roman"/>
          <w:sz w:val="20"/>
        </w:rPr>
        <w:t xml:space="preserve"> </w:t>
      </w:r>
      <w:r>
        <w:rPr>
          <w:rFonts w:ascii="Times New Roman" w:hAnsi="Times New Roman"/>
          <w:i/>
          <w:sz w:val="20"/>
        </w:rPr>
        <w:t>(the “Common Stock Preliminary Prospectus Supplement”), relating to an offering of common stock and pre-funded warrants to purchase shares of common stock (the “Common Stock Offering”), and Vaxcyte, Inc.’s preliminary prospectus supplement, dated October</w:t>
      </w:r>
      <w:r>
        <w:rPr>
          <w:rFonts w:ascii="Times New Roman" w:hAnsi="Times New Roman"/>
          <w:sz w:val="20"/>
        </w:rPr>
        <w:t> </w:t>
      </w:r>
      <w:r>
        <w:rPr>
          <w:rFonts w:ascii="Times New Roman" w:hAnsi="Times New Roman"/>
          <w:i/>
          <w:sz w:val="20"/>
        </w:rPr>
        <w:t>5, 2026 (the “Convertible Note Preliminary Prospectus Supplement,” and, together with the Common Stock Preliminary Prospectus Supplement, the “Preliminary Prospectus Supplements”), relating to an offering of convertible senior notes due 2032 (the “Convertible Note Offering”), and supersedes the information in the applicable Preliminary Prospectus Supplement</w:t>
      </w:r>
      <w:r>
        <w:rPr>
          <w:rFonts w:ascii="Times New Roman" w:hAnsi="Times New Roman"/>
          <w:sz w:val="20"/>
        </w:rPr>
        <w:t xml:space="preserve"> </w:t>
      </w:r>
      <w:r>
        <w:rPr>
          <w:rFonts w:ascii="Times New Roman" w:hAnsi="Times New Roman"/>
          <w:i/>
          <w:sz w:val="20"/>
        </w:rPr>
        <w:t>to the extent inconsistent with the information in that Preliminary</w:t>
      </w:r>
      <w:r>
        <w:rPr>
          <w:rFonts w:ascii="Times New Roman" w:hAnsi="Times New Roman"/>
          <w:sz w:val="20"/>
        </w:rPr>
        <w:t xml:space="preserve"> </w:t>
      </w:r>
      <w:r>
        <w:rPr>
          <w:rFonts w:ascii="Times New Roman" w:hAnsi="Times New Roman"/>
          <w:i/>
          <w:sz w:val="20"/>
        </w:rPr>
        <w:t>Prospectus Supplement. Terms used, but not defined, in this pricing term sheet have the respective meanings set forth in the applicable Preliminary Prospectus Supplement. As used in this pricing term sheet, “we,” “our” and “us” refer to Vaxcyte, Inc. and not to its subsidiary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Common Stock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03"/>
        <w:gridCol w:w="120"/>
        <w:gridCol w:w="7182"/>
      </w:tblGrid>
      <w:tr>
        <w:trPr/>
        <w:tc>
          <w:tcPr>
            <w:tcW w:w="29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82" w:type="dxa"/>
            <w:tcBorders/>
            <w:vAlign w:val="center"/>
          </w:tcPr>
          <w:p>
            <w:pPr>
              <w:pStyle w:val="TableContents"/>
              <w:bidi w:val="0"/>
              <w:spacing w:before="0" w:after="283"/>
              <w:jc w:val="left"/>
              <w:rPr>
                <w:sz w:val="4"/>
                <w:szCs w:val="4"/>
              </w:rPr>
            </w:pPr>
            <w:r>
              <w:rPr>
                <w:sz w:val="4"/>
                <w:szCs w:val="4"/>
              </w:rPr>
            </w:r>
          </w:p>
        </w:tc>
      </w:tr>
      <w:tr>
        <w:trPr/>
        <w:tc>
          <w:tcPr>
            <w:tcW w:w="2903" w:type="dxa"/>
            <w:tcBorders/>
          </w:tcPr>
          <w:p>
            <w:pPr>
              <w:pStyle w:val="TableContents"/>
              <w:bidi w:val="0"/>
              <w:spacing w:before="0" w:after="283"/>
              <w:jc w:val="left"/>
              <w:rPr/>
            </w:pPr>
            <w:r>
              <w:rPr/>
              <w:t>Issuer</w:t>
            </w:r>
          </w:p>
        </w:tc>
        <w:tc>
          <w:tcPr>
            <w:tcW w:w="120" w:type="dxa"/>
            <w:tcBorders/>
            <w:vAlign w:val="bottom"/>
          </w:tcPr>
          <w:p>
            <w:pPr>
              <w:pStyle w:val="TableContents"/>
              <w:bidi w:val="0"/>
              <w:spacing w:before="0" w:after="283"/>
              <w:jc w:val="left"/>
              <w:rPr/>
            </w:pPr>
            <w:r>
              <w:rPr/>
              <w:t>  </w:t>
            </w:r>
          </w:p>
        </w:tc>
        <w:tc>
          <w:tcPr>
            <w:tcW w:w="7182" w:type="dxa"/>
            <w:tcBorders/>
            <w:vAlign w:val="bottom"/>
          </w:tcPr>
          <w:p>
            <w:pPr>
              <w:pStyle w:val="TableContents"/>
              <w:bidi w:val="0"/>
              <w:spacing w:before="0" w:after="283"/>
              <w:jc w:val="left"/>
              <w:rPr/>
            </w:pPr>
            <w:r>
              <w:rPr/>
              <w:t>Vaxcyte, Inc.</w:t>
            </w:r>
          </w:p>
        </w:tc>
      </w:tr>
      <w:tr>
        <w:trPr>
          <w:trHeight w:val="120" w:hRule="atLeast"/>
        </w:trPr>
        <w:tc>
          <w:tcPr>
            <w:tcW w:w="2903" w:type="dxa"/>
            <w:tcBorders/>
            <w:vAlign w:val="center"/>
          </w:tcPr>
          <w:p>
            <w:pPr>
              <w:pStyle w:val="TableContents"/>
              <w:bidi w:val="0"/>
              <w:spacing w:before="0" w:after="283"/>
              <w:jc w:val="left"/>
              <w:rPr>
                <w:sz w:val="4"/>
                <w:szCs w:val="4"/>
              </w:rPr>
            </w:pPr>
            <w:r>
              <w:rPr>
                <w:sz w:val="4"/>
                <w:szCs w:val="4"/>
              </w:rPr>
            </w:r>
          </w:p>
        </w:tc>
        <w:tc>
          <w:tcPr>
            <w:tcW w:w="7302" w:type="dxa"/>
            <w:gridSpan w:val="2"/>
            <w:tcBorders/>
            <w:vAlign w:val="center"/>
          </w:tcPr>
          <w:p>
            <w:pPr>
              <w:pStyle w:val="TableContents"/>
              <w:bidi w:val="0"/>
              <w:spacing w:before="0" w:after="283"/>
              <w:jc w:val="left"/>
              <w:rPr>
                <w:sz w:val="4"/>
                <w:szCs w:val="4"/>
              </w:rPr>
            </w:pPr>
            <w:r>
              <w:rPr>
                <w:sz w:val="4"/>
                <w:szCs w:val="4"/>
              </w:rPr>
            </w:r>
          </w:p>
        </w:tc>
      </w:tr>
      <w:tr>
        <w:trPr/>
        <w:tc>
          <w:tcPr>
            <w:tcW w:w="2903" w:type="dxa"/>
            <w:tcBorders/>
          </w:tcPr>
          <w:p>
            <w:pPr>
              <w:pStyle w:val="TableContents"/>
              <w:bidi w:val="0"/>
              <w:spacing w:before="0" w:after="283"/>
              <w:jc w:val="left"/>
              <w:rPr/>
            </w:pPr>
            <w:r>
              <w:rPr/>
              <w:t>Securities Offered</w:t>
            </w:r>
          </w:p>
        </w:tc>
        <w:tc>
          <w:tcPr>
            <w:tcW w:w="120" w:type="dxa"/>
            <w:tcBorders/>
            <w:vAlign w:val="bottom"/>
          </w:tcPr>
          <w:p>
            <w:pPr>
              <w:pStyle w:val="TableContents"/>
              <w:bidi w:val="0"/>
              <w:spacing w:before="0" w:after="283"/>
              <w:jc w:val="left"/>
              <w:rPr/>
            </w:pPr>
            <w:r>
              <w:rPr/>
              <w:t>  </w:t>
            </w:r>
          </w:p>
        </w:tc>
        <w:tc>
          <w:tcPr>
            <w:tcW w:w="7182" w:type="dxa"/>
            <w:tcBorders/>
            <w:vAlign w:val="bottom"/>
          </w:tcPr>
          <w:p>
            <w:pPr>
              <w:pStyle w:val="TableContents"/>
              <w:bidi w:val="0"/>
              <w:spacing w:before="0" w:after="283"/>
              <w:jc w:val="left"/>
              <w:rPr/>
            </w:pPr>
            <w:r>
              <w:rPr/>
              <w:t>7,412,500 (or, if the underwriters of the Common Stock Offering fully exercise their option to purchase additional shares, 8,584,375) shares of common stock, $0.001 par value per share, of Vaxcyte, Inc. (the “Common Stock”) and pre-funded warrants to purchase 400,000 shares of Common Stock (the “Pre-Funded Warrants”).</w:t>
            </w:r>
          </w:p>
        </w:tc>
      </w:tr>
      <w:tr>
        <w:trPr>
          <w:trHeight w:val="120" w:hRule="atLeast"/>
        </w:trPr>
        <w:tc>
          <w:tcPr>
            <w:tcW w:w="2903" w:type="dxa"/>
            <w:tcBorders/>
            <w:vAlign w:val="center"/>
          </w:tcPr>
          <w:p>
            <w:pPr>
              <w:pStyle w:val="TableContents"/>
              <w:bidi w:val="0"/>
              <w:spacing w:before="0" w:after="283"/>
              <w:jc w:val="left"/>
              <w:rPr>
                <w:sz w:val="4"/>
                <w:szCs w:val="4"/>
              </w:rPr>
            </w:pPr>
            <w:r>
              <w:rPr>
                <w:sz w:val="4"/>
                <w:szCs w:val="4"/>
              </w:rPr>
            </w:r>
          </w:p>
        </w:tc>
        <w:tc>
          <w:tcPr>
            <w:tcW w:w="7302" w:type="dxa"/>
            <w:gridSpan w:val="2"/>
            <w:tcBorders/>
            <w:vAlign w:val="center"/>
          </w:tcPr>
          <w:p>
            <w:pPr>
              <w:pStyle w:val="TableContents"/>
              <w:bidi w:val="0"/>
              <w:spacing w:before="0" w:after="283"/>
              <w:jc w:val="left"/>
              <w:rPr>
                <w:sz w:val="4"/>
                <w:szCs w:val="4"/>
              </w:rPr>
            </w:pPr>
            <w:r>
              <w:rPr>
                <w:sz w:val="4"/>
                <w:szCs w:val="4"/>
              </w:rPr>
            </w:r>
          </w:p>
        </w:tc>
      </w:tr>
      <w:tr>
        <w:trPr/>
        <w:tc>
          <w:tcPr>
            <w:tcW w:w="2903" w:type="dxa"/>
            <w:tcBorders/>
          </w:tcPr>
          <w:p>
            <w:pPr>
              <w:pStyle w:val="TableContents"/>
              <w:bidi w:val="0"/>
              <w:spacing w:before="0" w:after="0"/>
              <w:jc w:val="left"/>
              <w:rPr>
                <w:rFonts w:ascii="Times New Roman" w:hAnsi="Times New Roman"/>
                <w:sz w:val="20"/>
              </w:rPr>
            </w:pPr>
            <w:r>
              <w:rPr>
                <w:rFonts w:ascii="Times New Roman" w:hAnsi="Times New Roman"/>
                <w:sz w:val="20"/>
              </w:rPr>
              <w:t>Ticker / Exchange for Common Stock</w:t>
            </w:r>
          </w:p>
        </w:tc>
        <w:tc>
          <w:tcPr>
            <w:tcW w:w="120" w:type="dxa"/>
            <w:tcBorders/>
            <w:vAlign w:val="bottom"/>
          </w:tcPr>
          <w:p>
            <w:pPr>
              <w:pStyle w:val="TableContents"/>
              <w:bidi w:val="0"/>
              <w:spacing w:before="0" w:after="283"/>
              <w:jc w:val="left"/>
              <w:rPr/>
            </w:pPr>
            <w:r>
              <w:rPr/>
              <w:t>  </w:t>
            </w:r>
          </w:p>
        </w:tc>
        <w:tc>
          <w:tcPr>
            <w:tcW w:w="7182" w:type="dxa"/>
            <w:tcBorders/>
            <w:vAlign w:val="bottom"/>
          </w:tcPr>
          <w:p>
            <w:pPr>
              <w:pStyle w:val="TableContents"/>
              <w:bidi w:val="0"/>
              <w:spacing w:before="0" w:after="283"/>
              <w:jc w:val="left"/>
              <w:rPr/>
            </w:pPr>
            <w:r>
              <w:rPr/>
              <w:t>PCVX / Nasdaq Global Select Market (“NASDAQ”).</w:t>
            </w:r>
          </w:p>
        </w:tc>
      </w:tr>
      <w:tr>
        <w:trPr>
          <w:trHeight w:val="120" w:hRule="atLeast"/>
        </w:trPr>
        <w:tc>
          <w:tcPr>
            <w:tcW w:w="2903" w:type="dxa"/>
            <w:tcBorders/>
            <w:vAlign w:val="center"/>
          </w:tcPr>
          <w:p>
            <w:pPr>
              <w:pStyle w:val="TableContents"/>
              <w:bidi w:val="0"/>
              <w:spacing w:before="0" w:after="283"/>
              <w:jc w:val="left"/>
              <w:rPr>
                <w:sz w:val="4"/>
                <w:szCs w:val="4"/>
              </w:rPr>
            </w:pPr>
            <w:r>
              <w:rPr>
                <w:sz w:val="4"/>
                <w:szCs w:val="4"/>
              </w:rPr>
            </w:r>
          </w:p>
        </w:tc>
        <w:tc>
          <w:tcPr>
            <w:tcW w:w="7302" w:type="dxa"/>
            <w:gridSpan w:val="2"/>
            <w:tcBorders/>
            <w:vAlign w:val="center"/>
          </w:tcPr>
          <w:p>
            <w:pPr>
              <w:pStyle w:val="TableContents"/>
              <w:bidi w:val="0"/>
              <w:spacing w:before="0" w:after="283"/>
              <w:jc w:val="left"/>
              <w:rPr>
                <w:sz w:val="4"/>
                <w:szCs w:val="4"/>
              </w:rPr>
            </w:pPr>
            <w:r>
              <w:rPr>
                <w:sz w:val="4"/>
                <w:szCs w:val="4"/>
              </w:rPr>
            </w:r>
          </w:p>
        </w:tc>
      </w:tr>
      <w:tr>
        <w:trPr/>
        <w:tc>
          <w:tcPr>
            <w:tcW w:w="2903" w:type="dxa"/>
            <w:tcBorders/>
          </w:tcPr>
          <w:p>
            <w:pPr>
              <w:pStyle w:val="TableContents"/>
              <w:bidi w:val="0"/>
              <w:spacing w:before="0" w:after="0"/>
              <w:jc w:val="left"/>
              <w:rPr>
                <w:rFonts w:ascii="Times New Roman" w:hAnsi="Times New Roman"/>
                <w:sz w:val="20"/>
              </w:rPr>
            </w:pPr>
            <w:r>
              <w:rPr>
                <w:rFonts w:ascii="Times New Roman" w:hAnsi="Times New Roman"/>
                <w:sz w:val="20"/>
              </w:rPr>
              <w:t>Last Reported Sale Price per Share of Common Stock on NASDAQ on October 6, 2026</w:t>
            </w:r>
          </w:p>
        </w:tc>
        <w:tc>
          <w:tcPr>
            <w:tcW w:w="120" w:type="dxa"/>
            <w:tcBorders/>
            <w:vAlign w:val="bottom"/>
          </w:tcPr>
          <w:p>
            <w:pPr>
              <w:pStyle w:val="TableContents"/>
              <w:bidi w:val="0"/>
              <w:spacing w:before="0" w:after="283"/>
              <w:jc w:val="left"/>
              <w:rPr/>
            </w:pPr>
            <w:r>
              <w:rPr/>
              <w:t>  </w:t>
            </w:r>
          </w:p>
        </w:tc>
        <w:tc>
          <w:tcPr>
            <w:tcW w:w="7182" w:type="dxa"/>
            <w:tcBorders/>
            <w:vAlign w:val="bottom"/>
          </w:tcPr>
          <w:p>
            <w:pPr>
              <w:pStyle w:val="TableContents"/>
              <w:bidi w:val="0"/>
              <w:spacing w:before="0" w:after="283"/>
              <w:jc w:val="left"/>
              <w:rPr/>
            </w:pPr>
            <w:r>
              <w:rPr/>
              <w:t>$66.70.</w:t>
            </w:r>
          </w:p>
        </w:tc>
      </w:tr>
      <w:tr>
        <w:trPr>
          <w:trHeight w:val="120" w:hRule="atLeast"/>
        </w:trPr>
        <w:tc>
          <w:tcPr>
            <w:tcW w:w="2903" w:type="dxa"/>
            <w:tcBorders/>
            <w:vAlign w:val="center"/>
          </w:tcPr>
          <w:p>
            <w:pPr>
              <w:pStyle w:val="TableContents"/>
              <w:bidi w:val="0"/>
              <w:spacing w:before="0" w:after="283"/>
              <w:jc w:val="left"/>
              <w:rPr>
                <w:sz w:val="4"/>
                <w:szCs w:val="4"/>
              </w:rPr>
            </w:pPr>
            <w:r>
              <w:rPr>
                <w:sz w:val="4"/>
                <w:szCs w:val="4"/>
              </w:rPr>
            </w:r>
          </w:p>
        </w:tc>
        <w:tc>
          <w:tcPr>
            <w:tcW w:w="7302" w:type="dxa"/>
            <w:gridSpan w:val="2"/>
            <w:tcBorders/>
            <w:vAlign w:val="center"/>
          </w:tcPr>
          <w:p>
            <w:pPr>
              <w:pStyle w:val="TableContents"/>
              <w:bidi w:val="0"/>
              <w:spacing w:before="0" w:after="283"/>
              <w:jc w:val="left"/>
              <w:rPr>
                <w:sz w:val="4"/>
                <w:szCs w:val="4"/>
              </w:rPr>
            </w:pPr>
            <w:r>
              <w:rPr>
                <w:sz w:val="4"/>
                <w:szCs w:val="4"/>
              </w:rPr>
            </w:r>
          </w:p>
        </w:tc>
      </w:tr>
      <w:tr>
        <w:trPr/>
        <w:tc>
          <w:tcPr>
            <w:tcW w:w="2903" w:type="dxa"/>
            <w:tcBorders/>
          </w:tcPr>
          <w:p>
            <w:pPr>
              <w:pStyle w:val="TableContents"/>
              <w:bidi w:val="0"/>
              <w:spacing w:before="0" w:after="0"/>
              <w:jc w:val="left"/>
              <w:rPr>
                <w:rFonts w:ascii="Times New Roman" w:hAnsi="Times New Roman"/>
                <w:sz w:val="20"/>
              </w:rPr>
            </w:pPr>
            <w:r>
              <w:rPr>
                <w:rFonts w:ascii="Times New Roman" w:hAnsi="Times New Roman"/>
                <w:sz w:val="20"/>
              </w:rPr>
              <w:t>Public Offering Price per Share of Common Stock</w:t>
            </w:r>
          </w:p>
        </w:tc>
        <w:tc>
          <w:tcPr>
            <w:tcW w:w="120" w:type="dxa"/>
            <w:tcBorders/>
            <w:vAlign w:val="bottom"/>
          </w:tcPr>
          <w:p>
            <w:pPr>
              <w:pStyle w:val="TableContents"/>
              <w:bidi w:val="0"/>
              <w:spacing w:before="0" w:after="283"/>
              <w:jc w:val="left"/>
              <w:rPr/>
            </w:pPr>
            <w:r>
              <w:rPr/>
              <w:t>  </w:t>
            </w:r>
          </w:p>
        </w:tc>
        <w:tc>
          <w:tcPr>
            <w:tcW w:w="7182" w:type="dxa"/>
            <w:tcBorders/>
            <w:vAlign w:val="bottom"/>
          </w:tcPr>
          <w:p>
            <w:pPr>
              <w:pStyle w:val="TableContents"/>
              <w:bidi w:val="0"/>
              <w:spacing w:before="0" w:after="283"/>
              <w:jc w:val="left"/>
              <w:rPr/>
            </w:pPr>
            <w:r>
              <w:rPr/>
              <w:t>$64.00 per share of Common Stock.</w:t>
            </w:r>
          </w:p>
        </w:tc>
      </w:tr>
      <w:tr>
        <w:trPr>
          <w:trHeight w:val="120" w:hRule="atLeast"/>
        </w:trPr>
        <w:tc>
          <w:tcPr>
            <w:tcW w:w="2903" w:type="dxa"/>
            <w:tcBorders/>
            <w:vAlign w:val="center"/>
          </w:tcPr>
          <w:p>
            <w:pPr>
              <w:pStyle w:val="TableContents"/>
              <w:bidi w:val="0"/>
              <w:spacing w:before="0" w:after="283"/>
              <w:jc w:val="left"/>
              <w:rPr>
                <w:sz w:val="4"/>
                <w:szCs w:val="4"/>
              </w:rPr>
            </w:pPr>
            <w:r>
              <w:rPr>
                <w:sz w:val="4"/>
                <w:szCs w:val="4"/>
              </w:rPr>
            </w:r>
          </w:p>
        </w:tc>
        <w:tc>
          <w:tcPr>
            <w:tcW w:w="7302" w:type="dxa"/>
            <w:gridSpan w:val="2"/>
            <w:tcBorders/>
            <w:vAlign w:val="center"/>
          </w:tcPr>
          <w:p>
            <w:pPr>
              <w:pStyle w:val="TableContents"/>
              <w:bidi w:val="0"/>
              <w:spacing w:before="0" w:after="283"/>
              <w:jc w:val="left"/>
              <w:rPr>
                <w:sz w:val="4"/>
                <w:szCs w:val="4"/>
              </w:rPr>
            </w:pPr>
            <w:r>
              <w:rPr>
                <w:sz w:val="4"/>
                <w:szCs w:val="4"/>
              </w:rPr>
            </w:r>
          </w:p>
        </w:tc>
      </w:tr>
      <w:tr>
        <w:trPr/>
        <w:tc>
          <w:tcPr>
            <w:tcW w:w="2903" w:type="dxa"/>
            <w:tcBorders/>
          </w:tcPr>
          <w:p>
            <w:pPr>
              <w:pStyle w:val="TableContents"/>
              <w:bidi w:val="0"/>
              <w:spacing w:before="0" w:after="0"/>
              <w:jc w:val="left"/>
              <w:rPr>
                <w:rFonts w:ascii="Times New Roman" w:hAnsi="Times New Roman"/>
                <w:sz w:val="20"/>
              </w:rPr>
            </w:pPr>
            <w:r>
              <w:rPr>
                <w:rFonts w:ascii="Times New Roman" w:hAnsi="Times New Roman"/>
                <w:sz w:val="20"/>
              </w:rPr>
              <w:t>Public Offering Price per Pre-Funded Warrant</w:t>
            </w:r>
          </w:p>
        </w:tc>
        <w:tc>
          <w:tcPr>
            <w:tcW w:w="120" w:type="dxa"/>
            <w:tcBorders/>
            <w:vAlign w:val="bottom"/>
          </w:tcPr>
          <w:p>
            <w:pPr>
              <w:pStyle w:val="TableContents"/>
              <w:bidi w:val="0"/>
              <w:spacing w:before="0" w:after="283"/>
              <w:jc w:val="left"/>
              <w:rPr/>
            </w:pPr>
            <w:r>
              <w:rPr/>
              <w:t>  </w:t>
            </w:r>
          </w:p>
        </w:tc>
        <w:tc>
          <w:tcPr>
            <w:tcW w:w="7182" w:type="dxa"/>
            <w:tcBorders/>
            <w:vAlign w:val="bottom"/>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$63.999 per Pre-Funded Warrant, which equals the public offering price per share of Common Stock less the $0.001 per share exercise price of each Pre-Funded Warrant.</w:t>
            </w:r>
          </w:p>
        </w:tc>
      </w:tr>
      <w:tr>
        <w:trPr>
          <w:trHeight w:val="120" w:hRule="atLeast"/>
        </w:trPr>
        <w:tc>
          <w:tcPr>
            <w:tcW w:w="2903" w:type="dxa"/>
            <w:tcBorders/>
            <w:vAlign w:val="center"/>
          </w:tcPr>
          <w:p>
            <w:pPr>
              <w:pStyle w:val="TableContents"/>
              <w:bidi w:val="0"/>
              <w:spacing w:before="0" w:after="283"/>
              <w:jc w:val="left"/>
              <w:rPr>
                <w:sz w:val="4"/>
                <w:szCs w:val="4"/>
              </w:rPr>
            </w:pPr>
            <w:r>
              <w:rPr>
                <w:sz w:val="4"/>
                <w:szCs w:val="4"/>
              </w:rPr>
            </w:r>
          </w:p>
        </w:tc>
        <w:tc>
          <w:tcPr>
            <w:tcW w:w="7302" w:type="dxa"/>
            <w:gridSpan w:val="2"/>
            <w:tcBorders/>
            <w:vAlign w:val="center"/>
          </w:tcPr>
          <w:p>
            <w:pPr>
              <w:pStyle w:val="TableContents"/>
              <w:bidi w:val="0"/>
              <w:spacing w:before="0" w:after="283"/>
              <w:jc w:val="left"/>
              <w:rPr>
                <w:sz w:val="4"/>
                <w:szCs w:val="4"/>
              </w:rPr>
            </w:pPr>
            <w:r>
              <w:rPr>
                <w:sz w:val="4"/>
                <w:szCs w:val="4"/>
              </w:rPr>
            </w:r>
          </w:p>
        </w:tc>
      </w:tr>
      <w:tr>
        <w:trPr/>
        <w:tc>
          <w:tcPr>
            <w:tcW w:w="2903" w:type="dxa"/>
            <w:tcBorders/>
          </w:tcPr>
          <w:p>
            <w:pPr>
              <w:pStyle w:val="TableContents"/>
              <w:bidi w:val="0"/>
              <w:spacing w:before="0" w:after="0"/>
              <w:jc w:val="left"/>
              <w:rPr>
                <w:rFonts w:ascii="Times New Roman" w:hAnsi="Times New Roman"/>
                <w:sz w:val="20"/>
              </w:rPr>
            </w:pPr>
            <w:r>
              <w:rPr>
                <w:rFonts w:ascii="Times New Roman" w:hAnsi="Times New Roman"/>
                <w:sz w:val="20"/>
              </w:rPr>
              <w:t>Exercise Price per Pre-Funded Warrant</w:t>
            </w:r>
          </w:p>
        </w:tc>
        <w:tc>
          <w:tcPr>
            <w:tcW w:w="120" w:type="dxa"/>
            <w:tcBorders/>
            <w:vAlign w:val="bottom"/>
          </w:tcPr>
          <w:p>
            <w:pPr>
              <w:pStyle w:val="TableContents"/>
              <w:bidi w:val="0"/>
              <w:spacing w:before="0" w:after="283"/>
              <w:jc w:val="left"/>
              <w:rPr/>
            </w:pPr>
            <w:r>
              <w:rPr/>
              <w:t>  </w:t>
            </w:r>
          </w:p>
        </w:tc>
        <w:tc>
          <w:tcPr>
            <w:tcW w:w="7182" w:type="dxa"/>
            <w:tcBorders/>
            <w:vAlign w:val="bottom"/>
          </w:tcPr>
          <w:p>
            <w:pPr>
              <w:pStyle w:val="TableContents"/>
              <w:bidi w:val="0"/>
              <w:spacing w:before="0" w:after="283"/>
              <w:jc w:val="left"/>
              <w:rPr/>
            </w:pPr>
            <w:r>
              <w:rPr/>
              <w:t>$0.001 per share of Common Stock, subject to adjustment as described in the Common Stock Preliminary Prospectus Supplement.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62"/>
        <w:gridCol w:w="122"/>
        <w:gridCol w:w="7121"/>
      </w:tblGrid>
      <w:tr>
        <w:trPr/>
        <w:tc>
          <w:tcPr>
            <w:tcW w:w="29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21" w:type="dxa"/>
            <w:tcBorders/>
            <w:vAlign w:val="center"/>
          </w:tcPr>
          <w:p>
            <w:pPr>
              <w:pStyle w:val="TableContents"/>
              <w:bidi w:val="0"/>
              <w:spacing w:before="0" w:after="283"/>
              <w:jc w:val="left"/>
              <w:rPr>
                <w:sz w:val="4"/>
                <w:szCs w:val="4"/>
              </w:rPr>
            </w:pPr>
            <w:r>
              <w:rPr>
                <w:sz w:val="4"/>
                <w:szCs w:val="4"/>
              </w:rPr>
            </w:r>
          </w:p>
        </w:tc>
      </w:tr>
      <w:tr>
        <w:trPr/>
        <w:tc>
          <w:tcPr>
            <w:tcW w:w="2962" w:type="dxa"/>
            <w:tcBorders/>
          </w:tcPr>
          <w:p>
            <w:pPr>
              <w:pStyle w:val="TableContents"/>
              <w:bidi w:val="0"/>
              <w:spacing w:before="0" w:after="283"/>
              <w:jc w:val="left"/>
              <w:rPr/>
            </w:pPr>
            <w:r>
              <w:rPr/>
              <w:t>Underwriting Discount</w:t>
            </w:r>
          </w:p>
        </w:tc>
        <w:tc>
          <w:tcPr>
            <w:tcW w:w="122" w:type="dxa"/>
            <w:tcBorders/>
            <w:vAlign w:val="bottom"/>
          </w:tcPr>
          <w:p>
            <w:pPr>
              <w:pStyle w:val="TableContents"/>
              <w:bidi w:val="0"/>
              <w:spacing w:before="0" w:after="283"/>
              <w:jc w:val="left"/>
              <w:rPr/>
            </w:pPr>
            <w:r>
              <w:rPr/>
              <w:t>  </w:t>
            </w:r>
          </w:p>
        </w:tc>
        <w:tc>
          <w:tcPr>
            <w:tcW w:w="7121" w:type="dxa"/>
            <w:tcBorders/>
          </w:tcPr>
          <w:p>
            <w:pPr>
              <w:pStyle w:val="TableContents"/>
              <w:bidi w:val="0"/>
              <w:spacing w:before="0" w:after="283"/>
              <w:jc w:val="left"/>
              <w:rPr/>
            </w:pPr>
            <w:r>
              <w:rPr/>
              <w:t>$3.36 per share of Common Stock or per Pre-Funded Warrant, and $26,250,000 in the aggregate (or $30,187,500 in the aggregate, if the underwriters of the Common Stock Offering fully exercise their option to purchase additional shares of Common Stock).</w:t>
            </w:r>
          </w:p>
        </w:tc>
      </w:tr>
      <w:tr>
        <w:trPr>
          <w:trHeight w:val="120" w:hRule="atLeast"/>
        </w:trPr>
        <w:tc>
          <w:tcPr>
            <w:tcW w:w="2962" w:type="dxa"/>
            <w:tcBorders/>
            <w:vAlign w:val="center"/>
          </w:tcPr>
          <w:p>
            <w:pPr>
              <w:pStyle w:val="TableContents"/>
              <w:bidi w:val="0"/>
              <w:spacing w:before="0" w:after="283"/>
              <w:jc w:val="left"/>
              <w:rPr>
                <w:sz w:val="4"/>
                <w:szCs w:val="4"/>
              </w:rPr>
            </w:pPr>
            <w:r>
              <w:rPr>
                <w:sz w:val="4"/>
                <w:szCs w:val="4"/>
              </w:rPr>
            </w:r>
          </w:p>
        </w:tc>
        <w:tc>
          <w:tcPr>
            <w:tcW w:w="7243" w:type="dxa"/>
            <w:gridSpan w:val="2"/>
            <w:tcBorders/>
            <w:vAlign w:val="center"/>
          </w:tcPr>
          <w:p>
            <w:pPr>
              <w:pStyle w:val="TableContents"/>
              <w:bidi w:val="0"/>
              <w:spacing w:before="0" w:after="283"/>
              <w:jc w:val="left"/>
              <w:rPr>
                <w:sz w:val="4"/>
                <w:szCs w:val="4"/>
              </w:rPr>
            </w:pPr>
            <w:r>
              <w:rPr>
                <w:sz w:val="4"/>
                <w:szCs w:val="4"/>
              </w:rPr>
            </w:r>
          </w:p>
        </w:tc>
      </w:tr>
      <w:tr>
        <w:trPr/>
        <w:tc>
          <w:tcPr>
            <w:tcW w:w="2962" w:type="dxa"/>
            <w:tcBorders/>
          </w:tcPr>
          <w:p>
            <w:pPr>
              <w:pStyle w:val="TableContents"/>
              <w:bidi w:val="0"/>
              <w:spacing w:before="0" w:after="283"/>
              <w:jc w:val="left"/>
              <w:rPr/>
            </w:pPr>
            <w:r>
              <w:rPr/>
              <w:t>Trade Date</w:t>
            </w:r>
          </w:p>
        </w:tc>
        <w:tc>
          <w:tcPr>
            <w:tcW w:w="122" w:type="dxa"/>
            <w:tcBorders/>
            <w:vAlign w:val="bottom"/>
          </w:tcPr>
          <w:p>
            <w:pPr>
              <w:pStyle w:val="TableContents"/>
              <w:bidi w:val="0"/>
              <w:spacing w:before="0" w:after="283"/>
              <w:jc w:val="left"/>
              <w:rPr/>
            </w:pPr>
            <w:r>
              <w:rPr/>
              <w:t>  </w:t>
            </w:r>
          </w:p>
        </w:tc>
        <w:tc>
          <w:tcPr>
            <w:tcW w:w="7121" w:type="dxa"/>
            <w:tcBorders/>
          </w:tcPr>
          <w:p>
            <w:pPr>
              <w:pStyle w:val="TableContents"/>
              <w:bidi w:val="0"/>
              <w:spacing w:before="0" w:after="283"/>
              <w:jc w:val="left"/>
              <w:rPr/>
            </w:pPr>
            <w:r>
              <w:rPr/>
              <w:t>October 7, 2026.</w:t>
            </w:r>
          </w:p>
        </w:tc>
      </w:tr>
      <w:tr>
        <w:trPr>
          <w:trHeight w:val="120" w:hRule="atLeast"/>
        </w:trPr>
        <w:tc>
          <w:tcPr>
            <w:tcW w:w="2962" w:type="dxa"/>
            <w:tcBorders/>
            <w:vAlign w:val="center"/>
          </w:tcPr>
          <w:p>
            <w:pPr>
              <w:pStyle w:val="TableContents"/>
              <w:bidi w:val="0"/>
              <w:spacing w:before="0" w:after="283"/>
              <w:jc w:val="left"/>
              <w:rPr>
                <w:sz w:val="4"/>
                <w:szCs w:val="4"/>
              </w:rPr>
            </w:pPr>
            <w:r>
              <w:rPr>
                <w:sz w:val="4"/>
                <w:szCs w:val="4"/>
              </w:rPr>
            </w:r>
          </w:p>
        </w:tc>
        <w:tc>
          <w:tcPr>
            <w:tcW w:w="7243" w:type="dxa"/>
            <w:gridSpan w:val="2"/>
            <w:tcBorders/>
            <w:vAlign w:val="center"/>
          </w:tcPr>
          <w:p>
            <w:pPr>
              <w:pStyle w:val="TableContents"/>
              <w:bidi w:val="0"/>
              <w:spacing w:before="0" w:after="283"/>
              <w:jc w:val="left"/>
              <w:rPr>
                <w:sz w:val="4"/>
                <w:szCs w:val="4"/>
              </w:rPr>
            </w:pPr>
            <w:r>
              <w:rPr>
                <w:sz w:val="4"/>
                <w:szCs w:val="4"/>
              </w:rPr>
            </w:r>
          </w:p>
        </w:tc>
      </w:tr>
      <w:tr>
        <w:trPr/>
        <w:tc>
          <w:tcPr>
            <w:tcW w:w="2962" w:type="dxa"/>
            <w:tcBorders/>
          </w:tcPr>
          <w:p>
            <w:pPr>
              <w:pStyle w:val="TableContents"/>
              <w:bidi w:val="0"/>
              <w:spacing w:before="0" w:after="283"/>
              <w:jc w:val="left"/>
              <w:rPr/>
            </w:pPr>
            <w:r>
              <w:rPr/>
              <w:t>Settlement Date</w:t>
            </w:r>
          </w:p>
        </w:tc>
        <w:tc>
          <w:tcPr>
            <w:tcW w:w="122" w:type="dxa"/>
            <w:tcBorders/>
            <w:vAlign w:val="bottom"/>
          </w:tcPr>
          <w:p>
            <w:pPr>
              <w:pStyle w:val="TableContents"/>
              <w:bidi w:val="0"/>
              <w:spacing w:before="0" w:after="283"/>
              <w:jc w:val="left"/>
              <w:rPr/>
            </w:pPr>
            <w:r>
              <w:rPr/>
              <w:t>  </w:t>
            </w:r>
          </w:p>
        </w:tc>
        <w:tc>
          <w:tcPr>
            <w:tcW w:w="7121" w:type="dxa"/>
            <w:tcBorders/>
          </w:tcPr>
          <w:p>
            <w:pPr>
              <w:pStyle w:val="TableContents"/>
              <w:bidi w:val="0"/>
              <w:spacing w:before="0" w:after="283"/>
              <w:jc w:val="left"/>
              <w:rPr/>
            </w:pPr>
            <w:r>
              <w:rPr/>
              <w:t>October 9, 2026, which is the second business day after the Trade Date (this settlement cycle being referred to as “T+2”). Under Rule 15c6-1 under the Securities Exchange Act of 1934, as amended (the “Exchange Act”), trades in the secondary market generally must settle in one business day, unless the parties to the trade expressly agree otherwise. Accordingly, purchasers who wish to trade the shares of Common Stock before the business day before the Settlement Date must, because the shares of Common Stock initially will settle T+2, specify an alternate settlement cycle at the time of such trade to prevent a failed settlement. Those purchasers should consult their advisors.</w:t>
            </w:r>
          </w:p>
        </w:tc>
      </w:tr>
      <w:tr>
        <w:trPr>
          <w:trHeight w:val="120" w:hRule="atLeast"/>
        </w:trPr>
        <w:tc>
          <w:tcPr>
            <w:tcW w:w="2962" w:type="dxa"/>
            <w:tcBorders/>
            <w:vAlign w:val="center"/>
          </w:tcPr>
          <w:p>
            <w:pPr>
              <w:pStyle w:val="TableContents"/>
              <w:bidi w:val="0"/>
              <w:spacing w:before="0" w:after="283"/>
              <w:jc w:val="left"/>
              <w:rPr>
                <w:sz w:val="4"/>
                <w:szCs w:val="4"/>
              </w:rPr>
            </w:pPr>
            <w:r>
              <w:rPr>
                <w:sz w:val="4"/>
                <w:szCs w:val="4"/>
              </w:rPr>
            </w:r>
          </w:p>
        </w:tc>
        <w:tc>
          <w:tcPr>
            <w:tcW w:w="7243" w:type="dxa"/>
            <w:gridSpan w:val="2"/>
            <w:tcBorders/>
            <w:vAlign w:val="center"/>
          </w:tcPr>
          <w:p>
            <w:pPr>
              <w:pStyle w:val="TableContents"/>
              <w:bidi w:val="0"/>
              <w:spacing w:before="0" w:after="283"/>
              <w:jc w:val="left"/>
              <w:rPr>
                <w:sz w:val="4"/>
                <w:szCs w:val="4"/>
              </w:rPr>
            </w:pPr>
            <w:r>
              <w:rPr>
                <w:sz w:val="4"/>
                <w:szCs w:val="4"/>
              </w:rPr>
            </w:r>
          </w:p>
        </w:tc>
      </w:tr>
      <w:tr>
        <w:trPr/>
        <w:tc>
          <w:tcPr>
            <w:tcW w:w="2962" w:type="dxa"/>
            <w:tcBorders/>
          </w:tcPr>
          <w:p>
            <w:pPr>
              <w:pStyle w:val="TableContents"/>
              <w:bidi w:val="0"/>
              <w:spacing w:before="0" w:after="283"/>
              <w:jc w:val="left"/>
              <w:rPr/>
            </w:pPr>
            <w:r>
              <w:rPr/>
              <w:t>Use of Proceeds</w:t>
            </w:r>
          </w:p>
        </w:tc>
        <w:tc>
          <w:tcPr>
            <w:tcW w:w="122" w:type="dxa"/>
            <w:tcBorders/>
            <w:vAlign w:val="bottom"/>
          </w:tcPr>
          <w:p>
            <w:pPr>
              <w:pStyle w:val="TableContents"/>
              <w:bidi w:val="0"/>
              <w:spacing w:before="0" w:after="283"/>
              <w:jc w:val="left"/>
              <w:rPr/>
            </w:pPr>
            <w:r>
              <w:rPr/>
              <w:t>  </w:t>
            </w:r>
          </w:p>
        </w:tc>
        <w:tc>
          <w:tcPr>
            <w:tcW w:w="7121" w:type="dxa"/>
            <w:tcBorders/>
          </w:tcPr>
          <w:p>
            <w:pPr>
              <w:pStyle w:val="TableContents"/>
              <w:bidi w:val="0"/>
              <w:spacing w:before="0" w:after="283"/>
              <w:jc w:val="left"/>
              <w:rPr/>
            </w:pPr>
            <w:r>
              <w:rPr/>
              <w:t>We estimate that the net proceeds to us from the Common Stock Offering will be approximately $473.3 million (or approximately $544.3 million if the underwriters of the Common Stock Offering fully exercise their option to purchase additional Common Stock), after deducting the underwriting discounts and commissions and our estimated offering expenses. We intend to use the combined net proceeds from the Common Stock Offering and the Convertible Note Offering, together with our existing cash, cash equivalents and investments, to fund (i) clinical development of the VAX-31 adult and pediatric programs, including (a) for the ongoing VAX-31 adult Phase 3 program, the trial evaluating concomitant administration with a seasonal influenza vaccine (OPUS-2, enrolled), the trial in adults who have previously received a pneumococcal vaccine (OPUS-3, enrolled) and the planned manufacturing consistency study, and the anticipated topline safety, tolerability and immunogenicity data announcements from such studies, and (b) for the VAX-31 infant Phase 2 dosefinding study (enrolled), the anticipated topline data announcement(s) from the primary three-dose immunization series and booster dose; (ii) manufacturing scale-up, processes and supply to support our clinical studies and the potential commercial launches of our PCV programs, including (a) to establish additional manufacturing capacity to meet potential incremental supply requirements for the global adult and pediatric populations following the potential initial commercial launch of VAX-31 in adults in the United States and (b) to build inventory levels in advance of such potential commercial launch; (iii) medical affairs, commercial and systems-related investments to prepare for and execute the anticipated U.S. launch of VAX-31 in adults; (iv) ongoing research and development of our other earlystage pipeline vaccine candidates; and (v) general corporate purposes, including working capital, operating expenses and capital expenditures, as well as potential expansion of our research pipeline.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78"/>
        <w:gridCol w:w="122"/>
        <w:gridCol w:w="7105"/>
      </w:tblGrid>
      <w:tr>
        <w:trPr/>
        <w:tc>
          <w:tcPr>
            <w:tcW w:w="297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05" w:type="dxa"/>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Book-Running Managers</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Jefferies LLC</w:t>
            </w:r>
          </w:p>
        </w:tc>
      </w:tr>
      <w:tr>
        <w:trPr/>
        <w:tc>
          <w:tcPr>
            <w:tcW w:w="297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Leerink Partners LLC</w:t>
            </w:r>
          </w:p>
        </w:tc>
      </w:tr>
      <w:tr>
        <w:trPr/>
        <w:tc>
          <w:tcPr>
            <w:tcW w:w="297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BofA Securities, Inc.</w:t>
            </w:r>
          </w:p>
        </w:tc>
      </w:tr>
      <w:tr>
        <w:trPr/>
        <w:tc>
          <w:tcPr>
            <w:tcW w:w="297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Evercore Group L.L.C.</w:t>
            </w:r>
          </w:p>
        </w:tc>
      </w:tr>
      <w:tr>
        <w:trPr/>
        <w:tc>
          <w:tcPr>
            <w:tcW w:w="297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Goldman Sachs &amp; Co. LLC</w:t>
            </w:r>
          </w:p>
        </w:tc>
      </w:tr>
      <w:tr>
        <w:trPr/>
        <w:tc>
          <w:tcPr>
            <w:tcW w:w="297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Guggenheim Securities, LLC</w:t>
            </w:r>
          </w:p>
        </w:tc>
      </w:tr>
      <w:tr>
        <w:trPr>
          <w:trHeight w:val="12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Bookrunner</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Mizuho Securities USA LLC</w:t>
            </w:r>
          </w:p>
        </w:tc>
      </w:tr>
      <w:tr>
        <w:trPr>
          <w:trHeight w:val="12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Lead Manager</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BTIG, LLC</w:t>
            </w:r>
          </w:p>
        </w:tc>
      </w:tr>
      <w:tr>
        <w:trPr>
          <w:trHeight w:val="12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0"/>
              <w:jc w:val="left"/>
              <w:rPr>
                <w:rFonts w:ascii="Times New Roman" w:hAnsi="Times New Roman"/>
                <w:sz w:val="20"/>
              </w:rPr>
            </w:pPr>
            <w:r>
              <w:rPr>
                <w:rFonts w:ascii="Times New Roman" w:hAnsi="Times New Roman"/>
                <w:sz w:val="20"/>
              </w:rPr>
              <w:t>CUSIP / ISIN Numbers for the Common Stock</w:t>
            </w:r>
          </w:p>
        </w:tc>
        <w:tc>
          <w:tcPr>
            <w:tcW w:w="122" w:type="dxa"/>
            <w:tcBorders/>
            <w:vAlign w:val="bottom"/>
          </w:tcPr>
          <w:p>
            <w:pPr>
              <w:pStyle w:val="TableContents"/>
              <w:bidi w:val="0"/>
              <w:spacing w:before="0" w:after="283"/>
              <w:jc w:val="left"/>
              <w:rPr/>
            </w:pPr>
            <w:r>
              <w:rPr/>
              <w:t>  </w:t>
            </w:r>
          </w:p>
        </w:tc>
        <w:tc>
          <w:tcPr>
            <w:tcW w:w="7105" w:type="dxa"/>
            <w:tcBorders/>
            <w:vAlign w:val="bottom"/>
          </w:tcPr>
          <w:p>
            <w:pPr>
              <w:pStyle w:val="TableContents"/>
              <w:bidi w:val="0"/>
              <w:spacing w:before="0" w:after="283"/>
              <w:jc w:val="left"/>
              <w:rPr/>
            </w:pPr>
            <w:r>
              <w:rPr/>
              <w:t>92243G108 / US92243G1085.</w:t>
            </w:r>
          </w:p>
        </w:tc>
      </w:tr>
      <w:tr>
        <w:trPr>
          <w:trHeight w:val="48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Convertible Note Offering</w:t>
            </w:r>
          </w:p>
        </w:tc>
      </w:tr>
      <w:tr>
        <w:trPr>
          <w:trHeight w:val="12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Issuer</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Vaxcyte, Inc.</w:t>
            </w:r>
          </w:p>
        </w:tc>
      </w:tr>
      <w:tr>
        <w:trPr>
          <w:trHeight w:val="12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0"/>
              <w:jc w:val="left"/>
              <w:rPr>
                <w:rFonts w:ascii="Times New Roman" w:hAnsi="Times New Roman"/>
                <w:sz w:val="20"/>
              </w:rPr>
            </w:pPr>
            <w:r>
              <w:rPr>
                <w:rFonts w:ascii="Times New Roman" w:hAnsi="Times New Roman"/>
                <w:sz w:val="20"/>
              </w:rPr>
              <w:t>Ticker / Exchange for Common Stock</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PCVX / NASDAQ.</w:t>
            </w:r>
          </w:p>
        </w:tc>
      </w:tr>
      <w:tr>
        <w:trPr>
          <w:trHeight w:val="12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Trade Date</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October 7, 2026.</w:t>
            </w:r>
          </w:p>
        </w:tc>
      </w:tr>
      <w:tr>
        <w:trPr>
          <w:trHeight w:val="12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Settlement Date</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October 9, 2026, which is the second business day after the Trade Date (this settlement cycle being referred to as “T+2”). Under Rule 15c6-1 under the Exchange Act, trades in the secondary market generally must settle in one business day, unless the parties to the trade expressly agree otherwise. Accordingly, purchasers who wish to trade the Notes before the business day before the Settlement Date must, because the Notes initially will settle T+2, specify an alternate settlement cycle at the time of such trade to prevent a failed settlement. Those purchasers should consult their advisors.</w:t>
            </w:r>
          </w:p>
        </w:tc>
      </w:tr>
      <w:tr>
        <w:trPr>
          <w:trHeight w:val="12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Notes</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1.50% convertible senior notes due 2032 (the “Notes”).</w:t>
            </w:r>
          </w:p>
        </w:tc>
      </w:tr>
      <w:tr>
        <w:trPr>
          <w:trHeight w:val="12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Principal Amount</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$500,000,000 (or, if the underwriters of the Convertible Note Offering fully exercise their over-allotment option to purchase additional Notes, $575,000,000) aggregate principal amount of Notes.</w:t>
            </w:r>
          </w:p>
        </w:tc>
      </w:tr>
      <w:tr>
        <w:trPr>
          <w:trHeight w:val="12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Public Offering Price</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100% of the principal amount of the Notes, plus accrued interest, if any, from the Settlement Date.</w:t>
            </w:r>
          </w:p>
        </w:tc>
      </w:tr>
      <w:tr>
        <w:trPr>
          <w:trHeight w:val="12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Underwriting Discount</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2.75% of the principal amount of the Notes, and $13,750,000 in the aggregate (or $15,812,500 in the aggregate, if the underwriters of the Convertible Note Offering fully exercise their over-allotment option to purchase additional Notes), in each case plus accrued interest, if any, from the Settlement Date.</w:t>
            </w:r>
          </w:p>
        </w:tc>
      </w:tr>
      <w:tr>
        <w:trPr>
          <w:trHeight w:val="12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tcPr>
          <w:p>
            <w:pPr>
              <w:pStyle w:val="TableContents"/>
              <w:bidi w:val="0"/>
              <w:spacing w:before="0" w:after="283"/>
              <w:jc w:val="left"/>
              <w:rPr/>
            </w:pPr>
            <w:r>
              <w:rPr/>
              <w:t>Maturity</w:t>
            </w:r>
          </w:p>
        </w:tc>
        <w:tc>
          <w:tcPr>
            <w:tcW w:w="122"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October 15, 2032, unless earlier repurchased, redeemed or converted.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50"/>
        <w:gridCol w:w="123"/>
        <w:gridCol w:w="7132"/>
      </w:tblGrid>
      <w:tr>
        <w:trPr/>
        <w:tc>
          <w:tcPr>
            <w:tcW w:w="295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13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Stated Interest Rate</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1.50% per annum.</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Interest Payment Dates</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April 15 and October 15 of each year, beginning on April 15, 2027.</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Record Dates</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April 1 and October 1.</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0"/>
              <w:jc w:val="left"/>
              <w:rPr>
                <w:rFonts w:ascii="Times New Roman" w:hAnsi="Times New Roman"/>
                <w:sz w:val="20"/>
              </w:rPr>
            </w:pPr>
            <w:r>
              <w:rPr>
                <w:rFonts w:ascii="Times New Roman" w:hAnsi="Times New Roman"/>
                <w:sz w:val="20"/>
              </w:rPr>
              <w:t>Last Reported Sale Price per Share of Common Stock on NASDAQ on October 6, 2026</w:t>
            </w:r>
          </w:p>
        </w:tc>
        <w:tc>
          <w:tcPr>
            <w:tcW w:w="123" w:type="dxa"/>
            <w:tcBorders/>
            <w:vAlign w:val="bottom"/>
          </w:tcPr>
          <w:p>
            <w:pPr>
              <w:pStyle w:val="TableContents"/>
              <w:bidi w:val="0"/>
              <w:spacing w:before="0" w:after="283"/>
              <w:jc w:val="left"/>
              <w:rPr/>
            </w:pPr>
            <w:r>
              <w:rPr/>
              <w:t>  </w:t>
            </w:r>
          </w:p>
        </w:tc>
        <w:tc>
          <w:tcPr>
            <w:tcW w:w="7132" w:type="dxa"/>
            <w:tcBorders/>
            <w:vAlign w:val="bottom"/>
          </w:tcPr>
          <w:p>
            <w:pPr>
              <w:pStyle w:val="TableContents"/>
              <w:bidi w:val="0"/>
              <w:spacing w:before="0" w:after="283"/>
              <w:jc w:val="left"/>
              <w:rPr/>
            </w:pPr>
            <w:r>
              <w:rPr/>
              <w:t>$66.70.</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Conversion Premium</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Approximately 40.0% above the Public Offering Price per Share of Common Stock in the Common Stock Offering.</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Initial Conversion Price</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Approximately $89.60 per share of our Common Stock.</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Initial Conversion Rate</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11.1607 shares of our Common Stock per $1,000 principal amount of Notes.</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Provisional Redemption</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We will have the right, at our election, to redeem (a “provisional redemption”) all, or any portion (subject to certain limitations described below), of the Notes, at any time, and from time to time, on or after October 22, 2029 and on or before the 20th scheduled trading day immediately before the maturity date, at a cash redemption price equal to the principal amount of the Notes to be redeemed, plus accrued and unpaid interest, if any, to, but excluding, the redemption date, but only if the last reported sale price per share of our Common Stock exceeds 130% of the conversion price on (x) each of at least 20 trading days, whether or not consecutive, during the 30 consecutive trading days ending on, and including, the trading day immediately before the date we send the related redemption notice; and (y) the trading day immediately before the date we send such notice. However, we may not redeem less than all of the outstanding Notes pursuant to a provisional redemption unless at least $75.0 million aggregate principal amount of Notes are outstanding and not called for redemption as of the time we send the related redemption notice. In addition, calling any Note for provisional redemption will constitute a make-whole fundamental change with respect to that Note, in which case the conversion rate applicable to the conversion of that Note will be increased in certain circumstances if it is converted after it is called for provisional redemption. See “Description of Notes—Optional Redemption—Provisional Redemption” in the Convertible Note Preliminary Prospectus Supplement.</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Cleanup Redemption</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We will have the right, at our election, to redeem (a “cleanup redemption”) all, but not less than all, of the Notes, at any time, at a cash redemption price equal to the principal amount of the Notes to be redeemed, plus accrued and unpaid interest, if any, to, but excluding, the redemption date, but only if the principal amount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94"/>
        <w:gridCol w:w="123"/>
        <w:gridCol w:w="7088"/>
      </w:tblGrid>
      <w:tr>
        <w:trPr/>
        <w:tc>
          <w:tcPr>
            <w:tcW w:w="299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088" w:type="dxa"/>
            <w:tcBorders/>
            <w:vAlign w:val="center"/>
          </w:tcPr>
          <w:p>
            <w:pPr>
              <w:pStyle w:val="TableContents"/>
              <w:bidi w:val="0"/>
              <w:spacing w:before="0" w:after="283"/>
              <w:jc w:val="left"/>
              <w:rPr>
                <w:sz w:val="4"/>
                <w:szCs w:val="4"/>
              </w:rPr>
            </w:pPr>
            <w:r>
              <w:rPr>
                <w:sz w:val="4"/>
                <w:szCs w:val="4"/>
              </w:rPr>
            </w:r>
          </w:p>
        </w:tc>
      </w:tr>
      <w:tr>
        <w:trPr/>
        <w:tc>
          <w:tcPr>
            <w:tcW w:w="299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the Notes outstanding at the time we send the related redemption notice is less than 10% of the aggregate principal amount of the Notes issued in this offering (including any additional Notes issued pursuant to any exercise of the underwriters’ option to purchase additional Notes). In addition, calling the Notes for cleanup redemption will constitute a make-whole fundamental change, which will require us to increase the conversion rate in certain circumstances for a specified period of time. See “Description of Notes—Optional Redemption—Cleanup Redemption” in the Convertible Note Preliminary Prospectus Supplement.</w:t>
            </w:r>
          </w:p>
        </w:tc>
      </w:tr>
      <w:tr>
        <w:trPr>
          <w:trHeight w:val="120" w:hRule="atLeast"/>
        </w:trPr>
        <w:tc>
          <w:tcPr>
            <w:tcW w:w="2994" w:type="dxa"/>
            <w:tcBorders/>
            <w:vAlign w:val="center"/>
          </w:tcPr>
          <w:p>
            <w:pPr>
              <w:pStyle w:val="TableContents"/>
              <w:bidi w:val="0"/>
              <w:spacing w:before="0" w:after="283"/>
              <w:jc w:val="left"/>
              <w:rPr>
                <w:sz w:val="4"/>
                <w:szCs w:val="4"/>
              </w:rPr>
            </w:pPr>
            <w:r>
              <w:rPr>
                <w:sz w:val="4"/>
                <w:szCs w:val="4"/>
              </w:rPr>
            </w:r>
          </w:p>
        </w:tc>
        <w:tc>
          <w:tcPr>
            <w:tcW w:w="7211" w:type="dxa"/>
            <w:gridSpan w:val="2"/>
            <w:tcBorders/>
            <w:vAlign w:val="center"/>
          </w:tcPr>
          <w:p>
            <w:pPr>
              <w:pStyle w:val="TableContents"/>
              <w:bidi w:val="0"/>
              <w:spacing w:before="0" w:after="283"/>
              <w:jc w:val="left"/>
              <w:rPr>
                <w:sz w:val="4"/>
                <w:szCs w:val="4"/>
              </w:rPr>
            </w:pPr>
            <w:r>
              <w:rPr>
                <w:sz w:val="4"/>
                <w:szCs w:val="4"/>
              </w:rPr>
            </w:r>
          </w:p>
        </w:tc>
      </w:tr>
      <w:tr>
        <w:trPr/>
        <w:tc>
          <w:tcPr>
            <w:tcW w:w="2994" w:type="dxa"/>
            <w:tcBorders/>
          </w:tcPr>
          <w:p>
            <w:pPr>
              <w:pStyle w:val="TableContents"/>
              <w:bidi w:val="0"/>
              <w:spacing w:before="0" w:after="283"/>
              <w:jc w:val="left"/>
              <w:rPr/>
            </w:pPr>
            <w:r>
              <w:rPr/>
              <w:t>Use of Proceeds</w:t>
            </w:r>
          </w:p>
        </w:tc>
        <w:tc>
          <w:tcPr>
            <w:tcW w:w="123"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We estimate that the net proceeds to us from the Convertible Note Offering will be approximately $485.8 million (or approximately $558.7 million if the underwriters of the Convertible Note Offering fully exercise their over-allotment option to purchase additional Notes), after deducting the underwriting discounts and commissions and our estimated offering expenses. We intend to use the combined net proceeds from the Convertible Note Offering and the Common Stock Offering together with our existing cash, cash equivalents and investments, to fund (i) clinical development of the VAX-31 adult and pediatric programs, including (a) for the ongoing VAX-31 adult Phase 3 program, the trial evaluating concomitant administration with a seasonal influenza vaccine (OPUS-2, enrolled), the trial in adults who have previously received a pneumococcal vaccine (OPUS-3, enrolled) and the planned manufacturing consistency study, and the anticipated topline safety, tolerability and immunogenicity data announcements from such studies, and (b) for the VAX-31 infant Phase 2 dosefinding study (enrolled), the anticipated topline data announcement(s) from the primary three-dose immunization series and booster dose; (ii) manufacturing scale-up, processes and supply to support our clinical studies and the potential commercial launches of our PCV programs, including (a) to establish additional manufacturing capacity to meet potential incremental supply requirements for the global adult and pediatric populations following the potential initial commercial launch of VAX-31 in adults in the United States and (b) to build inventory levels in advance of such potential commercial launch; (iii) medical affairs, commercial and systems-related investments to prepare for and execute the anticipated U.S. launch of VAX-31 in adults; (iv) ongoing research and development of our other earlystage pipeline vaccine candidates; and (v) general corporate purposes, including working capital, operating expenses and capital expenditures, as well as potential expansion of our research pipeline. See “Use of Proceeds” in the Convertible Note Preliminary Prospectus Supplement.</w:t>
            </w:r>
          </w:p>
        </w:tc>
      </w:tr>
      <w:tr>
        <w:trPr>
          <w:trHeight w:val="120" w:hRule="atLeast"/>
        </w:trPr>
        <w:tc>
          <w:tcPr>
            <w:tcW w:w="2994" w:type="dxa"/>
            <w:tcBorders/>
            <w:vAlign w:val="center"/>
          </w:tcPr>
          <w:p>
            <w:pPr>
              <w:pStyle w:val="TableContents"/>
              <w:bidi w:val="0"/>
              <w:spacing w:before="0" w:after="283"/>
              <w:jc w:val="left"/>
              <w:rPr>
                <w:sz w:val="4"/>
                <w:szCs w:val="4"/>
              </w:rPr>
            </w:pPr>
            <w:r>
              <w:rPr>
                <w:sz w:val="4"/>
                <w:szCs w:val="4"/>
              </w:rPr>
            </w:r>
          </w:p>
        </w:tc>
        <w:tc>
          <w:tcPr>
            <w:tcW w:w="7211" w:type="dxa"/>
            <w:gridSpan w:val="2"/>
            <w:tcBorders/>
            <w:vAlign w:val="center"/>
          </w:tcPr>
          <w:p>
            <w:pPr>
              <w:pStyle w:val="TableContents"/>
              <w:bidi w:val="0"/>
              <w:spacing w:before="0" w:after="283"/>
              <w:jc w:val="left"/>
              <w:rPr>
                <w:sz w:val="4"/>
                <w:szCs w:val="4"/>
              </w:rPr>
            </w:pPr>
            <w:r>
              <w:rPr>
                <w:sz w:val="4"/>
                <w:szCs w:val="4"/>
              </w:rPr>
            </w:r>
          </w:p>
        </w:tc>
      </w:tr>
      <w:tr>
        <w:trPr/>
        <w:tc>
          <w:tcPr>
            <w:tcW w:w="2994" w:type="dxa"/>
            <w:tcBorders/>
          </w:tcPr>
          <w:p>
            <w:pPr>
              <w:pStyle w:val="TableContents"/>
              <w:bidi w:val="0"/>
              <w:spacing w:before="0" w:after="283"/>
              <w:jc w:val="left"/>
              <w:rPr/>
            </w:pPr>
            <w:r>
              <w:rPr/>
              <w:t>Book-Running Managers</w:t>
            </w:r>
          </w:p>
        </w:tc>
        <w:tc>
          <w:tcPr>
            <w:tcW w:w="123"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Jefferies LLC</w:t>
            </w:r>
          </w:p>
        </w:tc>
      </w:tr>
      <w:tr>
        <w:trPr/>
        <w:tc>
          <w:tcPr>
            <w:tcW w:w="299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Leerink Partners LLC</w:t>
            </w:r>
          </w:p>
        </w:tc>
      </w:tr>
      <w:tr>
        <w:trPr/>
        <w:tc>
          <w:tcPr>
            <w:tcW w:w="299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BofA Securities, Inc.</w:t>
            </w:r>
          </w:p>
        </w:tc>
      </w:tr>
      <w:tr>
        <w:trPr/>
        <w:tc>
          <w:tcPr>
            <w:tcW w:w="299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Goldman Sachs &amp; Co. LLC</w:t>
            </w:r>
          </w:p>
        </w:tc>
      </w:tr>
      <w:tr>
        <w:trPr/>
        <w:tc>
          <w:tcPr>
            <w:tcW w:w="299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Evercore Group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17"/>
        <w:gridCol w:w="122"/>
        <w:gridCol w:w="7166"/>
      </w:tblGrid>
      <w:tr>
        <w:trPr/>
        <w:tc>
          <w:tcPr>
            <w:tcW w:w="291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66"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17" w:type="dxa"/>
            <w:tcBorders/>
            <w:vAlign w:val="center"/>
          </w:tcPr>
          <w:p>
            <w:pPr>
              <w:pStyle w:val="TableContents"/>
              <w:bidi w:val="0"/>
              <w:spacing w:before="0" w:after="283"/>
              <w:jc w:val="left"/>
              <w:rPr>
                <w:sz w:val="4"/>
                <w:szCs w:val="4"/>
              </w:rPr>
            </w:pPr>
            <w:r>
              <w:rPr>
                <w:sz w:val="4"/>
                <w:szCs w:val="4"/>
              </w:rPr>
            </w:r>
          </w:p>
        </w:tc>
        <w:tc>
          <w:tcPr>
            <w:tcW w:w="7288" w:type="dxa"/>
            <w:gridSpan w:val="2"/>
            <w:tcBorders/>
            <w:vAlign w:val="center"/>
          </w:tcPr>
          <w:p>
            <w:pPr>
              <w:pStyle w:val="TableContents"/>
              <w:bidi w:val="0"/>
              <w:spacing w:before="0" w:after="283"/>
              <w:jc w:val="left"/>
              <w:rPr>
                <w:sz w:val="4"/>
                <w:szCs w:val="4"/>
              </w:rPr>
            </w:pPr>
            <w:r>
              <w:rPr>
                <w:sz w:val="4"/>
                <w:szCs w:val="4"/>
              </w:rPr>
            </w:r>
          </w:p>
        </w:tc>
      </w:tr>
      <w:tr>
        <w:trPr/>
        <w:tc>
          <w:tcPr>
            <w:tcW w:w="2917" w:type="dxa"/>
            <w:tcBorders/>
          </w:tcPr>
          <w:p>
            <w:pPr>
              <w:pStyle w:val="TableContents"/>
              <w:bidi w:val="0"/>
              <w:spacing w:before="0" w:after="283"/>
              <w:jc w:val="left"/>
              <w:rPr/>
            </w:pPr>
            <w:r>
              <w:rPr/>
              <w:t>Bookrunners</w:t>
            </w:r>
          </w:p>
        </w:tc>
        <w:tc>
          <w:tcPr>
            <w:tcW w:w="122" w:type="dxa"/>
            <w:tcBorders/>
            <w:vAlign w:val="bottom"/>
          </w:tcPr>
          <w:p>
            <w:pPr>
              <w:pStyle w:val="TableContents"/>
              <w:bidi w:val="0"/>
              <w:spacing w:before="0" w:after="283"/>
              <w:jc w:val="left"/>
              <w:rPr/>
            </w:pPr>
            <w:r>
              <w:rPr/>
              <w:t>  </w:t>
            </w:r>
          </w:p>
        </w:tc>
        <w:tc>
          <w:tcPr>
            <w:tcW w:w="7166" w:type="dxa"/>
            <w:tcBorders/>
          </w:tcPr>
          <w:p>
            <w:pPr>
              <w:pStyle w:val="TableContents"/>
              <w:bidi w:val="0"/>
              <w:spacing w:before="0" w:after="283"/>
              <w:jc w:val="left"/>
              <w:rPr/>
            </w:pPr>
            <w:r>
              <w:rPr/>
              <w:t>Guggenheim Securities, LLC</w:t>
            </w:r>
          </w:p>
        </w:tc>
      </w:tr>
      <w:tr>
        <w:trPr/>
        <w:tc>
          <w:tcPr>
            <w:tcW w:w="291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66" w:type="dxa"/>
            <w:tcBorders/>
          </w:tcPr>
          <w:p>
            <w:pPr>
              <w:pStyle w:val="TableContents"/>
              <w:bidi w:val="0"/>
              <w:spacing w:before="0" w:after="283"/>
              <w:jc w:val="left"/>
              <w:rPr/>
            </w:pPr>
            <w:r>
              <w:rPr/>
              <w:t>Mizuho Securities USA LLC</w:t>
            </w:r>
          </w:p>
        </w:tc>
      </w:tr>
      <w:tr>
        <w:trPr>
          <w:trHeight w:val="120" w:hRule="atLeast"/>
        </w:trPr>
        <w:tc>
          <w:tcPr>
            <w:tcW w:w="2917" w:type="dxa"/>
            <w:tcBorders/>
            <w:vAlign w:val="center"/>
          </w:tcPr>
          <w:p>
            <w:pPr>
              <w:pStyle w:val="TableContents"/>
              <w:bidi w:val="0"/>
              <w:spacing w:before="0" w:after="283"/>
              <w:jc w:val="left"/>
              <w:rPr>
                <w:sz w:val="4"/>
                <w:szCs w:val="4"/>
              </w:rPr>
            </w:pPr>
            <w:r>
              <w:rPr>
                <w:sz w:val="4"/>
                <w:szCs w:val="4"/>
              </w:rPr>
            </w:r>
          </w:p>
        </w:tc>
        <w:tc>
          <w:tcPr>
            <w:tcW w:w="7288" w:type="dxa"/>
            <w:gridSpan w:val="2"/>
            <w:tcBorders/>
            <w:vAlign w:val="center"/>
          </w:tcPr>
          <w:p>
            <w:pPr>
              <w:pStyle w:val="TableContents"/>
              <w:bidi w:val="0"/>
              <w:spacing w:before="0" w:after="283"/>
              <w:jc w:val="left"/>
              <w:rPr>
                <w:sz w:val="4"/>
                <w:szCs w:val="4"/>
              </w:rPr>
            </w:pPr>
            <w:r>
              <w:rPr>
                <w:sz w:val="4"/>
                <w:szCs w:val="4"/>
              </w:rPr>
            </w:r>
          </w:p>
        </w:tc>
      </w:tr>
      <w:tr>
        <w:trPr/>
        <w:tc>
          <w:tcPr>
            <w:tcW w:w="2917" w:type="dxa"/>
            <w:tcBorders/>
          </w:tcPr>
          <w:p>
            <w:pPr>
              <w:pStyle w:val="TableContents"/>
              <w:bidi w:val="0"/>
              <w:spacing w:before="0" w:after="283"/>
              <w:jc w:val="left"/>
              <w:rPr/>
            </w:pPr>
            <w:r>
              <w:rPr/>
              <w:t>Lead Manager</w:t>
            </w:r>
          </w:p>
        </w:tc>
        <w:tc>
          <w:tcPr>
            <w:tcW w:w="122" w:type="dxa"/>
            <w:tcBorders/>
            <w:vAlign w:val="bottom"/>
          </w:tcPr>
          <w:p>
            <w:pPr>
              <w:pStyle w:val="TableContents"/>
              <w:bidi w:val="0"/>
              <w:spacing w:before="0" w:after="283"/>
              <w:jc w:val="left"/>
              <w:rPr/>
            </w:pPr>
            <w:r>
              <w:rPr/>
              <w:t>  </w:t>
            </w:r>
          </w:p>
        </w:tc>
        <w:tc>
          <w:tcPr>
            <w:tcW w:w="7166" w:type="dxa"/>
            <w:tcBorders/>
          </w:tcPr>
          <w:p>
            <w:pPr>
              <w:pStyle w:val="TableContents"/>
              <w:bidi w:val="0"/>
              <w:spacing w:before="0" w:after="283"/>
              <w:jc w:val="left"/>
              <w:rPr/>
            </w:pPr>
            <w:r>
              <w:rPr/>
              <w:t>Needham &amp; Company, LLC</w:t>
            </w:r>
          </w:p>
        </w:tc>
      </w:tr>
      <w:tr>
        <w:trPr>
          <w:trHeight w:val="120" w:hRule="atLeast"/>
        </w:trPr>
        <w:tc>
          <w:tcPr>
            <w:tcW w:w="2917" w:type="dxa"/>
            <w:tcBorders/>
            <w:vAlign w:val="center"/>
          </w:tcPr>
          <w:p>
            <w:pPr>
              <w:pStyle w:val="TableContents"/>
              <w:bidi w:val="0"/>
              <w:spacing w:before="0" w:after="283"/>
              <w:jc w:val="left"/>
              <w:rPr>
                <w:sz w:val="4"/>
                <w:szCs w:val="4"/>
              </w:rPr>
            </w:pPr>
            <w:r>
              <w:rPr>
                <w:sz w:val="4"/>
                <w:szCs w:val="4"/>
              </w:rPr>
            </w:r>
          </w:p>
        </w:tc>
        <w:tc>
          <w:tcPr>
            <w:tcW w:w="7288" w:type="dxa"/>
            <w:gridSpan w:val="2"/>
            <w:tcBorders/>
            <w:vAlign w:val="center"/>
          </w:tcPr>
          <w:p>
            <w:pPr>
              <w:pStyle w:val="TableContents"/>
              <w:bidi w:val="0"/>
              <w:spacing w:before="0" w:after="283"/>
              <w:jc w:val="left"/>
              <w:rPr>
                <w:sz w:val="4"/>
                <w:szCs w:val="4"/>
              </w:rPr>
            </w:pPr>
            <w:r>
              <w:rPr>
                <w:sz w:val="4"/>
                <w:szCs w:val="4"/>
              </w:rPr>
            </w:r>
          </w:p>
        </w:tc>
      </w:tr>
      <w:tr>
        <w:trPr/>
        <w:tc>
          <w:tcPr>
            <w:tcW w:w="2917" w:type="dxa"/>
            <w:tcBorders/>
          </w:tcPr>
          <w:p>
            <w:pPr>
              <w:pStyle w:val="TableContents"/>
              <w:bidi w:val="0"/>
              <w:spacing w:before="0" w:after="0"/>
              <w:jc w:val="left"/>
              <w:rPr>
                <w:rFonts w:ascii="Times New Roman" w:hAnsi="Times New Roman"/>
                <w:sz w:val="20"/>
              </w:rPr>
            </w:pPr>
            <w:r>
              <w:rPr>
                <w:rFonts w:ascii="Times New Roman" w:hAnsi="Times New Roman"/>
                <w:sz w:val="20"/>
              </w:rPr>
              <w:t>CUSIP / ISIN Numbers for the Notes</w:t>
            </w:r>
          </w:p>
        </w:tc>
        <w:tc>
          <w:tcPr>
            <w:tcW w:w="122" w:type="dxa"/>
            <w:tcBorders/>
            <w:vAlign w:val="bottom"/>
          </w:tcPr>
          <w:p>
            <w:pPr>
              <w:pStyle w:val="TableContents"/>
              <w:bidi w:val="0"/>
              <w:spacing w:before="0" w:after="283"/>
              <w:jc w:val="left"/>
              <w:rPr/>
            </w:pPr>
            <w:r>
              <w:rPr/>
              <w:t>  </w:t>
            </w:r>
          </w:p>
        </w:tc>
        <w:tc>
          <w:tcPr>
            <w:tcW w:w="7166" w:type="dxa"/>
            <w:tcBorders/>
          </w:tcPr>
          <w:p>
            <w:pPr>
              <w:pStyle w:val="TableContents"/>
              <w:bidi w:val="0"/>
              <w:spacing w:before="0" w:after="283"/>
              <w:jc w:val="left"/>
              <w:rPr/>
            </w:pPr>
            <w:r>
              <w:rPr/>
              <w:t>92243GAA6 / US92243GAA67.</w:t>
            </w:r>
          </w:p>
        </w:tc>
      </w:tr>
      <w:tr>
        <w:trPr>
          <w:trHeight w:val="120" w:hRule="atLeast"/>
        </w:trPr>
        <w:tc>
          <w:tcPr>
            <w:tcW w:w="2917" w:type="dxa"/>
            <w:tcBorders/>
            <w:vAlign w:val="center"/>
          </w:tcPr>
          <w:p>
            <w:pPr>
              <w:pStyle w:val="TableContents"/>
              <w:bidi w:val="0"/>
              <w:spacing w:before="0" w:after="283"/>
              <w:jc w:val="left"/>
              <w:rPr>
                <w:sz w:val="4"/>
                <w:szCs w:val="4"/>
              </w:rPr>
            </w:pPr>
            <w:r>
              <w:rPr>
                <w:sz w:val="4"/>
                <w:szCs w:val="4"/>
              </w:rPr>
            </w:r>
          </w:p>
        </w:tc>
        <w:tc>
          <w:tcPr>
            <w:tcW w:w="7288" w:type="dxa"/>
            <w:gridSpan w:val="2"/>
            <w:tcBorders/>
            <w:vAlign w:val="center"/>
          </w:tcPr>
          <w:p>
            <w:pPr>
              <w:pStyle w:val="TableContents"/>
              <w:bidi w:val="0"/>
              <w:spacing w:before="0" w:after="283"/>
              <w:jc w:val="left"/>
              <w:rPr>
                <w:sz w:val="4"/>
                <w:szCs w:val="4"/>
              </w:rPr>
            </w:pPr>
            <w:r>
              <w:rPr>
                <w:sz w:val="4"/>
                <w:szCs w:val="4"/>
              </w:rPr>
            </w:r>
          </w:p>
        </w:tc>
      </w:tr>
      <w:tr>
        <w:trPr/>
        <w:tc>
          <w:tcPr>
            <w:tcW w:w="2917" w:type="dxa"/>
            <w:tcBorders/>
          </w:tcPr>
          <w:p>
            <w:pPr>
              <w:pStyle w:val="TableContents"/>
              <w:bidi w:val="0"/>
              <w:spacing w:before="0" w:after="0"/>
              <w:jc w:val="left"/>
              <w:rPr>
                <w:rFonts w:ascii="Times New Roman" w:hAnsi="Times New Roman"/>
                <w:sz w:val="20"/>
              </w:rPr>
            </w:pPr>
            <w:r>
              <w:rPr>
                <w:rFonts w:ascii="Times New Roman" w:hAnsi="Times New Roman"/>
                <w:sz w:val="20"/>
              </w:rPr>
              <w:t>Increase to Conversion Rate in Connection with a Make-Whole Fundamental Change</w:t>
            </w:r>
          </w:p>
        </w:tc>
        <w:tc>
          <w:tcPr>
            <w:tcW w:w="122" w:type="dxa"/>
            <w:tcBorders/>
            <w:vAlign w:val="bottom"/>
          </w:tcPr>
          <w:p>
            <w:pPr>
              <w:pStyle w:val="TableContents"/>
              <w:bidi w:val="0"/>
              <w:spacing w:before="0" w:after="283"/>
              <w:jc w:val="left"/>
              <w:rPr/>
            </w:pPr>
            <w:r>
              <w:rPr/>
              <w:t>  </w:t>
            </w:r>
          </w:p>
        </w:tc>
        <w:tc>
          <w:tcPr>
            <w:tcW w:w="7166"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a make-whole fundamental change occurs with respect to any Note and the conversion date for the conversion of such Note occurs during the related make-whole fundamental change conversion period, then, subject to the provisions described in the Convertible Note Preliminary Prospectus Supplement under the caption “Description of Notes—Conversion Rights—Increase in Conversion Rate in Connection with a Make-Whole Fundamental Change,” the conversion rate applicable to such conversion will be increased by a number of shares set forth in the table below corresponding (after interpolation, as described below) to the make-whole fundamental change effective date and the stock price of such make-whole fundamental change:</w:t>
            </w:r>
          </w:p>
        </w:tc>
      </w:tr>
    </w:tbl>
    <w:p>
      <w:pPr>
        <w:pStyle w:val="TextBody"/>
        <w:bidi w:val="0"/>
        <w:spacing w:before="0" w:after="0"/>
        <w:jc w:val="left"/>
        <w:rPr/>
      </w:pPr>
      <w:r>
        <w:rPr/>
        <w:t> </w:t>
      </w:r>
    </w:p>
    <w:tbl>
      <w:tblPr>
        <w:tblW w:w="11575" w:type="dxa"/>
        <w:jc w:val="center"/>
        <w:tblInd w:w="0" w:type="dxa"/>
        <w:tblLayout w:type="fixed"/>
        <w:tblCellMar>
          <w:top w:w="0" w:type="dxa"/>
          <w:left w:w="0" w:type="dxa"/>
          <w:bottom w:w="0" w:type="dxa"/>
          <w:right w:w="0" w:type="dxa"/>
        </w:tblCellMar>
      </w:tblPr>
      <w:tblGrid>
        <w:gridCol w:w="1955"/>
        <w:gridCol w:w="120"/>
        <w:gridCol w:w="60"/>
        <w:gridCol w:w="680"/>
        <w:gridCol w:w="60"/>
        <w:gridCol w:w="120"/>
        <w:gridCol w:w="60"/>
        <w:gridCol w:w="680"/>
        <w:gridCol w:w="60"/>
        <w:gridCol w:w="120"/>
        <w:gridCol w:w="60"/>
        <w:gridCol w:w="680"/>
        <w:gridCol w:w="60"/>
        <w:gridCol w:w="120"/>
        <w:gridCol w:w="64"/>
        <w:gridCol w:w="736"/>
        <w:gridCol w:w="60"/>
        <w:gridCol w:w="120"/>
        <w:gridCol w:w="64"/>
        <w:gridCol w:w="736"/>
        <w:gridCol w:w="60"/>
        <w:gridCol w:w="120"/>
        <w:gridCol w:w="64"/>
        <w:gridCol w:w="736"/>
        <w:gridCol w:w="60"/>
        <w:gridCol w:w="120"/>
        <w:gridCol w:w="64"/>
        <w:gridCol w:w="736"/>
        <w:gridCol w:w="60"/>
        <w:gridCol w:w="120"/>
        <w:gridCol w:w="64"/>
        <w:gridCol w:w="736"/>
        <w:gridCol w:w="60"/>
        <w:gridCol w:w="120"/>
        <w:gridCol w:w="64"/>
        <w:gridCol w:w="736"/>
        <w:gridCol w:w="60"/>
        <w:gridCol w:w="120"/>
        <w:gridCol w:w="64"/>
        <w:gridCol w:w="736"/>
        <w:gridCol w:w="60"/>
      </w:tblGrid>
      <w:tr>
        <w:trPr/>
        <w:tc>
          <w:tcPr>
            <w:tcW w:w="19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955" w:type="dxa"/>
            <w:vMerge w:val="restart"/>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Make-Whole Fundamental</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Change Effective Date</w:t>
            </w:r>
          </w:p>
        </w:tc>
        <w:tc>
          <w:tcPr>
            <w:tcW w:w="120" w:type="dxa"/>
            <w:tcBorders/>
            <w:vAlign w:val="bottom"/>
          </w:tcPr>
          <w:p>
            <w:pPr>
              <w:pStyle w:val="TableContents"/>
              <w:bidi w:val="0"/>
              <w:spacing w:before="0" w:after="283"/>
              <w:jc w:val="left"/>
              <w:rPr/>
            </w:pPr>
            <w:r>
              <w:rPr/>
              <w:t>  </w:t>
            </w:r>
          </w:p>
        </w:tc>
        <w:tc>
          <w:tcPr>
            <w:tcW w:w="9440" w:type="dxa"/>
            <w:gridSpan w:val="38"/>
            <w:tcBorders>
              <w:bottom w:val="single" w:sz="8" w:space="0" w:color="000000"/>
            </w:tcBorders>
            <w:tcMar>
              <w:bottom w:w="28" w:type="dxa"/>
            </w:tcMar>
            <w:vAlign w:val="bottom"/>
          </w:tcPr>
          <w:p>
            <w:pPr>
              <w:pStyle w:val="TableContents"/>
              <w:bidi w:val="0"/>
              <w:spacing w:before="0" w:after="283"/>
              <w:jc w:val="center"/>
              <w:rPr>
                <w:b/>
              </w:rPr>
            </w:pPr>
            <w:r>
              <w:rPr>
                <w:b/>
              </w:rPr>
              <w:t>Stock Price</w:t>
            </w:r>
          </w:p>
        </w:tc>
        <w:tc>
          <w:tcPr>
            <w:tcW w:w="60" w:type="dxa"/>
            <w:tcBorders/>
            <w:vAlign w:val="bottom"/>
          </w:tcPr>
          <w:p>
            <w:pPr>
              <w:pStyle w:val="TableContents"/>
              <w:bidi w:val="0"/>
              <w:spacing w:before="0" w:after="283"/>
              <w:jc w:val="left"/>
              <w:rPr/>
            </w:pPr>
            <w:r>
              <w:rPr/>
              <w:t> </w:t>
            </w:r>
          </w:p>
        </w:tc>
      </w:tr>
      <w:tr>
        <w:trPr/>
        <w:tc>
          <w:tcPr>
            <w:tcW w:w="1955"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$64.00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$75.00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$89.60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$102.50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$116.48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$225.00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$325.00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$475.00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$650.00</w:t>
            </w:r>
          </w:p>
        </w:tc>
        <w:tc>
          <w:tcPr>
            <w:tcW w:w="60" w:type="dxa"/>
            <w:tcBorders/>
            <w:vAlign w:val="bottom"/>
          </w:tcPr>
          <w:p>
            <w:pPr>
              <w:pStyle w:val="TableContents"/>
              <w:bidi w:val="0"/>
              <w:spacing w:before="0" w:after="283"/>
              <w:jc w:val="left"/>
              <w:rPr/>
            </w:pPr>
            <w:r>
              <w:rPr/>
              <w:t> </w:t>
            </w:r>
          </w:p>
        </w:tc>
      </w:tr>
      <w:tr>
        <w:trPr/>
        <w:tc>
          <w:tcPr>
            <w:tcW w:w="1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9, 2026</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4.4643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3.4015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2.4747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1.9262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1.5049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0.8977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0.3527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0.1234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0.0232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955" w:type="dxa"/>
            <w:tcBorders/>
          </w:tcPr>
          <w:p>
            <w:pPr>
              <w:pStyle w:val="TableContents"/>
              <w:bidi w:val="0"/>
              <w:spacing w:before="0" w:after="0"/>
              <w:jc w:val="left"/>
              <w:rPr>
                <w:rFonts w:ascii="Times New Roman" w:hAnsi="Times New Roman"/>
                <w:sz w:val="20"/>
              </w:rPr>
            </w:pPr>
            <w:r>
              <w:rPr>
                <w:rFonts w:ascii="Times New Roman" w:hAnsi="Times New Roman"/>
                <w:sz w:val="20"/>
              </w:rPr>
              <w:t>October 15, 2027</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4.4643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3.3957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2.4289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1.8637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1.4348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0.8289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0.3068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0.0995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0.0151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2028</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4.4643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3.3775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2.3605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1.7757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1.3394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0.7400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0.2524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0.0739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0.0076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955" w:type="dxa"/>
            <w:tcBorders/>
          </w:tcPr>
          <w:p>
            <w:pPr>
              <w:pStyle w:val="TableContents"/>
              <w:bidi w:val="0"/>
              <w:spacing w:before="0" w:after="0"/>
              <w:jc w:val="left"/>
              <w:rPr>
                <w:rFonts w:ascii="Times New Roman" w:hAnsi="Times New Roman"/>
                <w:sz w:val="20"/>
              </w:rPr>
            </w:pPr>
            <w:r>
              <w:rPr>
                <w:rFonts w:ascii="Times New Roman" w:hAnsi="Times New Roman"/>
                <w:sz w:val="20"/>
              </w:rPr>
              <w:t>October 15, 2029</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4.4643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3.3049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2.2319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1.6296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1.1913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0.6147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0.1854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0.0468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2030</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4.4643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3.1395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1.3858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0.9584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0.4383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0.1082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0.0216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955" w:type="dxa"/>
            <w:tcBorders/>
          </w:tcPr>
          <w:p>
            <w:pPr>
              <w:pStyle w:val="TableContents"/>
              <w:bidi w:val="0"/>
              <w:spacing w:before="0" w:after="0"/>
              <w:jc w:val="left"/>
              <w:rPr>
                <w:rFonts w:ascii="Times New Roman" w:hAnsi="Times New Roman"/>
                <w:sz w:val="20"/>
              </w:rPr>
            </w:pPr>
            <w:r>
              <w:rPr>
                <w:rFonts w:ascii="Times New Roman" w:hAnsi="Times New Roman"/>
                <w:sz w:val="20"/>
              </w:rPr>
              <w:t>October 15, 2031</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4.4643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2.8052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1.5648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0.9565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0.5792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0.0364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0.0049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2032</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4.4643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2.1727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such make-whole fundamental change effective date or stock price is not set forth in the table above, then: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stock price is greater than $650.00 (subject to adjustment in the same manner as the stock prices set forth in the column headings of the table above are adjusted, as described in the Convertible Note Preliminary Prospectus Supplement under the caption “Description of Notes—Conversion Rights—Increase in Conversion Rate in Connection with a Make-Whole Fundamental Change—Adjustment of Stock Prices and Number of Additional Shares”), or less than $64.00 (subject to adjustment in the same manner), per share, then no additional shares will be added to the conversion 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in no event will the conversion rate be increased to an amount that exceeds 15.6250 shares of our Common Stock per $1,000 principal amount of Notes, which amount is subject to adjustment in the same manner as, and at the same time and for the same events for which, the conversion rate is required to be adjusted pursuant to the provisions described in the Convertible Note Preliminary Prospectus Supplement under the caption “Description of Notes—Conversion Rights—Conversion Rate Adjustments—Generally.”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b/>
          <w:sz w:val="20"/>
        </w:rPr>
        <w:t xml:space="preserve">We have filed a registration statement (including a prospectus) and the Preliminary Prospectus Supplements with the SEC for the offerings to which this communication relates. Before you invest, you should read the applicable Preliminary Prospectus Supplement and the prospectus in that registration statement and other documents we have filed with the SEC for more complete information about us and these offerings. You may get these documents free by visiting EDGAR on the SEC website at </w:t>
      </w:r>
      <w:r>
        <w:rPr>
          <w:rFonts w:ascii="Times New Roman" w:hAnsi="Times New Roman"/>
          <w:b/>
          <w:i/>
          <w:sz w:val="20"/>
        </w:rPr>
        <w:t>www.sec.gov</w:t>
      </w:r>
      <w:r>
        <w:rPr>
          <w:rFonts w:ascii="Times New Roman" w:hAnsi="Times New Roman"/>
          <w:b/>
          <w:sz w:val="20"/>
        </w:rPr>
        <w:t xml:space="preserve">. Alternatively, we, any underwriter or any dealer participating in the applicable offering will arrange to send you the applicable Preliminary Prospectus Supplement (or, when available, the applicable final prospectus supplement) and the accompanying prospectus upon request to: Jefferies LLC, Attention: Equity Syndicate Prospectus Department, 520 Madison Avenue, New York, New York 10022, by telephone at (877) 821-7388 or by email at Prospectus_Department@Jefferies.com; or Leerink Partners LLC, Attention: Syndicate Department, 53 State Street, 40th Floor, Boston, Massachusetts 02109, by telephone at (800) 808-7525, ext. 6105, or by email at syndicate@leerink.com. </w:t>
      </w:r>
    </w:p>
    <w:p>
      <w:pPr>
        <w:pStyle w:val="TextBody"/>
        <w:bidi w:val="0"/>
        <w:spacing w:before="240" w:after="0"/>
        <w:jc w:val="left"/>
        <w:rPr>
          <w:rFonts w:ascii="Times New Roman" w:hAnsi="Times New Roman"/>
          <w:b/>
          <w:sz w:val="20"/>
        </w:rPr>
      </w:pPr>
      <w:r>
        <w:rPr>
          <w:rFonts w:ascii="Times New Roman" w:hAnsi="Times New Roman"/>
          <w:b/>
          <w:sz w:val="20"/>
        </w:rPr>
        <w:t xml:space="preserve">The information in this pricing term sheet is not a complete description of the Common Stock, the Common Stock Offering, the Notes or the Convertible Note Offering. You should rely only on the information contained or incorporated by reference in the applicable Preliminary Prospectus Supplement and the accompanying prospectus, as supplemented by this pricing term sheet, in making an investment decision with respect to the Common Stock or the Notes. </w:t>
      </w:r>
    </w:p>
    <w:p>
      <w:pPr>
        <w:pStyle w:val="TextBody"/>
        <w:bidi w:val="0"/>
        <w:spacing w:before="240" w:after="0"/>
        <w:jc w:val="left"/>
        <w:rPr>
          <w:rFonts w:ascii="Times New Roman" w:hAnsi="Times New Roman"/>
          <w:b/>
          <w:sz w:val="20"/>
        </w:rPr>
      </w:pPr>
      <w:r>
        <w:rPr>
          <w:rFonts w:ascii="Times New Roman" w:hAnsi="Times New Roman"/>
          <w:b/>
          <w:sz w:val="20"/>
        </w:rPr>
        <w:t xml:space="preserve">ANY DISCLAIMERS OR OTHER NOTICES THAT MAY APPEAR BELOW ARE NOT APPLICABLE TO THIS COMMUNICATION AND SHOULD BE DISREGARDED. SUCH DISCLAIMERS OR OTHER NOTICES WERE AUTOMATICALLY GENERATED AS A RESULT OF THIS COMMUNICATION BEING SENT VIA BLOOMBERG OR ANOTHER EMAIL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B-2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Free Writing Prospectuses </w:t>
      </w:r>
    </w:p>
    <w:p>
      <w:pPr>
        <w:pStyle w:val="TextBody"/>
        <w:bidi w:val="0"/>
        <w:spacing w:before="240" w:after="0"/>
        <w:jc w:val="left"/>
        <w:rPr>
          <w:rFonts w:ascii="Times New Roman" w:hAnsi="Times New Roman"/>
          <w:sz w:val="20"/>
        </w:rPr>
      </w:pPr>
      <w:r>
        <w:rPr>
          <w:rFonts w:ascii="Times New Roman" w:hAnsi="Times New Roman"/>
          <w:sz w:val="20"/>
        </w:rPr>
        <w:t xml:space="preserve">Pricing Term Sheet in the form as set forth in </w:t>
      </w:r>
      <w:r>
        <w:rPr>
          <w:rFonts w:ascii="Times New Roman" w:hAnsi="Times New Roman"/>
          <w:sz w:val="20"/>
          <w:u w:val="single"/>
        </w:rPr>
        <w:t>Schedule B-1</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 - 2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C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Written Testing-the-Waters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C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0" w:after="0"/>
        <w:jc w:val="left"/>
        <w:rPr>
          <w:rFonts w:ascii="Times New Roman" w:hAnsi="Times New Roman"/>
          <w:sz w:val="20"/>
        </w:rPr>
      </w:pPr>
      <w:r>
        <w:rPr>
          <w:rFonts w:ascii="Times New Roman" w:hAnsi="Times New Roman"/>
          <w:sz w:val="20"/>
        </w:rPr>
        <w:t xml:space="preserve">to be named in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c/o 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Proposed Public Offering by Vaxcyte, Inc.</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Sirs and Madams: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a stockholder, optionholder, officer and/or director of Vaxcyte, Inc., a Delaware corporation (the “Company”), understands that Jefferies LLC and Leerink Partners LLC (collectively, the “Representatives”) propose to enter into (i) an Underwriting Agreement (the “Equity Underwriting Agreement”) with the Company providing for the public offering (the “Equity Offering”) of shares (the “Shares”) of the Company’s common stock, par value $0.001 per share (the “Common Stock”), and/or pre-funded warrants to purchase shares of Common Stock (the “Pre-Funded Warrants and together with the Shares, the “Equity Securities”) and (ii) an Underwriting Agreement (the “Debt Underwriting Agreement” and together with the Equity Underwriting Agreement, the “Underwriting Agreements”) with the Company providing for the public offering (the “Debt Offering” and together with the Equity Offering, the “Offerings”) of convertible senior notes (the “Notes” and together with the Equity Securities, the “Securities”). In the event that the Company and the Representatives determine to only commence the Equity Offering, then references herein to the terms “Underwriting Agreements,” “Offerings” and “Securities” shall mean the “Equity Underwriting Agreement,” “Equity Offering” and “Equity Securities,” respectively, while if such parties determine to only commence the Debt Offering, then references herein to the terms “Underwriting Agreements,” “Offerings” and “Securities” shall mean the “Debt Underwriting Agreement,” “Debt Offering” and the “Notes,” respectively. In recognition of the benefit that such an offering will confer upon the undersigned as a stockholder, optionholder, officer and/or director of the Company, and for other good and valuable consideration, the receipt and sufficiency of which are hereby acknowledged, the undersigned agrees with the Representatives on behalf of the underwriters that, during the period beginning on the date hereof and ending on, and including, the date that is 60 days from the date of the Underwriting Agreements (the “Lock-Up Period”), the undersigned will not, without the prior written consent of Jefferies LLC and Leerink Partners LLC,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shares of Common Stock,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cause to be filed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and subject to the conditions below, the undersigned may, without the prior written consent of Jefferies LLC and Leerink Partners LLC, </w:t>
      </w:r>
    </w:p>
    <w:p>
      <w:pPr>
        <w:pStyle w:val="TextBody"/>
        <w:bidi w:val="0"/>
        <w:spacing w:before="240" w:after="0"/>
        <w:jc w:val="left"/>
        <w:rPr>
          <w:rFonts w:ascii="Times New Roman" w:hAnsi="Times New Roman"/>
          <w:sz w:val="20"/>
        </w:rPr>
      </w:pPr>
      <w:r>
        <w:rPr>
          <w:rFonts w:ascii="Times New Roman" w:hAnsi="Times New Roman"/>
          <w:sz w:val="20"/>
        </w:rPr>
        <w:t xml:space="preserve">(a) transfer the Lock-Up Securities, provided that (1) the Representatives receive a signed lock-up agreement for the balance of the Lock-Up Period from each donee, trustee, distributee, or transferee, as the case may be, (2) any such transfer shall not involve a disposition for value, (3) such transfers are not required to be reported with the Securities and Exchange Commission on Form 4 in accordance with Section 16 of the Securities Exchange Act of 1934, as amended, and the rules and regulations of the Securities and Exchange Commission promulgated thereunder (the “Exchange Act”), and (4) the undersigned does not otherwise voluntarily effect any public filing or report regarding such transfers: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trust for the direct or indirect benefit of the undersigned or the immediate family of the undersigned (for purposes of this lock-up agreement, “immediate family” shall mean any relationship by blood, marriage or adoption, not more remote than first cousin);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trust, to the trustor or beneficiary of such trust or to the estate of a beneficiary of such trust;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distribution to partners, stockholders, members of or owners of similar equity interests of the undersigned;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undersigned’s affiliates or to any investment fund or other entity controlled or managed by the undersigned.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the Lock-Up Securities, provided that (1) the Representatives receive a signed lock-up agreement for the balance of the Lock-Up Period from each donee, trustee, distributee, or transferee, as the case may be, (2) any such transfer shall not involve a disposition for value, and (3) any filing under the Exchange Act required to be made during the Lock-Up Period shall clearly indicate in the footnotes thereto that the filing relates to circumstances described below, as applicable, and in the case of clause (i) below, the undersigned does not otherwise voluntarily effect any public filing or report regarding such transfers: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w:t>
            </w:r>
            <w:r>
              <w:rPr>
                <w:rFonts w:ascii="Times New Roman" w:hAnsi="Times New Roman"/>
                <w:i/>
                <w:sz w:val="20"/>
              </w:rPr>
              <w:t>bona fide</w:t>
            </w:r>
            <w:r>
              <w:rPr>
                <w:rFonts w:ascii="Times New Roman" w:hAnsi="Times New Roman"/>
                <w:sz w:val="20"/>
              </w:rPr>
              <w:t xml:space="preserve"> gift or gifts;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will or intestate succession to the legal representative, heir, beneficiary or any immediate family of the undersigned;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court or regulatory agency order, a qualified domestic order or in connection with a divorce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the Lock-Up Securities to the Company pursuant to an agreement under which the Company has the option to repurchase shares or a right of first refusal with respect to transfer of such shares upon termination of service of the undersigned;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any filing under Section 16 of the Exchange Act made during the Lock-Up Period shall clearly indicate in the footnotes thereto that (1) the filing relates to the circumstances described above and (2) no Lock-Up Securities were sold by the undersigned, other than such transfers to the Company as described and (B) the undersigned does not otherwise voluntarily effect any other public filings or report regarding such transfer during the Lock-Up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or surrender the Lock-Up Securities to the Company as forfeitures to satisfy tax withholding and remittance obligations of the undersigned in connection with the vesting or exercise of equity awards granted pursuant to the Company’s equity incentive plans or pursuant to a net exercise or cashless exercise by the stockholder of outstanding equity awards pursuant to the Company’s equity incentive plans;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any filing under Section 16 of the Exchange Act made during the Lock-Up Period shall clearly indicate in the footnotes thereto that (1) the filing relates to the circumstances described above and (2) no Lock-Up Securities were sold by the undersigned, other than such transfers to the Company as described and (B) the undersigned does not otherwise voluntarily effect any other public filings or report regarding such transfer or surrender during the Lock-Up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the Lock-Up Securities upon the completion of a bona fide third-party tender offer, merger, consolidation or other similar transaction made to all holders of the Company’s securities involving a change of control of the Company, provided that, in the event that such tender offer, merger, consolidation or other similar transaction is not completed, any Lock-Up Securities held by the undersigned shall remain subject to the restrictions on transfer set forth in this lock-up agreement (for purposes hereof, “change of control” shall mean the transfer (whether by tender offer, merger, consolidation or other similar transaction), in one transaction or a series of related transactions, to a person or group of affiliated persons, of shares of capital stock of the Company if, after such transfer, such person or group of affiliated persons would hold more than 50% of the outstanding voting securities of the Company (or the surviving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rights to purchase, exchange or convert any stock options granted to the undersigned pursuant to the Company’s equity incentive plans referred to in the Prospectus (as defined in the Underwriting Agreements), or exercise any warrants or other securities convertible into or exercisable or exchangeable for shares of Common Stock, which warrants or other securities are described in the Prospectus; </w:t>
            </w:r>
            <w:r>
              <w:rPr>
                <w:rFonts w:ascii="Times New Roman" w:hAnsi="Times New Roman"/>
                <w:i/>
                <w:sz w:val="20"/>
              </w:rPr>
              <w:t>provided</w:t>
            </w:r>
            <w:r>
              <w:rPr>
                <w:rFonts w:ascii="Times New Roman" w:hAnsi="Times New Roman"/>
                <w:sz w:val="20"/>
              </w:rPr>
              <w:t xml:space="preserve">, that (A) any shares of Common Stock issued upon exercise, conversion or exchange of such option, warrant or other security shall continue to be subject to the restrictions set forth herein until the expiration of the Lock-Up Period and (B) any filing under Section 16 of the Exchange Act shall clearly indicate in the footnotes thereto that the shares of Common Stock received from such purchase, exchange or conversion remain subject to the restrictions on transfer set forth in this lock-up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the Lock-Up Securities pursuant to a trading plan established under Rule 10b5-1 under the Exchange Act (“10b5-1 Trading Plan”) prior to the date hereof; </w:t>
            </w:r>
            <w:r>
              <w:rPr>
                <w:rFonts w:ascii="Times New Roman" w:hAnsi="Times New Roman"/>
                <w:i/>
                <w:sz w:val="20"/>
              </w:rPr>
              <w:t>provided</w:t>
            </w:r>
            <w:r>
              <w:rPr>
                <w:rFonts w:ascii="Times New Roman" w:hAnsi="Times New Roman"/>
                <w:sz w:val="20"/>
              </w:rPr>
              <w:t xml:space="preserve">, that such trading plan was established prior to the entry into this letter agreement and such trading plan has been provided to the Representatives and their legal counsel, and </w:t>
            </w:r>
            <w:r>
              <w:rPr>
                <w:rFonts w:ascii="Times New Roman" w:hAnsi="Times New Roman"/>
                <w:i/>
                <w:sz w:val="20"/>
              </w:rPr>
              <w:t>provided further</w:t>
            </w:r>
            <w:r>
              <w:rPr>
                <w:rFonts w:ascii="Times New Roman" w:hAnsi="Times New Roman"/>
                <w:sz w:val="20"/>
              </w:rPr>
              <w:t xml:space="preserve">, that, to the extent a public announcement or filing under the Exchange Act, if any, is required of or voluntarily made by or on behalf of the undersigned or the Company regarding such transfer, such announcement or filing shall include a statement that such transfer is in accordance with an established 10b5-1 Trading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nothing herein shall prevent the undersigned from establishing a 10b5-1 Trading Plan or from amending an existing 10b5-1 Trading Plan so long as either there are no sales of Lock-Up Securities under such plan during the Lock-Up Period or such 10b5-1 Trading Plan has been reviewed by the Representatives prior to the date of the Underwriting Agreements; and provided that the establishment of a 10b5-1 Trading Plan or the amendment of a 10b5-1 Trading Plan, in either case, providing for sales of Lock-Up Securities shall only be permitted if (i) the establishment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amendment of such plan is not required to be reported in any public report or filing with the Securities and Exchange Commission, or otherwise, during the Lock-Up Period (other than the required disclosure on Form 10-Q or Form 10-K, as applicable, of the entrance into any 10b5-1 Trading Plan during the relevant fiscal quarter, provided that such disclosure includes a statement to the effect that no transfers may be made pursuant to such 10b5-1 Trading Plan during the Lock-Up Period) and (ii) the undersigned does not otherwise voluntarily effect any public filing or report regarding the establishment or amendment of such plan.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undersigned may sell shares of Common Stock of the Company purchased by the undersigned in the Offerings or on the open market following the Offerings if and only if (i) such sales are not required to be reported in any public report or filing with the Securities and Exchange Commission or otherwise and (ii) the undersigned does not otherwise voluntarily effect any public filing or report regarding such sales.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also agrees and consents to the entry of stop transfer instructions with the Company’s transfer agent and registrar against the transfer of the Lock-Up Securities except in compliance with the foregoing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shall automatically terminate, and the undersigned shall be released from its obligations hereunder, upon the earliest to occur, if any, of: (1) the date either the Company, on the one hand, or the Representatives, on the other hand, advise the other in writing, prior to the execution of the Underwriting Agreements, that they have determined not to proceed with the Offerings, (2) the date of the termination of the Underwriting Agreements prior to payment for and delivery of the Securities to be sold thereunder, (3) the date of the withdrawal of the registration statement furnished to or filed with the Securities and Exchange Commission with respect to the Offerings, or (4) October 31, 2026, in the event that the Underwriting Agreements have not been executed by such date.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agrees that, to the extent that the terms of this lock-up agreement conflict with or are in any way inconsistent with any registration rights agreement or similar agreement to which the undersigned and the Company may be a party, this lock-up agreement supersedes such registration rights agreement or similar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and any claim, controversy or dispute arising under or related hereto shall be governed by, and construed in accordance with, the laws of the State of New York, without regard to the conflict of laws principles thereof that would result in the application of the laws of any other jurisdiction.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027"/>
        <w:gridCol w:w="60"/>
        <w:gridCol w:w="2995"/>
      </w:tblGrid>
      <w:tr>
        <w:trPr/>
        <w:tc>
          <w:tcPr>
            <w:tcW w:w="102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1027" w:type="dxa"/>
            <w:tcBorders/>
            <w:vAlign w:val="center"/>
          </w:tcPr>
          <w:p>
            <w:pPr>
              <w:pStyle w:val="TableContents"/>
              <w:bidi w:val="0"/>
              <w:spacing w:before="0" w:after="283"/>
              <w:jc w:val="left"/>
              <w:rPr>
                <w:sz w:val="4"/>
                <w:szCs w:val="4"/>
              </w:rPr>
            </w:pPr>
            <w:r>
              <w:rPr>
                <w:sz w:val="4"/>
                <w:szCs w:val="4"/>
              </w:rPr>
            </w:r>
          </w:p>
        </w:tc>
        <w:tc>
          <w:tcPr>
            <w:tcW w:w="3055" w:type="dxa"/>
            <w:gridSpan w:val="2"/>
            <w:tcBorders/>
            <w:vAlign w:val="center"/>
          </w:tcPr>
          <w:p>
            <w:pPr>
              <w:pStyle w:val="TableContents"/>
              <w:bidi w:val="0"/>
              <w:spacing w:before="0" w:after="283"/>
              <w:jc w:val="left"/>
              <w:rPr>
                <w:sz w:val="4"/>
                <w:szCs w:val="4"/>
              </w:rPr>
            </w:pPr>
            <w:r>
              <w:rPr>
                <w:sz w:val="4"/>
                <w:szCs w:val="4"/>
              </w:rPr>
            </w:r>
          </w:p>
        </w:tc>
      </w:tr>
      <w:tr>
        <w:trPr/>
        <w:tc>
          <w:tcPr>
            <w:tcW w:w="1027" w:type="dxa"/>
            <w:tcBorders/>
          </w:tcPr>
          <w:p>
            <w:pPr>
              <w:pStyle w:val="TableContents"/>
              <w:bidi w:val="0"/>
              <w:spacing w:before="0" w:after="283"/>
              <w:jc w:val="left"/>
              <w:rPr/>
            </w:pPr>
            <w:r>
              <w:rPr/>
              <w:t>Signature: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995"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1240"/>
        <w:gridCol w:w="60"/>
        <w:gridCol w:w="2782"/>
      </w:tblGrid>
      <w:tr>
        <w:trPr/>
        <w:tc>
          <w:tcPr>
            <w:tcW w:w="12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1240" w:type="dxa"/>
            <w:tcBorders/>
            <w:vAlign w:val="center"/>
          </w:tcPr>
          <w:p>
            <w:pPr>
              <w:pStyle w:val="TableContents"/>
              <w:bidi w:val="0"/>
              <w:spacing w:before="0" w:after="283"/>
              <w:jc w:val="left"/>
              <w:rPr>
                <w:sz w:val="4"/>
                <w:szCs w:val="4"/>
              </w:rPr>
            </w:pPr>
            <w:r>
              <w:rPr>
                <w:sz w:val="4"/>
                <w:szCs w:val="4"/>
              </w:rPr>
            </w:r>
          </w:p>
        </w:tc>
        <w:tc>
          <w:tcPr>
            <w:tcW w:w="2842" w:type="dxa"/>
            <w:gridSpan w:val="2"/>
            <w:tcBorders/>
            <w:vAlign w:val="center"/>
          </w:tcPr>
          <w:p>
            <w:pPr>
              <w:pStyle w:val="TableContents"/>
              <w:bidi w:val="0"/>
              <w:spacing w:before="0" w:after="283"/>
              <w:jc w:val="left"/>
              <w:rPr>
                <w:sz w:val="4"/>
                <w:szCs w:val="4"/>
              </w:rPr>
            </w:pPr>
            <w:r>
              <w:rPr>
                <w:sz w:val="4"/>
                <w:szCs w:val="4"/>
              </w:rPr>
            </w:r>
          </w:p>
        </w:tc>
      </w:tr>
      <w:tr>
        <w:trPr/>
        <w:tc>
          <w:tcPr>
            <w:tcW w:w="1240" w:type="dxa"/>
            <w:tcBorders/>
          </w:tcPr>
          <w:p>
            <w:pPr>
              <w:pStyle w:val="TableContents"/>
              <w:bidi w:val="0"/>
              <w:spacing w:before="0" w:after="283"/>
              <w:jc w:val="left"/>
              <w:rPr/>
            </w:pPr>
            <w:r>
              <w:rPr/>
              <w:t>Print Name: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782"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 - 5 </w:t>
      </w:r>
    </w:p>
    <w:p>
      <w:pPr>
        <w:pStyle w:val="TextBody"/>
        <w:bidi w:val="0"/>
        <w:spacing w:before="0" w:after="0"/>
        <w:jc w:val="right"/>
        <w:rPr>
          <w:rFonts w:ascii="Times New Roman" w:hAnsi="Times New Roman"/>
          <w:b/>
          <w:sz w:val="20"/>
        </w:rPr>
      </w:pPr>
      <w:bookmarkStart w:id="6" w:name="d150490dex41.htm"/>
      <w:bookmarkStart w:id="7" w:name="ksd150490dex41"/>
      <w:bookmarkEnd w:id="6"/>
      <w:bookmarkEnd w:id="7"/>
      <w:r>
        <w:rPr>
          <w:rFonts w:ascii="Times New Roman" w:hAnsi="Times New Roman"/>
          <w:b/>
          <w:sz w:val="20"/>
        </w:rPr>
        <w:t xml:space="preserve">Execution Version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VAXCYTE, INC., </w:t>
      </w:r>
    </w:p>
    <w:p>
      <w:pPr>
        <w:pStyle w:val="TextBody"/>
        <w:bidi w:val="0"/>
        <w:spacing w:before="120" w:after="0"/>
        <w:jc w:val="center"/>
        <w:rPr>
          <w:rFonts w:ascii="Times New Roman" w:hAnsi="Times New Roman"/>
          <w:b/>
          <w:sz w:val="20"/>
        </w:rPr>
      </w:pPr>
      <w:r>
        <w:rPr>
          <w:rFonts w:ascii="Times New Roman" w:hAnsi="Times New Roman"/>
          <w:b/>
          <w:sz w:val="20"/>
        </w:rPr>
        <w:t xml:space="preserve">Issuer </w:t>
      </w:r>
    </w:p>
    <w:p>
      <w:pPr>
        <w:pStyle w:val="TextBody"/>
        <w:bidi w:val="0"/>
        <w:spacing w:before="120" w:after="0"/>
        <w:jc w:val="center"/>
        <w:rPr>
          <w:rFonts w:ascii="Times New Roman" w:hAnsi="Times New Roman"/>
          <w:b/>
          <w:sz w:val="20"/>
        </w:rPr>
      </w:pPr>
      <w:r>
        <w:rPr>
          <w:rFonts w:ascii="Times New Roman" w:hAnsi="Times New Roman"/>
          <w:b/>
          <w:sz w:val="20"/>
        </w:rPr>
        <w:t xml:space="preserve">AND </w:t>
      </w:r>
    </w:p>
    <w:p>
      <w:pPr>
        <w:pStyle w:val="TextBody"/>
        <w:bidi w:val="0"/>
        <w:spacing w:before="12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120" w:after="0"/>
        <w:jc w:val="center"/>
        <w:rPr>
          <w:rFonts w:ascii="Times New Roman" w:hAnsi="Times New Roman"/>
          <w:b/>
          <w:sz w:val="20"/>
        </w:rPr>
      </w:pPr>
      <w:r>
        <w:rPr>
          <w:rFonts w:ascii="Times New Roman" w:hAnsi="Times New Roman"/>
          <w:b/>
          <w:sz w:val="20"/>
        </w:rPr>
        <w:t xml:space="preserve">Trustee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120" w:after="0"/>
        <w:jc w:val="center"/>
        <w:rPr>
          <w:rFonts w:ascii="Times New Roman" w:hAnsi="Times New Roman"/>
          <w:b/>
          <w:sz w:val="20"/>
        </w:rPr>
      </w:pPr>
      <w:r>
        <w:rPr>
          <w:rFonts w:ascii="Times New Roman" w:hAnsi="Times New Roman"/>
          <w:b/>
          <w:sz w:val="20"/>
        </w:rPr>
        <w:t xml:space="preserve">Dated as of October 9,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Debt Securities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18"/>
        <w:gridCol w:w="128"/>
        <w:gridCol w:w="7807"/>
        <w:gridCol w:w="221"/>
        <w:gridCol w:w="60"/>
        <w:gridCol w:w="263"/>
        <w:gridCol w:w="208"/>
      </w:tblGrid>
      <w:tr>
        <w:trPr/>
        <w:tc>
          <w:tcPr>
            <w:tcW w:w="1518"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7807"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r>
      <w:tr>
        <w:trPr/>
        <w:tc>
          <w:tcPr>
            <w:tcW w:w="9453"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1 DEFINITIONS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w:t>
            </w:r>
          </w:p>
        </w:tc>
        <w:tc>
          <w:tcPr>
            <w:tcW w:w="208" w:type="dxa"/>
            <w:tcBorders/>
            <w:vAlign w:val="bottom"/>
          </w:tcPr>
          <w:p>
            <w:pPr>
              <w:pStyle w:val="TableContents"/>
              <w:bidi w:val="0"/>
              <w:spacing w:before="0" w:after="283"/>
              <w:jc w:val="left"/>
              <w:rPr/>
            </w:pPr>
            <w:r>
              <w:rPr/>
              <w:t> </w:t>
            </w:r>
          </w:p>
        </w:tc>
      </w:tr>
      <w:tr>
        <w:trPr>
          <w:trHeight w:val="120" w:hRule="atLeast"/>
        </w:trPr>
        <w:tc>
          <w:tcPr>
            <w:tcW w:w="1518" w:type="dxa"/>
            <w:tcBorders/>
            <w:vAlign w:val="center"/>
          </w:tcPr>
          <w:p>
            <w:pPr>
              <w:pStyle w:val="TableContents"/>
              <w:bidi w:val="0"/>
              <w:spacing w:before="0" w:after="283"/>
              <w:jc w:val="left"/>
              <w:rPr>
                <w:sz w:val="4"/>
                <w:szCs w:val="4"/>
              </w:rPr>
            </w:pPr>
            <w:r>
              <w:rPr>
                <w:sz w:val="4"/>
                <w:szCs w:val="4"/>
              </w:rPr>
            </w:r>
          </w:p>
        </w:tc>
        <w:tc>
          <w:tcPr>
            <w:tcW w:w="7935" w:type="dxa"/>
            <w:gridSpan w:val="2"/>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Definitions of Terms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w:t>
            </w:r>
          </w:p>
        </w:tc>
        <w:tc>
          <w:tcPr>
            <w:tcW w:w="208" w:type="dxa"/>
            <w:tcBorders/>
            <w:vAlign w:val="bottom"/>
          </w:tcPr>
          <w:p>
            <w:pPr>
              <w:pStyle w:val="TableContents"/>
              <w:bidi w:val="0"/>
              <w:spacing w:before="0" w:after="283"/>
              <w:jc w:val="left"/>
              <w:rPr/>
            </w:pPr>
            <w:r>
              <w:rPr/>
              <w:t> </w:t>
            </w:r>
          </w:p>
        </w:tc>
      </w:tr>
      <w:tr>
        <w:trPr>
          <w:trHeight w:val="120" w:hRule="atLeast"/>
        </w:trPr>
        <w:tc>
          <w:tcPr>
            <w:tcW w:w="9453" w:type="dxa"/>
            <w:gridSpan w:val="3"/>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2 ISSUE, DESCRIPTION, TERMS, EXECUTION, REGISTRATION AND EXCHANGE OF SECURITIES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w:t>
            </w:r>
          </w:p>
        </w:tc>
        <w:tc>
          <w:tcPr>
            <w:tcW w:w="208" w:type="dxa"/>
            <w:tcBorders/>
            <w:vAlign w:val="bottom"/>
          </w:tcPr>
          <w:p>
            <w:pPr>
              <w:pStyle w:val="TableContents"/>
              <w:bidi w:val="0"/>
              <w:spacing w:before="0" w:after="283"/>
              <w:jc w:val="left"/>
              <w:rPr/>
            </w:pPr>
            <w:r>
              <w:rPr/>
              <w:t> </w:t>
            </w:r>
          </w:p>
        </w:tc>
      </w:tr>
      <w:tr>
        <w:trPr>
          <w:trHeight w:val="120" w:hRule="atLeast"/>
        </w:trPr>
        <w:tc>
          <w:tcPr>
            <w:tcW w:w="1518" w:type="dxa"/>
            <w:tcBorders/>
            <w:vAlign w:val="center"/>
          </w:tcPr>
          <w:p>
            <w:pPr>
              <w:pStyle w:val="TableContents"/>
              <w:bidi w:val="0"/>
              <w:spacing w:before="0" w:after="283"/>
              <w:jc w:val="left"/>
              <w:rPr>
                <w:sz w:val="4"/>
                <w:szCs w:val="4"/>
              </w:rPr>
            </w:pPr>
            <w:r>
              <w:rPr>
                <w:sz w:val="4"/>
                <w:szCs w:val="4"/>
              </w:rPr>
            </w:r>
          </w:p>
        </w:tc>
        <w:tc>
          <w:tcPr>
            <w:tcW w:w="7935" w:type="dxa"/>
            <w:gridSpan w:val="2"/>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Designation and Terms of Securities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Form of Securities and Trustee’s Certificate</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Denominations: Provisions for Payment</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Execution and Authentications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10</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Registration of Transfer and Exchange</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10</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Temporary Securities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12</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Mutilated, Destroyed, Lost or Stolen Securities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12</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Cancellation</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13</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Benefits of Indenture</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13</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Authenticating Agent</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13</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Global Securities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14</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CUSIP Numbers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15</w:t>
            </w:r>
          </w:p>
        </w:tc>
        <w:tc>
          <w:tcPr>
            <w:tcW w:w="208" w:type="dxa"/>
            <w:tcBorders/>
            <w:vAlign w:val="bottom"/>
          </w:tcPr>
          <w:p>
            <w:pPr>
              <w:pStyle w:val="TableContents"/>
              <w:bidi w:val="0"/>
              <w:spacing w:before="0" w:after="283"/>
              <w:jc w:val="left"/>
              <w:rPr/>
            </w:pPr>
            <w:r>
              <w:rPr/>
              <w:t> </w:t>
            </w:r>
          </w:p>
        </w:tc>
      </w:tr>
      <w:tr>
        <w:trPr>
          <w:trHeight w:val="120" w:hRule="atLeast"/>
        </w:trPr>
        <w:tc>
          <w:tcPr>
            <w:tcW w:w="9453" w:type="dxa"/>
            <w:gridSpan w:val="3"/>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gridSpan w:val="3"/>
            <w:tcBorders/>
            <w:vAlign w:val="bottom"/>
          </w:tcPr>
          <w:p>
            <w:pPr>
              <w:pStyle w:val="TableContents"/>
              <w:bidi w:val="0"/>
              <w:spacing w:before="0" w:after="283"/>
              <w:jc w:val="left"/>
              <w:rPr/>
            </w:pPr>
            <w:r>
              <w:rPr/>
              <w:t>Article 3 REDEMPTION OF SECURITIES AND SINKING FUND PROVISIONS</w:t>
            </w:r>
          </w:p>
        </w:tc>
        <w:tc>
          <w:tcPr>
            <w:tcW w:w="221" w:type="dxa"/>
            <w:tcBorders/>
            <w:vAlign w:val="bottom"/>
          </w:tcPr>
          <w:p>
            <w:pPr>
              <w:pStyle w:val="TableContents"/>
              <w:bidi w:val="0"/>
              <w:spacing w:before="0" w:after="283"/>
              <w:jc w:val="left"/>
              <w:rPr/>
            </w:pPr>
            <w:r>
              <w:rPr/>
              <w:t>  </w:t>
            </w:r>
          </w:p>
        </w:tc>
        <w:tc>
          <w:tcPr>
            <w:tcW w:w="323" w:type="dxa"/>
            <w:gridSpan w:val="2"/>
            <w:tcBorders/>
            <w:vAlign w:val="bottom"/>
          </w:tcPr>
          <w:p>
            <w:pPr>
              <w:pStyle w:val="TableContents"/>
              <w:bidi w:val="0"/>
              <w:spacing w:before="0" w:after="283"/>
              <w:jc w:val="right"/>
              <w:rPr/>
            </w:pPr>
            <w:r>
              <w:rPr/>
              <w:t>15</w:t>
            </w:r>
          </w:p>
        </w:tc>
        <w:tc>
          <w:tcPr>
            <w:tcW w:w="208" w:type="dxa"/>
            <w:tcBorders/>
            <w:vAlign w:val="bottom"/>
          </w:tcPr>
          <w:p>
            <w:pPr>
              <w:pStyle w:val="TableContents"/>
              <w:bidi w:val="0"/>
              <w:spacing w:before="0" w:after="283"/>
              <w:jc w:val="left"/>
              <w:rPr/>
            </w:pPr>
            <w:r>
              <w:rPr/>
              <w:t> </w:t>
            </w:r>
          </w:p>
        </w:tc>
      </w:tr>
      <w:tr>
        <w:trPr>
          <w:trHeight w:val="120" w:hRule="atLeast"/>
        </w:trPr>
        <w:tc>
          <w:tcPr>
            <w:tcW w:w="1518" w:type="dxa"/>
            <w:tcBorders/>
            <w:vAlign w:val="center"/>
          </w:tcPr>
          <w:p>
            <w:pPr>
              <w:pStyle w:val="TableContents"/>
              <w:bidi w:val="0"/>
              <w:spacing w:before="0" w:after="283"/>
              <w:jc w:val="left"/>
              <w:rPr>
                <w:sz w:val="4"/>
                <w:szCs w:val="4"/>
              </w:rPr>
            </w:pPr>
            <w:r>
              <w:rPr>
                <w:sz w:val="4"/>
                <w:szCs w:val="4"/>
              </w:rPr>
            </w:r>
          </w:p>
        </w:tc>
        <w:tc>
          <w:tcPr>
            <w:tcW w:w="7935" w:type="dxa"/>
            <w:gridSpan w:val="2"/>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Redemption</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15</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Notice of Redemption</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15</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Payment Upon Redemption</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16</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Sinking Fund</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17</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Satisfaction of Sinking Fund Payments with Securities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17</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Redemption of Securities for Sinking Fund</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17</w:t>
            </w:r>
          </w:p>
        </w:tc>
        <w:tc>
          <w:tcPr>
            <w:tcW w:w="208" w:type="dxa"/>
            <w:tcBorders/>
            <w:vAlign w:val="bottom"/>
          </w:tcPr>
          <w:p>
            <w:pPr>
              <w:pStyle w:val="TableContents"/>
              <w:bidi w:val="0"/>
              <w:spacing w:before="0" w:after="283"/>
              <w:jc w:val="left"/>
              <w:rPr/>
            </w:pPr>
            <w:r>
              <w:rPr/>
              <w:t> </w:t>
            </w:r>
          </w:p>
        </w:tc>
      </w:tr>
      <w:tr>
        <w:trPr>
          <w:trHeight w:val="120" w:hRule="atLeast"/>
        </w:trPr>
        <w:tc>
          <w:tcPr>
            <w:tcW w:w="9453" w:type="dxa"/>
            <w:gridSpan w:val="3"/>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gridSpan w:val="3"/>
            <w:tcBorders/>
            <w:vAlign w:val="bottom"/>
          </w:tcPr>
          <w:p>
            <w:pPr>
              <w:pStyle w:val="TableContents"/>
              <w:bidi w:val="0"/>
              <w:spacing w:before="0" w:after="283"/>
              <w:jc w:val="left"/>
              <w:rPr/>
            </w:pPr>
            <w:r>
              <w:rPr/>
              <w:t>Article 4 COVENANTS</w:t>
            </w:r>
          </w:p>
        </w:tc>
        <w:tc>
          <w:tcPr>
            <w:tcW w:w="221" w:type="dxa"/>
            <w:tcBorders/>
            <w:vAlign w:val="bottom"/>
          </w:tcPr>
          <w:p>
            <w:pPr>
              <w:pStyle w:val="TableContents"/>
              <w:bidi w:val="0"/>
              <w:spacing w:before="0" w:after="283"/>
              <w:jc w:val="left"/>
              <w:rPr/>
            </w:pPr>
            <w:r>
              <w:rPr/>
              <w:t>  </w:t>
            </w:r>
          </w:p>
        </w:tc>
        <w:tc>
          <w:tcPr>
            <w:tcW w:w="323" w:type="dxa"/>
            <w:gridSpan w:val="2"/>
            <w:tcBorders/>
            <w:vAlign w:val="bottom"/>
          </w:tcPr>
          <w:p>
            <w:pPr>
              <w:pStyle w:val="TableContents"/>
              <w:bidi w:val="0"/>
              <w:spacing w:before="0" w:after="283"/>
              <w:jc w:val="right"/>
              <w:rPr/>
            </w:pPr>
            <w:r>
              <w:rPr/>
              <w:t>18</w:t>
            </w:r>
          </w:p>
        </w:tc>
        <w:tc>
          <w:tcPr>
            <w:tcW w:w="208" w:type="dxa"/>
            <w:tcBorders/>
            <w:vAlign w:val="bottom"/>
          </w:tcPr>
          <w:p>
            <w:pPr>
              <w:pStyle w:val="TableContents"/>
              <w:bidi w:val="0"/>
              <w:spacing w:before="0" w:after="283"/>
              <w:jc w:val="left"/>
              <w:rPr/>
            </w:pPr>
            <w:r>
              <w:rPr/>
              <w:t> </w:t>
            </w:r>
          </w:p>
        </w:tc>
      </w:tr>
      <w:tr>
        <w:trPr>
          <w:trHeight w:val="120" w:hRule="atLeast"/>
        </w:trPr>
        <w:tc>
          <w:tcPr>
            <w:tcW w:w="1518" w:type="dxa"/>
            <w:tcBorders/>
            <w:vAlign w:val="center"/>
          </w:tcPr>
          <w:p>
            <w:pPr>
              <w:pStyle w:val="TableContents"/>
              <w:bidi w:val="0"/>
              <w:spacing w:before="0" w:after="283"/>
              <w:jc w:val="left"/>
              <w:rPr>
                <w:sz w:val="4"/>
                <w:szCs w:val="4"/>
              </w:rPr>
            </w:pPr>
            <w:r>
              <w:rPr>
                <w:sz w:val="4"/>
                <w:szCs w:val="4"/>
              </w:rPr>
            </w:r>
          </w:p>
        </w:tc>
        <w:tc>
          <w:tcPr>
            <w:tcW w:w="7935" w:type="dxa"/>
            <w:gridSpan w:val="2"/>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Payment of Principal, Premium and Interest</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18</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Maintenance of Office or Agency</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18</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Paying Agents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19</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Appointment to Fill Vacancy in Office of Trustee</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19</w:t>
            </w:r>
          </w:p>
        </w:tc>
        <w:tc>
          <w:tcPr>
            <w:tcW w:w="208" w:type="dxa"/>
            <w:tcBorders/>
            <w:vAlign w:val="bottom"/>
          </w:tcPr>
          <w:p>
            <w:pPr>
              <w:pStyle w:val="TableContents"/>
              <w:bidi w:val="0"/>
              <w:spacing w:before="0" w:after="283"/>
              <w:jc w:val="left"/>
              <w:rPr/>
            </w:pPr>
            <w:r>
              <w:rPr/>
              <w:t> </w:t>
            </w:r>
          </w:p>
        </w:tc>
      </w:tr>
      <w:tr>
        <w:trPr>
          <w:trHeight w:val="120" w:hRule="atLeast"/>
        </w:trPr>
        <w:tc>
          <w:tcPr>
            <w:tcW w:w="9453" w:type="dxa"/>
            <w:gridSpan w:val="3"/>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5 SECURITYHOLDERS’ LISTS AND REPORTS BY THE COMPANY AND THE TRUSTEE</w:t>
            </w:r>
          </w:p>
        </w:tc>
        <w:tc>
          <w:tcPr>
            <w:tcW w:w="22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20</w:t>
            </w:r>
          </w:p>
        </w:tc>
        <w:tc>
          <w:tcPr>
            <w:tcW w:w="208" w:type="dxa"/>
            <w:tcBorders/>
          </w:tcPr>
          <w:p>
            <w:pPr>
              <w:pStyle w:val="TableContents"/>
              <w:bidi w:val="0"/>
              <w:spacing w:before="0" w:after="283"/>
              <w:jc w:val="left"/>
              <w:rPr/>
            </w:pPr>
            <w:r>
              <w:rPr/>
              <w:t> </w:t>
            </w:r>
          </w:p>
        </w:tc>
      </w:tr>
      <w:tr>
        <w:trPr>
          <w:trHeight w:val="120" w:hRule="atLeast"/>
        </w:trPr>
        <w:tc>
          <w:tcPr>
            <w:tcW w:w="1518" w:type="dxa"/>
            <w:tcBorders/>
            <w:vAlign w:val="center"/>
          </w:tcPr>
          <w:p>
            <w:pPr>
              <w:pStyle w:val="TableContents"/>
              <w:bidi w:val="0"/>
              <w:spacing w:before="0" w:after="283"/>
              <w:jc w:val="left"/>
              <w:rPr>
                <w:sz w:val="4"/>
                <w:szCs w:val="4"/>
              </w:rPr>
            </w:pPr>
            <w:r>
              <w:rPr>
                <w:sz w:val="4"/>
                <w:szCs w:val="4"/>
              </w:rPr>
            </w:r>
          </w:p>
        </w:tc>
        <w:tc>
          <w:tcPr>
            <w:tcW w:w="7935" w:type="dxa"/>
            <w:gridSpan w:val="2"/>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Company to Furnish Trustee Names and Addresses of Securityholders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20</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Preservation Of Information; Communications With Securityholders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20</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Reports by the Company</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20</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Reports by the Trustee</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21</w:t>
            </w:r>
          </w:p>
        </w:tc>
        <w:tc>
          <w:tcPr>
            <w:tcW w:w="208" w:type="dxa"/>
            <w:tcBorders/>
            <w:vAlign w:val="bottom"/>
          </w:tcPr>
          <w:p>
            <w:pPr>
              <w:pStyle w:val="TableContents"/>
              <w:bidi w:val="0"/>
              <w:spacing w:before="0" w:after="283"/>
              <w:jc w:val="left"/>
              <w:rPr/>
            </w:pPr>
            <w:r>
              <w:rPr/>
              <w:t> </w:t>
            </w:r>
          </w:p>
        </w:tc>
      </w:tr>
      <w:tr>
        <w:trPr>
          <w:trHeight w:val="120" w:hRule="atLeast"/>
        </w:trPr>
        <w:tc>
          <w:tcPr>
            <w:tcW w:w="9453" w:type="dxa"/>
            <w:gridSpan w:val="3"/>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gridSpan w:val="3"/>
            <w:tcBorders/>
            <w:vAlign w:val="bottom"/>
          </w:tcPr>
          <w:p>
            <w:pPr>
              <w:pStyle w:val="TableContents"/>
              <w:bidi w:val="0"/>
              <w:spacing w:before="0" w:after="283"/>
              <w:jc w:val="left"/>
              <w:rPr/>
            </w:pPr>
            <w:r>
              <w:rPr/>
              <w:t>Article 6 REMEDIES OF THE TRUSTEE AND SECURITYHOLDERS ON EVENT OF DEFAULT</w:t>
            </w:r>
          </w:p>
        </w:tc>
        <w:tc>
          <w:tcPr>
            <w:tcW w:w="221" w:type="dxa"/>
            <w:tcBorders/>
            <w:vAlign w:val="bottom"/>
          </w:tcPr>
          <w:p>
            <w:pPr>
              <w:pStyle w:val="TableContents"/>
              <w:bidi w:val="0"/>
              <w:spacing w:before="0" w:after="283"/>
              <w:jc w:val="left"/>
              <w:rPr/>
            </w:pPr>
            <w:r>
              <w:rPr/>
              <w:t>  </w:t>
            </w:r>
          </w:p>
        </w:tc>
        <w:tc>
          <w:tcPr>
            <w:tcW w:w="323" w:type="dxa"/>
            <w:gridSpan w:val="2"/>
            <w:tcBorders/>
            <w:vAlign w:val="bottom"/>
          </w:tcPr>
          <w:p>
            <w:pPr>
              <w:pStyle w:val="TableContents"/>
              <w:bidi w:val="0"/>
              <w:spacing w:before="0" w:after="283"/>
              <w:jc w:val="right"/>
              <w:rPr/>
            </w:pPr>
            <w:r>
              <w:rPr/>
              <w:t>22</w:t>
            </w:r>
          </w:p>
        </w:tc>
        <w:tc>
          <w:tcPr>
            <w:tcW w:w="208" w:type="dxa"/>
            <w:tcBorders/>
            <w:vAlign w:val="bottom"/>
          </w:tcPr>
          <w:p>
            <w:pPr>
              <w:pStyle w:val="TableContents"/>
              <w:bidi w:val="0"/>
              <w:spacing w:before="0" w:after="283"/>
              <w:jc w:val="left"/>
              <w:rPr/>
            </w:pPr>
            <w:r>
              <w:rPr/>
              <w:t> </w:t>
            </w:r>
          </w:p>
        </w:tc>
      </w:tr>
      <w:tr>
        <w:trPr>
          <w:trHeight w:val="120" w:hRule="atLeast"/>
        </w:trPr>
        <w:tc>
          <w:tcPr>
            <w:tcW w:w="1518" w:type="dxa"/>
            <w:tcBorders/>
            <w:vAlign w:val="center"/>
          </w:tcPr>
          <w:p>
            <w:pPr>
              <w:pStyle w:val="TableContents"/>
              <w:bidi w:val="0"/>
              <w:spacing w:before="0" w:after="283"/>
              <w:jc w:val="left"/>
              <w:rPr>
                <w:sz w:val="4"/>
                <w:szCs w:val="4"/>
              </w:rPr>
            </w:pPr>
            <w:r>
              <w:rPr>
                <w:sz w:val="4"/>
                <w:szCs w:val="4"/>
              </w:rPr>
            </w:r>
          </w:p>
        </w:tc>
        <w:tc>
          <w:tcPr>
            <w:tcW w:w="7935" w:type="dxa"/>
            <w:gridSpan w:val="2"/>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Events of Default</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22</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Collection of Indebtedness and Suits for Enforcement by Trustee</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23</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Application of Moneys Collected</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25</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Limitation on Suits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25</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Rights and Remedies Cumulative; Delay or Omission Not Waiver</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26</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Control by Securityholders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26</w:t>
            </w:r>
          </w:p>
        </w:tc>
        <w:tc>
          <w:tcPr>
            <w:tcW w:w="208" w:type="dxa"/>
            <w:tcBorders/>
            <w:vAlign w:val="bottom"/>
          </w:tcPr>
          <w:p>
            <w:pPr>
              <w:pStyle w:val="TableContents"/>
              <w:bidi w:val="0"/>
              <w:spacing w:before="0" w:after="283"/>
              <w:jc w:val="left"/>
              <w:rPr/>
            </w:pPr>
            <w:r>
              <w:rPr/>
              <w:t> </w:t>
            </w:r>
          </w:p>
        </w:tc>
      </w:tr>
      <w:tr>
        <w:trPr/>
        <w:tc>
          <w:tcPr>
            <w:tcW w:w="1518"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28"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283"/>
              <w:jc w:val="left"/>
              <w:rPr/>
            </w:pPr>
            <w:r>
              <w:rPr/>
              <w:t>Undertaking to Pay Costs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27</w:t>
            </w:r>
          </w:p>
        </w:tc>
        <w:tc>
          <w:tcPr>
            <w:tcW w:w="20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53"/>
        <w:gridCol w:w="128"/>
        <w:gridCol w:w="7773"/>
        <w:gridCol w:w="221"/>
        <w:gridCol w:w="60"/>
        <w:gridCol w:w="264"/>
        <w:gridCol w:w="206"/>
      </w:tblGrid>
      <w:tr>
        <w:trPr/>
        <w:tc>
          <w:tcPr>
            <w:tcW w:w="155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7773"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r>
      <w:tr>
        <w:trPr/>
        <w:tc>
          <w:tcPr>
            <w:tcW w:w="9454" w:type="dxa"/>
            <w:gridSpan w:val="3"/>
            <w:tcBorders/>
            <w:vAlign w:val="bottom"/>
          </w:tcPr>
          <w:p>
            <w:pPr>
              <w:pStyle w:val="TableContents"/>
              <w:bidi w:val="0"/>
              <w:spacing w:before="0" w:after="283"/>
              <w:jc w:val="left"/>
              <w:rPr/>
            </w:pPr>
            <w:r>
              <w:rPr/>
              <w:t>Article 7 CONCERNING THE TRUSTEE</w:t>
            </w:r>
          </w:p>
        </w:tc>
        <w:tc>
          <w:tcPr>
            <w:tcW w:w="221" w:type="dxa"/>
            <w:tcBorders/>
            <w:vAlign w:val="bottom"/>
          </w:tcPr>
          <w:p>
            <w:pPr>
              <w:pStyle w:val="TableContents"/>
              <w:bidi w:val="0"/>
              <w:spacing w:before="0" w:after="283"/>
              <w:jc w:val="left"/>
              <w:rPr/>
            </w:pPr>
            <w:r>
              <w:rPr/>
              <w:t>  </w:t>
            </w:r>
          </w:p>
        </w:tc>
        <w:tc>
          <w:tcPr>
            <w:tcW w:w="324" w:type="dxa"/>
            <w:gridSpan w:val="2"/>
            <w:tcBorders/>
            <w:vAlign w:val="bottom"/>
          </w:tcPr>
          <w:p>
            <w:pPr>
              <w:pStyle w:val="TableContents"/>
              <w:bidi w:val="0"/>
              <w:spacing w:before="0" w:after="283"/>
              <w:jc w:val="right"/>
              <w:rPr/>
            </w:pPr>
            <w:r>
              <w:rPr/>
              <w:t>27</w:t>
            </w:r>
          </w:p>
        </w:tc>
        <w:tc>
          <w:tcPr>
            <w:tcW w:w="206" w:type="dxa"/>
            <w:tcBorders/>
            <w:vAlign w:val="bottom"/>
          </w:tcPr>
          <w:p>
            <w:pPr>
              <w:pStyle w:val="TableContents"/>
              <w:bidi w:val="0"/>
              <w:spacing w:before="0" w:after="283"/>
              <w:jc w:val="left"/>
              <w:rPr/>
            </w:pPr>
            <w:r>
              <w:rPr/>
              <w:t> </w:t>
            </w:r>
          </w:p>
        </w:tc>
      </w:tr>
      <w:tr>
        <w:trPr>
          <w:trHeight w:val="120" w:hRule="atLeast"/>
        </w:trPr>
        <w:tc>
          <w:tcPr>
            <w:tcW w:w="1553" w:type="dxa"/>
            <w:tcBorders/>
            <w:vAlign w:val="center"/>
          </w:tcPr>
          <w:p>
            <w:pPr>
              <w:pStyle w:val="TableContents"/>
              <w:bidi w:val="0"/>
              <w:spacing w:before="0" w:after="283"/>
              <w:jc w:val="left"/>
              <w:rPr>
                <w:sz w:val="4"/>
                <w:szCs w:val="4"/>
              </w:rPr>
            </w:pPr>
            <w:r>
              <w:rPr>
                <w:sz w:val="4"/>
                <w:szCs w:val="4"/>
              </w:rPr>
            </w:r>
          </w:p>
        </w:tc>
        <w:tc>
          <w:tcPr>
            <w:tcW w:w="7901" w:type="dxa"/>
            <w:gridSpan w:val="2"/>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Certain Duties and Responsibilities of Trustee</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27</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Certain Rights of Trustee</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29</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Trustee Not Responsible for Recitals or Issuance or Securities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31</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May Hold Securities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31</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Moneys Held in Trust</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31</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Compensation and Reimbursement</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31</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Reliance on Officer’s Certificate</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32</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Disqualification; Conflicting Interests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32</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Corporate Trustee Required; Eligibility</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32</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Resignation and Removal; Appointment of Successor</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33</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Acceptance of Appointment By Successor</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34</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Merger, Conversion, Consolidation or Succession to Business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35</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Preferential Collection of Claims Against the Company</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36</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Notice of Default</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36</w:t>
            </w:r>
          </w:p>
        </w:tc>
        <w:tc>
          <w:tcPr>
            <w:tcW w:w="206" w:type="dxa"/>
            <w:tcBorders/>
            <w:vAlign w:val="bottom"/>
          </w:tcPr>
          <w:p>
            <w:pPr>
              <w:pStyle w:val="TableContents"/>
              <w:bidi w:val="0"/>
              <w:spacing w:before="0" w:after="283"/>
              <w:jc w:val="left"/>
              <w:rPr/>
            </w:pPr>
            <w:r>
              <w:rPr/>
              <w:t> </w:t>
            </w:r>
          </w:p>
        </w:tc>
      </w:tr>
      <w:tr>
        <w:trPr>
          <w:trHeight w:val="120" w:hRule="atLeast"/>
        </w:trPr>
        <w:tc>
          <w:tcPr>
            <w:tcW w:w="9454" w:type="dxa"/>
            <w:gridSpan w:val="3"/>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r>
      <w:tr>
        <w:trPr/>
        <w:tc>
          <w:tcPr>
            <w:tcW w:w="9454" w:type="dxa"/>
            <w:gridSpan w:val="3"/>
            <w:tcBorders/>
            <w:vAlign w:val="bottom"/>
          </w:tcPr>
          <w:p>
            <w:pPr>
              <w:pStyle w:val="TableContents"/>
              <w:bidi w:val="0"/>
              <w:spacing w:before="0" w:after="283"/>
              <w:jc w:val="left"/>
              <w:rPr/>
            </w:pPr>
            <w:r>
              <w:rPr/>
              <w:t>Article 8 CONCERNING THE SECURITYHOLDERS</w:t>
            </w:r>
          </w:p>
        </w:tc>
        <w:tc>
          <w:tcPr>
            <w:tcW w:w="221" w:type="dxa"/>
            <w:tcBorders/>
            <w:vAlign w:val="bottom"/>
          </w:tcPr>
          <w:p>
            <w:pPr>
              <w:pStyle w:val="TableContents"/>
              <w:bidi w:val="0"/>
              <w:spacing w:before="0" w:after="283"/>
              <w:jc w:val="left"/>
              <w:rPr/>
            </w:pPr>
            <w:r>
              <w:rPr/>
              <w:t>  </w:t>
            </w:r>
          </w:p>
        </w:tc>
        <w:tc>
          <w:tcPr>
            <w:tcW w:w="324" w:type="dxa"/>
            <w:gridSpan w:val="2"/>
            <w:tcBorders/>
            <w:vAlign w:val="bottom"/>
          </w:tcPr>
          <w:p>
            <w:pPr>
              <w:pStyle w:val="TableContents"/>
              <w:bidi w:val="0"/>
              <w:spacing w:before="0" w:after="283"/>
              <w:jc w:val="right"/>
              <w:rPr/>
            </w:pPr>
            <w:r>
              <w:rPr/>
              <w:t>36</w:t>
            </w:r>
          </w:p>
        </w:tc>
        <w:tc>
          <w:tcPr>
            <w:tcW w:w="206" w:type="dxa"/>
            <w:tcBorders/>
            <w:vAlign w:val="bottom"/>
          </w:tcPr>
          <w:p>
            <w:pPr>
              <w:pStyle w:val="TableContents"/>
              <w:bidi w:val="0"/>
              <w:spacing w:before="0" w:after="283"/>
              <w:jc w:val="left"/>
              <w:rPr/>
            </w:pPr>
            <w:r>
              <w:rPr/>
              <w:t> </w:t>
            </w:r>
          </w:p>
        </w:tc>
      </w:tr>
      <w:tr>
        <w:trPr>
          <w:trHeight w:val="120" w:hRule="atLeast"/>
        </w:trPr>
        <w:tc>
          <w:tcPr>
            <w:tcW w:w="1553" w:type="dxa"/>
            <w:tcBorders/>
            <w:vAlign w:val="center"/>
          </w:tcPr>
          <w:p>
            <w:pPr>
              <w:pStyle w:val="TableContents"/>
              <w:bidi w:val="0"/>
              <w:spacing w:before="0" w:after="283"/>
              <w:jc w:val="left"/>
              <w:rPr>
                <w:sz w:val="4"/>
                <w:szCs w:val="4"/>
              </w:rPr>
            </w:pPr>
            <w:r>
              <w:rPr>
                <w:sz w:val="4"/>
                <w:szCs w:val="4"/>
              </w:rPr>
            </w:r>
          </w:p>
        </w:tc>
        <w:tc>
          <w:tcPr>
            <w:tcW w:w="7901" w:type="dxa"/>
            <w:gridSpan w:val="2"/>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Evidence of Action by Securityholders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36</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Proof of Execution by Securityholders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37</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Who May be Deemed Owners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37</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Certain Securities Owned by Company Disregarded</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37</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Actions Binding on Future Securityholders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38</w:t>
            </w:r>
          </w:p>
        </w:tc>
        <w:tc>
          <w:tcPr>
            <w:tcW w:w="206" w:type="dxa"/>
            <w:tcBorders/>
            <w:vAlign w:val="bottom"/>
          </w:tcPr>
          <w:p>
            <w:pPr>
              <w:pStyle w:val="TableContents"/>
              <w:bidi w:val="0"/>
              <w:spacing w:before="0" w:after="283"/>
              <w:jc w:val="left"/>
              <w:rPr/>
            </w:pPr>
            <w:r>
              <w:rPr/>
              <w:t> </w:t>
            </w:r>
          </w:p>
        </w:tc>
      </w:tr>
      <w:tr>
        <w:trPr>
          <w:trHeight w:val="120" w:hRule="atLeast"/>
        </w:trPr>
        <w:tc>
          <w:tcPr>
            <w:tcW w:w="9454" w:type="dxa"/>
            <w:gridSpan w:val="3"/>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r>
      <w:tr>
        <w:trPr/>
        <w:tc>
          <w:tcPr>
            <w:tcW w:w="9454" w:type="dxa"/>
            <w:gridSpan w:val="3"/>
            <w:tcBorders/>
            <w:vAlign w:val="bottom"/>
          </w:tcPr>
          <w:p>
            <w:pPr>
              <w:pStyle w:val="TableContents"/>
              <w:bidi w:val="0"/>
              <w:spacing w:before="0" w:after="283"/>
              <w:jc w:val="left"/>
              <w:rPr/>
            </w:pPr>
            <w:r>
              <w:rPr/>
              <w:t>Article 9 SUPPLEMENTAL INDENTURES</w:t>
            </w:r>
          </w:p>
        </w:tc>
        <w:tc>
          <w:tcPr>
            <w:tcW w:w="221" w:type="dxa"/>
            <w:tcBorders/>
            <w:vAlign w:val="bottom"/>
          </w:tcPr>
          <w:p>
            <w:pPr>
              <w:pStyle w:val="TableContents"/>
              <w:bidi w:val="0"/>
              <w:spacing w:before="0" w:after="283"/>
              <w:jc w:val="left"/>
              <w:rPr/>
            </w:pPr>
            <w:r>
              <w:rPr/>
              <w:t>  </w:t>
            </w:r>
          </w:p>
        </w:tc>
        <w:tc>
          <w:tcPr>
            <w:tcW w:w="324" w:type="dxa"/>
            <w:gridSpan w:val="2"/>
            <w:tcBorders/>
            <w:vAlign w:val="bottom"/>
          </w:tcPr>
          <w:p>
            <w:pPr>
              <w:pStyle w:val="TableContents"/>
              <w:bidi w:val="0"/>
              <w:spacing w:before="0" w:after="283"/>
              <w:jc w:val="right"/>
              <w:rPr/>
            </w:pPr>
            <w:r>
              <w:rPr/>
              <w:t>38</w:t>
            </w:r>
          </w:p>
        </w:tc>
        <w:tc>
          <w:tcPr>
            <w:tcW w:w="206" w:type="dxa"/>
            <w:tcBorders/>
            <w:vAlign w:val="bottom"/>
          </w:tcPr>
          <w:p>
            <w:pPr>
              <w:pStyle w:val="TableContents"/>
              <w:bidi w:val="0"/>
              <w:spacing w:before="0" w:after="283"/>
              <w:jc w:val="left"/>
              <w:rPr/>
            </w:pPr>
            <w:r>
              <w:rPr/>
              <w:t> </w:t>
            </w:r>
          </w:p>
        </w:tc>
      </w:tr>
      <w:tr>
        <w:trPr>
          <w:trHeight w:val="120" w:hRule="atLeast"/>
        </w:trPr>
        <w:tc>
          <w:tcPr>
            <w:tcW w:w="1553" w:type="dxa"/>
            <w:tcBorders/>
            <w:vAlign w:val="center"/>
          </w:tcPr>
          <w:p>
            <w:pPr>
              <w:pStyle w:val="TableContents"/>
              <w:bidi w:val="0"/>
              <w:spacing w:before="0" w:after="283"/>
              <w:jc w:val="left"/>
              <w:rPr>
                <w:sz w:val="4"/>
                <w:szCs w:val="4"/>
              </w:rPr>
            </w:pPr>
            <w:r>
              <w:rPr>
                <w:sz w:val="4"/>
                <w:szCs w:val="4"/>
              </w:rPr>
            </w:r>
          </w:p>
        </w:tc>
        <w:tc>
          <w:tcPr>
            <w:tcW w:w="7901" w:type="dxa"/>
            <w:gridSpan w:val="2"/>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Supplemental Indentures Without the Consent of Securityholders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38</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Supplemental Indentures With Consent of Securityholders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39</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Effect of Supplemental Indentures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40</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Securities Affected by Supplemental Indentures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40</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Execution of Supplemental Indentures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40</w:t>
            </w:r>
          </w:p>
        </w:tc>
        <w:tc>
          <w:tcPr>
            <w:tcW w:w="206" w:type="dxa"/>
            <w:tcBorders/>
            <w:vAlign w:val="bottom"/>
          </w:tcPr>
          <w:p>
            <w:pPr>
              <w:pStyle w:val="TableContents"/>
              <w:bidi w:val="0"/>
              <w:spacing w:before="0" w:after="283"/>
              <w:jc w:val="left"/>
              <w:rPr/>
            </w:pPr>
            <w:r>
              <w:rPr/>
              <w:t> </w:t>
            </w:r>
          </w:p>
        </w:tc>
      </w:tr>
      <w:tr>
        <w:trPr>
          <w:trHeight w:val="120" w:hRule="atLeast"/>
        </w:trPr>
        <w:tc>
          <w:tcPr>
            <w:tcW w:w="9454" w:type="dxa"/>
            <w:gridSpan w:val="3"/>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r>
      <w:tr>
        <w:trPr/>
        <w:tc>
          <w:tcPr>
            <w:tcW w:w="9454" w:type="dxa"/>
            <w:gridSpan w:val="3"/>
            <w:tcBorders/>
            <w:vAlign w:val="bottom"/>
          </w:tcPr>
          <w:p>
            <w:pPr>
              <w:pStyle w:val="TableContents"/>
              <w:bidi w:val="0"/>
              <w:spacing w:before="0" w:after="283"/>
              <w:jc w:val="left"/>
              <w:rPr/>
            </w:pPr>
            <w:r>
              <w:rPr/>
              <w:t>Article 10 SUCCESSOR ENTITY</w:t>
            </w:r>
          </w:p>
        </w:tc>
        <w:tc>
          <w:tcPr>
            <w:tcW w:w="221" w:type="dxa"/>
            <w:tcBorders/>
            <w:vAlign w:val="bottom"/>
          </w:tcPr>
          <w:p>
            <w:pPr>
              <w:pStyle w:val="TableContents"/>
              <w:bidi w:val="0"/>
              <w:spacing w:before="0" w:after="283"/>
              <w:jc w:val="left"/>
              <w:rPr/>
            </w:pPr>
            <w:r>
              <w:rPr/>
              <w:t>  </w:t>
            </w:r>
          </w:p>
        </w:tc>
        <w:tc>
          <w:tcPr>
            <w:tcW w:w="324" w:type="dxa"/>
            <w:gridSpan w:val="2"/>
            <w:tcBorders/>
            <w:vAlign w:val="bottom"/>
          </w:tcPr>
          <w:p>
            <w:pPr>
              <w:pStyle w:val="TableContents"/>
              <w:bidi w:val="0"/>
              <w:spacing w:before="0" w:after="283"/>
              <w:jc w:val="right"/>
              <w:rPr/>
            </w:pPr>
            <w:r>
              <w:rPr/>
              <w:t>41</w:t>
            </w:r>
          </w:p>
        </w:tc>
        <w:tc>
          <w:tcPr>
            <w:tcW w:w="206" w:type="dxa"/>
            <w:tcBorders/>
            <w:vAlign w:val="bottom"/>
          </w:tcPr>
          <w:p>
            <w:pPr>
              <w:pStyle w:val="TableContents"/>
              <w:bidi w:val="0"/>
              <w:spacing w:before="0" w:after="283"/>
              <w:jc w:val="left"/>
              <w:rPr/>
            </w:pPr>
            <w:r>
              <w:rPr/>
              <w:t> </w:t>
            </w:r>
          </w:p>
        </w:tc>
      </w:tr>
      <w:tr>
        <w:trPr>
          <w:trHeight w:val="120" w:hRule="atLeast"/>
        </w:trPr>
        <w:tc>
          <w:tcPr>
            <w:tcW w:w="1553" w:type="dxa"/>
            <w:tcBorders/>
            <w:vAlign w:val="center"/>
          </w:tcPr>
          <w:p>
            <w:pPr>
              <w:pStyle w:val="TableContents"/>
              <w:bidi w:val="0"/>
              <w:spacing w:before="0" w:after="283"/>
              <w:jc w:val="left"/>
              <w:rPr>
                <w:sz w:val="4"/>
                <w:szCs w:val="4"/>
              </w:rPr>
            </w:pPr>
            <w:r>
              <w:rPr>
                <w:sz w:val="4"/>
                <w:szCs w:val="4"/>
              </w:rPr>
            </w:r>
          </w:p>
        </w:tc>
        <w:tc>
          <w:tcPr>
            <w:tcW w:w="7901" w:type="dxa"/>
            <w:gridSpan w:val="2"/>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Company May Consolidate, Etc.</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41</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Successor Entity Substituted</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41</w:t>
            </w:r>
          </w:p>
        </w:tc>
        <w:tc>
          <w:tcPr>
            <w:tcW w:w="206" w:type="dxa"/>
            <w:tcBorders/>
            <w:vAlign w:val="bottom"/>
          </w:tcPr>
          <w:p>
            <w:pPr>
              <w:pStyle w:val="TableContents"/>
              <w:bidi w:val="0"/>
              <w:spacing w:before="0" w:after="283"/>
              <w:jc w:val="left"/>
              <w:rPr/>
            </w:pPr>
            <w:r>
              <w:rPr/>
              <w:t> </w:t>
            </w:r>
          </w:p>
        </w:tc>
      </w:tr>
      <w:tr>
        <w:trPr>
          <w:trHeight w:val="120" w:hRule="atLeast"/>
        </w:trPr>
        <w:tc>
          <w:tcPr>
            <w:tcW w:w="9454" w:type="dxa"/>
            <w:gridSpan w:val="3"/>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r>
      <w:tr>
        <w:trPr/>
        <w:tc>
          <w:tcPr>
            <w:tcW w:w="9454" w:type="dxa"/>
            <w:gridSpan w:val="3"/>
            <w:tcBorders/>
            <w:vAlign w:val="bottom"/>
          </w:tcPr>
          <w:p>
            <w:pPr>
              <w:pStyle w:val="TableContents"/>
              <w:bidi w:val="0"/>
              <w:spacing w:before="0" w:after="283"/>
              <w:jc w:val="left"/>
              <w:rPr/>
            </w:pPr>
            <w:r>
              <w:rPr/>
              <w:t>Article 11 SATISFACTION AND DISCHARGE</w:t>
            </w:r>
          </w:p>
        </w:tc>
        <w:tc>
          <w:tcPr>
            <w:tcW w:w="221" w:type="dxa"/>
            <w:tcBorders/>
            <w:vAlign w:val="bottom"/>
          </w:tcPr>
          <w:p>
            <w:pPr>
              <w:pStyle w:val="TableContents"/>
              <w:bidi w:val="0"/>
              <w:spacing w:before="0" w:after="283"/>
              <w:jc w:val="left"/>
              <w:rPr/>
            </w:pPr>
            <w:r>
              <w:rPr/>
              <w:t>  </w:t>
            </w:r>
          </w:p>
        </w:tc>
        <w:tc>
          <w:tcPr>
            <w:tcW w:w="324" w:type="dxa"/>
            <w:gridSpan w:val="2"/>
            <w:tcBorders/>
            <w:vAlign w:val="bottom"/>
          </w:tcPr>
          <w:p>
            <w:pPr>
              <w:pStyle w:val="TableContents"/>
              <w:bidi w:val="0"/>
              <w:spacing w:before="0" w:after="283"/>
              <w:jc w:val="right"/>
              <w:rPr/>
            </w:pPr>
            <w:r>
              <w:rPr/>
              <w:t>42</w:t>
            </w:r>
          </w:p>
        </w:tc>
        <w:tc>
          <w:tcPr>
            <w:tcW w:w="206" w:type="dxa"/>
            <w:tcBorders/>
            <w:vAlign w:val="bottom"/>
          </w:tcPr>
          <w:p>
            <w:pPr>
              <w:pStyle w:val="TableContents"/>
              <w:bidi w:val="0"/>
              <w:spacing w:before="0" w:after="283"/>
              <w:jc w:val="left"/>
              <w:rPr/>
            </w:pPr>
            <w:r>
              <w:rPr/>
              <w:t> </w:t>
            </w:r>
          </w:p>
        </w:tc>
      </w:tr>
      <w:tr>
        <w:trPr>
          <w:trHeight w:val="120" w:hRule="atLeast"/>
        </w:trPr>
        <w:tc>
          <w:tcPr>
            <w:tcW w:w="1553" w:type="dxa"/>
            <w:tcBorders/>
            <w:vAlign w:val="center"/>
          </w:tcPr>
          <w:p>
            <w:pPr>
              <w:pStyle w:val="TableContents"/>
              <w:bidi w:val="0"/>
              <w:spacing w:before="0" w:after="283"/>
              <w:jc w:val="left"/>
              <w:rPr>
                <w:sz w:val="4"/>
                <w:szCs w:val="4"/>
              </w:rPr>
            </w:pPr>
            <w:r>
              <w:rPr>
                <w:sz w:val="4"/>
                <w:szCs w:val="4"/>
              </w:rPr>
            </w:r>
          </w:p>
        </w:tc>
        <w:tc>
          <w:tcPr>
            <w:tcW w:w="7901" w:type="dxa"/>
            <w:gridSpan w:val="2"/>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Satisfaction and Discharge of Indenture</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42</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Discharge of Obligations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42</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Deposited Moneys to be Held in Trust</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43</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Payment of Moneys Held by Paying Agents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43</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Repayment to Company</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43</w:t>
            </w:r>
          </w:p>
        </w:tc>
        <w:tc>
          <w:tcPr>
            <w:tcW w:w="206" w:type="dxa"/>
            <w:tcBorders/>
            <w:vAlign w:val="bottom"/>
          </w:tcPr>
          <w:p>
            <w:pPr>
              <w:pStyle w:val="TableContents"/>
              <w:bidi w:val="0"/>
              <w:spacing w:before="0" w:after="283"/>
              <w:jc w:val="left"/>
              <w:rPr/>
            </w:pPr>
            <w:r>
              <w:rPr/>
              <w:t> </w:t>
            </w:r>
          </w:p>
        </w:tc>
      </w:tr>
      <w:tr>
        <w:trPr>
          <w:trHeight w:val="120" w:hRule="atLeast"/>
        </w:trPr>
        <w:tc>
          <w:tcPr>
            <w:tcW w:w="9454" w:type="dxa"/>
            <w:gridSpan w:val="3"/>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r>
      <w:tr>
        <w:trPr/>
        <w:tc>
          <w:tcPr>
            <w:tcW w:w="9454" w:type="dxa"/>
            <w:gridSpan w:val="3"/>
            <w:tcBorders/>
            <w:vAlign w:val="bottom"/>
          </w:tcPr>
          <w:p>
            <w:pPr>
              <w:pStyle w:val="TableContents"/>
              <w:bidi w:val="0"/>
              <w:spacing w:before="0" w:after="283"/>
              <w:jc w:val="left"/>
              <w:rPr/>
            </w:pPr>
            <w:r>
              <w:rPr/>
              <w:t>Article 12 IMMUNITY OF INCORPORATORS, STOCKHOLDERS, OFFICERS AND DIRECTORS</w:t>
            </w:r>
          </w:p>
        </w:tc>
        <w:tc>
          <w:tcPr>
            <w:tcW w:w="221" w:type="dxa"/>
            <w:tcBorders/>
            <w:vAlign w:val="bottom"/>
          </w:tcPr>
          <w:p>
            <w:pPr>
              <w:pStyle w:val="TableContents"/>
              <w:bidi w:val="0"/>
              <w:spacing w:before="0" w:after="283"/>
              <w:jc w:val="left"/>
              <w:rPr/>
            </w:pPr>
            <w:r>
              <w:rPr/>
              <w:t>  </w:t>
            </w:r>
          </w:p>
        </w:tc>
        <w:tc>
          <w:tcPr>
            <w:tcW w:w="324" w:type="dxa"/>
            <w:gridSpan w:val="2"/>
            <w:tcBorders/>
            <w:vAlign w:val="bottom"/>
          </w:tcPr>
          <w:p>
            <w:pPr>
              <w:pStyle w:val="TableContents"/>
              <w:bidi w:val="0"/>
              <w:spacing w:before="0" w:after="283"/>
              <w:jc w:val="right"/>
              <w:rPr/>
            </w:pPr>
            <w:r>
              <w:rPr/>
              <w:t>43</w:t>
            </w:r>
          </w:p>
        </w:tc>
        <w:tc>
          <w:tcPr>
            <w:tcW w:w="206" w:type="dxa"/>
            <w:tcBorders/>
            <w:vAlign w:val="bottom"/>
          </w:tcPr>
          <w:p>
            <w:pPr>
              <w:pStyle w:val="TableContents"/>
              <w:bidi w:val="0"/>
              <w:spacing w:before="0" w:after="283"/>
              <w:jc w:val="left"/>
              <w:rPr/>
            </w:pPr>
            <w:r>
              <w:rPr/>
              <w:t> </w:t>
            </w:r>
          </w:p>
        </w:tc>
      </w:tr>
      <w:tr>
        <w:trPr>
          <w:trHeight w:val="120" w:hRule="atLeast"/>
        </w:trPr>
        <w:tc>
          <w:tcPr>
            <w:tcW w:w="1553" w:type="dxa"/>
            <w:tcBorders/>
            <w:vAlign w:val="center"/>
          </w:tcPr>
          <w:p>
            <w:pPr>
              <w:pStyle w:val="TableContents"/>
              <w:bidi w:val="0"/>
              <w:spacing w:before="0" w:after="283"/>
              <w:jc w:val="left"/>
              <w:rPr>
                <w:sz w:val="4"/>
                <w:szCs w:val="4"/>
              </w:rPr>
            </w:pPr>
            <w:r>
              <w:rPr>
                <w:sz w:val="4"/>
                <w:szCs w:val="4"/>
              </w:rPr>
            </w:r>
          </w:p>
        </w:tc>
        <w:tc>
          <w:tcPr>
            <w:tcW w:w="7901" w:type="dxa"/>
            <w:gridSpan w:val="2"/>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No Recourse</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43</w:t>
            </w:r>
          </w:p>
        </w:tc>
        <w:tc>
          <w:tcPr>
            <w:tcW w:w="206" w:type="dxa"/>
            <w:tcBorders/>
            <w:vAlign w:val="bottom"/>
          </w:tcPr>
          <w:p>
            <w:pPr>
              <w:pStyle w:val="TableContents"/>
              <w:bidi w:val="0"/>
              <w:spacing w:before="0" w:after="283"/>
              <w:jc w:val="left"/>
              <w:rPr/>
            </w:pPr>
            <w:r>
              <w:rPr/>
              <w:t> </w:t>
            </w:r>
          </w:p>
        </w:tc>
      </w:tr>
      <w:tr>
        <w:trPr>
          <w:trHeight w:val="120" w:hRule="atLeast"/>
        </w:trPr>
        <w:tc>
          <w:tcPr>
            <w:tcW w:w="9454" w:type="dxa"/>
            <w:gridSpan w:val="3"/>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r>
      <w:tr>
        <w:trPr/>
        <w:tc>
          <w:tcPr>
            <w:tcW w:w="9454" w:type="dxa"/>
            <w:gridSpan w:val="3"/>
            <w:tcBorders/>
            <w:vAlign w:val="bottom"/>
          </w:tcPr>
          <w:p>
            <w:pPr>
              <w:pStyle w:val="TableContents"/>
              <w:bidi w:val="0"/>
              <w:spacing w:before="0" w:after="283"/>
              <w:jc w:val="left"/>
              <w:rPr/>
            </w:pPr>
            <w:r>
              <w:rPr/>
              <w:t>Article 13 MISCELLANEOUS PROVISIONS</w:t>
            </w:r>
          </w:p>
        </w:tc>
        <w:tc>
          <w:tcPr>
            <w:tcW w:w="221" w:type="dxa"/>
            <w:tcBorders/>
            <w:vAlign w:val="bottom"/>
          </w:tcPr>
          <w:p>
            <w:pPr>
              <w:pStyle w:val="TableContents"/>
              <w:bidi w:val="0"/>
              <w:spacing w:before="0" w:after="283"/>
              <w:jc w:val="left"/>
              <w:rPr/>
            </w:pPr>
            <w:r>
              <w:rPr/>
              <w:t>  </w:t>
            </w:r>
          </w:p>
        </w:tc>
        <w:tc>
          <w:tcPr>
            <w:tcW w:w="324" w:type="dxa"/>
            <w:gridSpan w:val="2"/>
            <w:tcBorders/>
            <w:vAlign w:val="bottom"/>
          </w:tcPr>
          <w:p>
            <w:pPr>
              <w:pStyle w:val="TableContents"/>
              <w:bidi w:val="0"/>
              <w:spacing w:before="0" w:after="283"/>
              <w:jc w:val="right"/>
              <w:rPr/>
            </w:pPr>
            <w:r>
              <w:rPr/>
              <w:t>44</w:t>
            </w:r>
          </w:p>
        </w:tc>
        <w:tc>
          <w:tcPr>
            <w:tcW w:w="206" w:type="dxa"/>
            <w:tcBorders/>
            <w:vAlign w:val="bottom"/>
          </w:tcPr>
          <w:p>
            <w:pPr>
              <w:pStyle w:val="TableContents"/>
              <w:bidi w:val="0"/>
              <w:spacing w:before="0" w:after="283"/>
              <w:jc w:val="left"/>
              <w:rPr/>
            </w:pPr>
            <w:r>
              <w:rPr/>
              <w:t> </w:t>
            </w:r>
          </w:p>
        </w:tc>
      </w:tr>
      <w:tr>
        <w:trPr>
          <w:trHeight w:val="120" w:hRule="atLeast"/>
        </w:trPr>
        <w:tc>
          <w:tcPr>
            <w:tcW w:w="1553" w:type="dxa"/>
            <w:tcBorders/>
            <w:vAlign w:val="center"/>
          </w:tcPr>
          <w:p>
            <w:pPr>
              <w:pStyle w:val="TableContents"/>
              <w:bidi w:val="0"/>
              <w:spacing w:before="0" w:after="283"/>
              <w:jc w:val="left"/>
              <w:rPr>
                <w:sz w:val="4"/>
                <w:szCs w:val="4"/>
              </w:rPr>
            </w:pPr>
            <w:r>
              <w:rPr>
                <w:sz w:val="4"/>
                <w:szCs w:val="4"/>
              </w:rPr>
            </w:r>
          </w:p>
        </w:tc>
        <w:tc>
          <w:tcPr>
            <w:tcW w:w="7901" w:type="dxa"/>
            <w:gridSpan w:val="2"/>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Effect on Successors and Assigns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44</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Actions by Successor</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44</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13.03</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Surrender of Company Powers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44</w:t>
            </w:r>
          </w:p>
        </w:tc>
        <w:tc>
          <w:tcPr>
            <w:tcW w:w="206" w:type="dxa"/>
            <w:tcBorders/>
            <w:vAlign w:val="bottom"/>
          </w:tcPr>
          <w:p>
            <w:pPr>
              <w:pStyle w:val="TableContents"/>
              <w:bidi w:val="0"/>
              <w:spacing w:before="0" w:after="283"/>
              <w:jc w:val="left"/>
              <w:rPr/>
            </w:pPr>
            <w:r>
              <w:rPr/>
              <w:t> </w:t>
            </w:r>
          </w:p>
        </w:tc>
      </w:tr>
      <w:tr>
        <w:trPr/>
        <w:tc>
          <w:tcPr>
            <w:tcW w:w="155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13.04</w:t>
            </w:r>
          </w:p>
        </w:tc>
        <w:tc>
          <w:tcPr>
            <w:tcW w:w="128" w:type="dxa"/>
            <w:tcBorders/>
            <w:vAlign w:val="bottom"/>
          </w:tcPr>
          <w:p>
            <w:pPr>
              <w:pStyle w:val="TableContents"/>
              <w:bidi w:val="0"/>
              <w:spacing w:before="0" w:after="283"/>
              <w:jc w:val="left"/>
              <w:rPr/>
            </w:pPr>
            <w:r>
              <w:rPr/>
              <w:t>  </w:t>
            </w:r>
          </w:p>
        </w:tc>
        <w:tc>
          <w:tcPr>
            <w:tcW w:w="7773" w:type="dxa"/>
            <w:tcBorders/>
          </w:tcPr>
          <w:p>
            <w:pPr>
              <w:pStyle w:val="TableContents"/>
              <w:bidi w:val="0"/>
              <w:spacing w:before="0" w:after="283"/>
              <w:jc w:val="left"/>
              <w:rPr/>
            </w:pPr>
            <w:r>
              <w:rPr/>
              <w:t>Notices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44</w:t>
            </w:r>
          </w:p>
        </w:tc>
        <w:tc>
          <w:tcPr>
            <w:tcW w:w="20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41"/>
        <w:gridCol w:w="127"/>
        <w:gridCol w:w="7789"/>
        <w:gridCol w:w="221"/>
        <w:gridCol w:w="60"/>
        <w:gridCol w:w="260"/>
        <w:gridCol w:w="207"/>
      </w:tblGrid>
      <w:tr>
        <w:trPr/>
        <w:tc>
          <w:tcPr>
            <w:tcW w:w="154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7789"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Section 13.05</w:t>
            </w:r>
          </w:p>
        </w:tc>
        <w:tc>
          <w:tcPr>
            <w:tcW w:w="127" w:type="dxa"/>
            <w:tcBorders/>
            <w:vAlign w:val="bottom"/>
          </w:tcPr>
          <w:p>
            <w:pPr>
              <w:pStyle w:val="TableContents"/>
              <w:bidi w:val="0"/>
              <w:spacing w:before="0" w:after="283"/>
              <w:jc w:val="left"/>
              <w:rPr/>
            </w:pPr>
            <w:r>
              <w:rPr/>
              <w:t>  </w:t>
            </w:r>
          </w:p>
        </w:tc>
        <w:tc>
          <w:tcPr>
            <w:tcW w:w="7789" w:type="dxa"/>
            <w:tcBorders/>
          </w:tcPr>
          <w:p>
            <w:pPr>
              <w:pStyle w:val="TableContents"/>
              <w:bidi w:val="0"/>
              <w:spacing w:before="0" w:after="283"/>
              <w:jc w:val="left"/>
              <w:rPr/>
            </w:pPr>
            <w:r>
              <w:rPr/>
              <w:t>Governing Law; Jury Trial Waiver</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207" w:type="dxa"/>
            <w:tcBorders/>
            <w:vAlign w:val="bottom"/>
          </w:tcPr>
          <w:p>
            <w:pPr>
              <w:pStyle w:val="TableContents"/>
              <w:bidi w:val="0"/>
              <w:spacing w:before="0" w:after="283"/>
              <w:jc w:val="left"/>
              <w:rPr/>
            </w:pPr>
            <w:r>
              <w:rPr/>
              <w:t> </w:t>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Section 13.06</w:t>
            </w:r>
          </w:p>
        </w:tc>
        <w:tc>
          <w:tcPr>
            <w:tcW w:w="127" w:type="dxa"/>
            <w:tcBorders/>
            <w:vAlign w:val="bottom"/>
          </w:tcPr>
          <w:p>
            <w:pPr>
              <w:pStyle w:val="TableContents"/>
              <w:bidi w:val="0"/>
              <w:spacing w:before="0" w:after="283"/>
              <w:jc w:val="left"/>
              <w:rPr/>
            </w:pPr>
            <w:r>
              <w:rPr/>
              <w:t>  </w:t>
            </w:r>
          </w:p>
        </w:tc>
        <w:tc>
          <w:tcPr>
            <w:tcW w:w="7789" w:type="dxa"/>
            <w:tcBorders/>
          </w:tcPr>
          <w:p>
            <w:pPr>
              <w:pStyle w:val="TableContents"/>
              <w:bidi w:val="0"/>
              <w:spacing w:before="0" w:after="283"/>
              <w:jc w:val="left"/>
              <w:rPr/>
            </w:pPr>
            <w:r>
              <w:rPr/>
              <w:t>Treatment of Securities as Debt</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207" w:type="dxa"/>
            <w:tcBorders/>
            <w:vAlign w:val="bottom"/>
          </w:tcPr>
          <w:p>
            <w:pPr>
              <w:pStyle w:val="TableContents"/>
              <w:bidi w:val="0"/>
              <w:spacing w:before="0" w:after="283"/>
              <w:jc w:val="left"/>
              <w:rPr/>
            </w:pPr>
            <w:r>
              <w:rPr/>
              <w:t> </w:t>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Section 13.07</w:t>
            </w:r>
          </w:p>
        </w:tc>
        <w:tc>
          <w:tcPr>
            <w:tcW w:w="127" w:type="dxa"/>
            <w:tcBorders/>
            <w:vAlign w:val="bottom"/>
          </w:tcPr>
          <w:p>
            <w:pPr>
              <w:pStyle w:val="TableContents"/>
              <w:bidi w:val="0"/>
              <w:spacing w:before="0" w:after="283"/>
              <w:jc w:val="left"/>
              <w:rPr/>
            </w:pPr>
            <w:r>
              <w:rPr/>
              <w:t>  </w:t>
            </w:r>
          </w:p>
        </w:tc>
        <w:tc>
          <w:tcPr>
            <w:tcW w:w="7789" w:type="dxa"/>
            <w:tcBorders/>
          </w:tcPr>
          <w:p>
            <w:pPr>
              <w:pStyle w:val="TableContents"/>
              <w:bidi w:val="0"/>
              <w:spacing w:before="0" w:after="283"/>
              <w:jc w:val="left"/>
              <w:rPr/>
            </w:pPr>
            <w:r>
              <w:rPr/>
              <w:t>Certificates and Opinions as to Conditions Precedent</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207" w:type="dxa"/>
            <w:tcBorders/>
            <w:vAlign w:val="bottom"/>
          </w:tcPr>
          <w:p>
            <w:pPr>
              <w:pStyle w:val="TableContents"/>
              <w:bidi w:val="0"/>
              <w:spacing w:before="0" w:after="283"/>
              <w:jc w:val="left"/>
              <w:rPr/>
            </w:pPr>
            <w:r>
              <w:rPr/>
              <w:t> </w:t>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Section 13.08</w:t>
            </w:r>
          </w:p>
        </w:tc>
        <w:tc>
          <w:tcPr>
            <w:tcW w:w="127" w:type="dxa"/>
            <w:tcBorders/>
            <w:vAlign w:val="bottom"/>
          </w:tcPr>
          <w:p>
            <w:pPr>
              <w:pStyle w:val="TableContents"/>
              <w:bidi w:val="0"/>
              <w:spacing w:before="0" w:after="283"/>
              <w:jc w:val="left"/>
              <w:rPr/>
            </w:pPr>
            <w:r>
              <w:rPr/>
              <w:t>  </w:t>
            </w:r>
          </w:p>
        </w:tc>
        <w:tc>
          <w:tcPr>
            <w:tcW w:w="7789" w:type="dxa"/>
            <w:tcBorders/>
          </w:tcPr>
          <w:p>
            <w:pPr>
              <w:pStyle w:val="TableContents"/>
              <w:bidi w:val="0"/>
              <w:spacing w:before="0" w:after="283"/>
              <w:jc w:val="left"/>
              <w:rPr/>
            </w:pPr>
            <w:r>
              <w:rPr/>
              <w:t>Payments on Business Days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207" w:type="dxa"/>
            <w:tcBorders/>
            <w:vAlign w:val="bottom"/>
          </w:tcPr>
          <w:p>
            <w:pPr>
              <w:pStyle w:val="TableContents"/>
              <w:bidi w:val="0"/>
              <w:spacing w:before="0" w:after="283"/>
              <w:jc w:val="left"/>
              <w:rPr/>
            </w:pPr>
            <w:r>
              <w:rPr/>
              <w:t> </w:t>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Section 13.09</w:t>
            </w:r>
          </w:p>
        </w:tc>
        <w:tc>
          <w:tcPr>
            <w:tcW w:w="127" w:type="dxa"/>
            <w:tcBorders/>
            <w:vAlign w:val="bottom"/>
          </w:tcPr>
          <w:p>
            <w:pPr>
              <w:pStyle w:val="TableContents"/>
              <w:bidi w:val="0"/>
              <w:spacing w:before="0" w:after="283"/>
              <w:jc w:val="left"/>
              <w:rPr/>
            </w:pPr>
            <w:r>
              <w:rPr/>
              <w:t>  </w:t>
            </w:r>
          </w:p>
        </w:tc>
        <w:tc>
          <w:tcPr>
            <w:tcW w:w="7789" w:type="dxa"/>
            <w:tcBorders/>
          </w:tcPr>
          <w:p>
            <w:pPr>
              <w:pStyle w:val="TableContents"/>
              <w:bidi w:val="0"/>
              <w:spacing w:before="0" w:after="283"/>
              <w:jc w:val="left"/>
              <w:rPr/>
            </w:pPr>
            <w:r>
              <w:rPr/>
              <w:t>Conflict with Trust Indenture Act</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207" w:type="dxa"/>
            <w:tcBorders/>
            <w:vAlign w:val="bottom"/>
          </w:tcPr>
          <w:p>
            <w:pPr>
              <w:pStyle w:val="TableContents"/>
              <w:bidi w:val="0"/>
              <w:spacing w:before="0" w:after="283"/>
              <w:jc w:val="left"/>
              <w:rPr/>
            </w:pPr>
            <w:r>
              <w:rPr/>
              <w:t> </w:t>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Section 13.10</w:t>
            </w:r>
          </w:p>
        </w:tc>
        <w:tc>
          <w:tcPr>
            <w:tcW w:w="127" w:type="dxa"/>
            <w:tcBorders/>
            <w:vAlign w:val="bottom"/>
          </w:tcPr>
          <w:p>
            <w:pPr>
              <w:pStyle w:val="TableContents"/>
              <w:bidi w:val="0"/>
              <w:spacing w:before="0" w:after="283"/>
              <w:jc w:val="left"/>
              <w:rPr/>
            </w:pPr>
            <w:r>
              <w:rPr/>
              <w:t>  </w:t>
            </w:r>
          </w:p>
        </w:tc>
        <w:tc>
          <w:tcPr>
            <w:tcW w:w="7789" w:type="dxa"/>
            <w:tcBorders/>
          </w:tcPr>
          <w:p>
            <w:pPr>
              <w:pStyle w:val="TableContents"/>
              <w:bidi w:val="0"/>
              <w:spacing w:before="0" w:after="283"/>
              <w:jc w:val="left"/>
              <w:rPr/>
            </w:pPr>
            <w:r>
              <w:rPr/>
              <w:t>Counterparts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207" w:type="dxa"/>
            <w:tcBorders/>
            <w:vAlign w:val="bottom"/>
          </w:tcPr>
          <w:p>
            <w:pPr>
              <w:pStyle w:val="TableContents"/>
              <w:bidi w:val="0"/>
              <w:spacing w:before="0" w:after="283"/>
              <w:jc w:val="left"/>
              <w:rPr/>
            </w:pPr>
            <w:r>
              <w:rPr/>
              <w:t> </w:t>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Section 13.11</w:t>
            </w:r>
          </w:p>
        </w:tc>
        <w:tc>
          <w:tcPr>
            <w:tcW w:w="127" w:type="dxa"/>
            <w:tcBorders/>
            <w:vAlign w:val="bottom"/>
          </w:tcPr>
          <w:p>
            <w:pPr>
              <w:pStyle w:val="TableContents"/>
              <w:bidi w:val="0"/>
              <w:spacing w:before="0" w:after="283"/>
              <w:jc w:val="left"/>
              <w:rPr/>
            </w:pPr>
            <w:r>
              <w:rPr/>
              <w:t>  </w:t>
            </w:r>
          </w:p>
        </w:tc>
        <w:tc>
          <w:tcPr>
            <w:tcW w:w="7789" w:type="dxa"/>
            <w:tcBorders/>
          </w:tcPr>
          <w:p>
            <w:pPr>
              <w:pStyle w:val="TableContents"/>
              <w:bidi w:val="0"/>
              <w:spacing w:before="0" w:after="283"/>
              <w:jc w:val="left"/>
              <w:rPr/>
            </w:pPr>
            <w:r>
              <w:rPr/>
              <w:t>Separability</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207" w:type="dxa"/>
            <w:tcBorders/>
            <w:vAlign w:val="bottom"/>
          </w:tcPr>
          <w:p>
            <w:pPr>
              <w:pStyle w:val="TableContents"/>
              <w:bidi w:val="0"/>
              <w:spacing w:before="0" w:after="283"/>
              <w:jc w:val="left"/>
              <w:rPr/>
            </w:pPr>
            <w:r>
              <w:rPr/>
              <w:t> </w:t>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Section 13.12</w:t>
            </w:r>
          </w:p>
        </w:tc>
        <w:tc>
          <w:tcPr>
            <w:tcW w:w="127" w:type="dxa"/>
            <w:tcBorders/>
            <w:vAlign w:val="bottom"/>
          </w:tcPr>
          <w:p>
            <w:pPr>
              <w:pStyle w:val="TableContents"/>
              <w:bidi w:val="0"/>
              <w:spacing w:before="0" w:after="283"/>
              <w:jc w:val="left"/>
              <w:rPr/>
            </w:pPr>
            <w:r>
              <w:rPr/>
              <w:t>  </w:t>
            </w:r>
          </w:p>
        </w:tc>
        <w:tc>
          <w:tcPr>
            <w:tcW w:w="7789" w:type="dxa"/>
            <w:tcBorders/>
          </w:tcPr>
          <w:p>
            <w:pPr>
              <w:pStyle w:val="TableContents"/>
              <w:bidi w:val="0"/>
              <w:spacing w:before="0" w:after="283"/>
              <w:jc w:val="left"/>
              <w:rPr/>
            </w:pPr>
            <w:r>
              <w:rPr/>
              <w:t>Compliance Certificates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207" w:type="dxa"/>
            <w:tcBorders/>
            <w:vAlign w:val="bottom"/>
          </w:tcPr>
          <w:p>
            <w:pPr>
              <w:pStyle w:val="TableContents"/>
              <w:bidi w:val="0"/>
              <w:spacing w:before="0" w:after="283"/>
              <w:jc w:val="left"/>
              <w:rPr/>
            </w:pPr>
            <w:r>
              <w:rPr/>
              <w:t> </w:t>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Section 13.13</w:t>
            </w:r>
          </w:p>
        </w:tc>
        <w:tc>
          <w:tcPr>
            <w:tcW w:w="127" w:type="dxa"/>
            <w:tcBorders/>
            <w:vAlign w:val="bottom"/>
          </w:tcPr>
          <w:p>
            <w:pPr>
              <w:pStyle w:val="TableContents"/>
              <w:bidi w:val="0"/>
              <w:spacing w:before="0" w:after="283"/>
              <w:jc w:val="left"/>
              <w:rPr/>
            </w:pPr>
            <w:r>
              <w:rPr/>
              <w:t>  </w:t>
            </w:r>
          </w:p>
        </w:tc>
        <w:tc>
          <w:tcPr>
            <w:tcW w:w="7789" w:type="dxa"/>
            <w:tcBorders/>
          </w:tcPr>
          <w:p>
            <w:pPr>
              <w:pStyle w:val="TableContents"/>
              <w:bidi w:val="0"/>
              <w:spacing w:before="0" w:after="283"/>
              <w:jc w:val="left"/>
              <w:rPr/>
            </w:pPr>
            <w:r>
              <w:rPr/>
              <w:t>U.S.A Patriot Act</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207" w:type="dxa"/>
            <w:tcBorders/>
            <w:vAlign w:val="bottom"/>
          </w:tcPr>
          <w:p>
            <w:pPr>
              <w:pStyle w:val="TableContents"/>
              <w:bidi w:val="0"/>
              <w:spacing w:before="0" w:after="283"/>
              <w:jc w:val="left"/>
              <w:rPr/>
            </w:pPr>
            <w:r>
              <w:rPr/>
              <w:t> </w:t>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Section 13.14</w:t>
            </w:r>
          </w:p>
        </w:tc>
        <w:tc>
          <w:tcPr>
            <w:tcW w:w="127" w:type="dxa"/>
            <w:tcBorders/>
            <w:vAlign w:val="bottom"/>
          </w:tcPr>
          <w:p>
            <w:pPr>
              <w:pStyle w:val="TableContents"/>
              <w:bidi w:val="0"/>
              <w:spacing w:before="0" w:after="283"/>
              <w:jc w:val="left"/>
              <w:rPr/>
            </w:pPr>
            <w:r>
              <w:rPr/>
              <w:t>  </w:t>
            </w:r>
          </w:p>
        </w:tc>
        <w:tc>
          <w:tcPr>
            <w:tcW w:w="7789" w:type="dxa"/>
            <w:tcBorders/>
          </w:tcPr>
          <w:p>
            <w:pPr>
              <w:pStyle w:val="TableContents"/>
              <w:bidi w:val="0"/>
              <w:spacing w:before="0" w:after="283"/>
              <w:jc w:val="left"/>
              <w:rPr/>
            </w:pPr>
            <w:r>
              <w:rPr/>
              <w:t>Force Majeure</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207" w:type="dxa"/>
            <w:tcBorders/>
            <w:vAlign w:val="bottom"/>
          </w:tcPr>
          <w:p>
            <w:pPr>
              <w:pStyle w:val="TableContents"/>
              <w:bidi w:val="0"/>
              <w:spacing w:before="0" w:after="283"/>
              <w:jc w:val="left"/>
              <w:rPr/>
            </w:pPr>
            <w:r>
              <w:rPr/>
              <w:t> </w:t>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Section 13.15</w:t>
            </w:r>
          </w:p>
        </w:tc>
        <w:tc>
          <w:tcPr>
            <w:tcW w:w="127" w:type="dxa"/>
            <w:tcBorders/>
            <w:vAlign w:val="bottom"/>
          </w:tcPr>
          <w:p>
            <w:pPr>
              <w:pStyle w:val="TableContents"/>
              <w:bidi w:val="0"/>
              <w:spacing w:before="0" w:after="283"/>
              <w:jc w:val="left"/>
              <w:rPr/>
            </w:pPr>
            <w:r>
              <w:rPr/>
              <w:t>  </w:t>
            </w:r>
          </w:p>
        </w:tc>
        <w:tc>
          <w:tcPr>
            <w:tcW w:w="7789" w:type="dxa"/>
            <w:tcBorders/>
          </w:tcPr>
          <w:p>
            <w:pPr>
              <w:pStyle w:val="TableContents"/>
              <w:bidi w:val="0"/>
              <w:spacing w:before="0" w:after="283"/>
              <w:jc w:val="left"/>
              <w:rPr/>
            </w:pPr>
            <w:r>
              <w:rPr/>
              <w:t>Table of Contents; Headings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20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left"/>
        <w:rPr>
          <w:rFonts w:ascii="Times New Roman" w:hAnsi="Times New Roman"/>
          <w:sz w:val="20"/>
        </w:rPr>
      </w:pPr>
      <w:r>
        <w:rPr>
          <w:rFonts w:ascii="Times New Roman" w:hAnsi="Times New Roman"/>
          <w:sz w:val="20"/>
        </w:rPr>
        <w:t xml:space="preserve">INDENTURE, dated as of October 9, 2026, among Vaxcyte, Inc., a Delaware corporation (the “Company”), and U.S. Bank Trust Company, National Association, as trustee (the “Trustee”): </w:t>
      </w:r>
    </w:p>
    <w:p>
      <w:pPr>
        <w:pStyle w:val="TextBody"/>
        <w:bidi w:val="0"/>
        <w:spacing w:before="120" w:after="0"/>
        <w:jc w:val="left"/>
        <w:rPr>
          <w:rFonts w:ascii="Times New Roman" w:hAnsi="Times New Roman"/>
          <w:sz w:val="20"/>
        </w:rPr>
      </w:pPr>
      <w:r>
        <w:rPr>
          <w:rFonts w:ascii="Times New Roman" w:hAnsi="Times New Roman"/>
          <w:sz w:val="20"/>
        </w:rPr>
        <w:t xml:space="preserve">WHEREAS,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WHEREAS, to provide the terms and conditions upon which the Securities are to be authenticated, issued and delivered, the Company has duly authorized the execution of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things necessary to make this Indenture a valid agreement of the Company, in accordance with its terms, have been done.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the purchase of the Securities by the holders thereof, it is mutually covenanted and agreed as follows for the equal and ratable benefit of the holders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 of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 </w:t>
      </w:r>
    </w:p>
    <w:p>
      <w:pPr>
        <w:pStyle w:val="TextBody"/>
        <w:bidi w:val="0"/>
        <w:spacing w:before="240" w:after="0"/>
        <w:jc w:val="left"/>
        <w:rPr/>
      </w:pPr>
      <w:r>
        <w:rPr/>
        <w:t>“</w:t>
      </w:r>
      <w:r>
        <w:rPr>
          <w:rFonts w:ascii="Times New Roman" w:hAnsi="Times New Roman"/>
          <w:sz w:val="20"/>
        </w:rPr>
        <w:t xml:space="preserve">Authenticating Agent” means the Trustee or an authenticating agent with respect to all or any of the series of Securities appointed by the Trustee pursuant to Section 2.10. </w:t>
      </w:r>
    </w:p>
    <w:p>
      <w:pPr>
        <w:pStyle w:val="TextBody"/>
        <w:bidi w:val="0"/>
        <w:spacing w:before="240" w:after="0"/>
        <w:jc w:val="left"/>
        <w:rPr/>
      </w:pPr>
      <w:r>
        <w:rPr/>
        <w:t>“</w:t>
      </w:r>
      <w:r>
        <w:rPr>
          <w:rFonts w:ascii="Times New Roman" w:hAnsi="Times New Roman"/>
          <w:sz w:val="20"/>
        </w:rPr>
        <w:t xml:space="preserve">Bankruptcy Law” means Title 11, U.S. Code, or any similar federal or state law for the relief of debtors. </w:t>
      </w:r>
    </w:p>
    <w:p>
      <w:pPr>
        <w:pStyle w:val="TextBody"/>
        <w:bidi w:val="0"/>
        <w:spacing w:before="240" w:after="0"/>
        <w:jc w:val="left"/>
        <w:rPr/>
      </w:pPr>
      <w:r>
        <w:rPr/>
        <w:t>“</w:t>
      </w:r>
      <w:r>
        <w:rPr>
          <w:rFonts w:ascii="Times New Roman" w:hAnsi="Times New Roman"/>
          <w:sz w:val="20"/>
        </w:rPr>
        <w:t xml:space="preserve">Board of Directors” means the Board of Directors (or the functional equivalent thereof) of the Company or any duly authorized committee of such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Board Resolution” means a copy of a resolution certified by the Secretary or an Assistant Secretary of the Company to have been duly adopted by the Board of Directors (or duly authorized committee thereof) and to be in full force and effect on the date of such certification. </w:t>
      </w:r>
    </w:p>
    <w:p>
      <w:pPr>
        <w:pStyle w:val="TextBody"/>
        <w:bidi w:val="0"/>
        <w:spacing w:before="240" w:after="0"/>
        <w:jc w:val="left"/>
        <w:rPr/>
      </w:pPr>
      <w:r>
        <w:rPr/>
        <w:t>“</w:t>
      </w:r>
      <w:r>
        <w:rPr>
          <w:rFonts w:ascii="Times New Roman" w:hAnsi="Times New Roman"/>
          <w:sz w:val="20"/>
        </w:rPr>
        <w:t xml:space="preserve">Business Day”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 </w:t>
      </w:r>
    </w:p>
    <w:p>
      <w:pPr>
        <w:pStyle w:val="TextBody"/>
        <w:bidi w:val="0"/>
        <w:spacing w:before="240" w:after="0"/>
        <w:jc w:val="left"/>
        <w:rPr/>
      </w:pPr>
      <w:r>
        <w:rPr/>
        <w:t>“</w:t>
      </w:r>
      <w:r>
        <w:rPr>
          <w:rFonts w:ascii="Times New Roman" w:hAnsi="Times New Roman"/>
          <w:sz w:val="20"/>
        </w:rPr>
        <w:t xml:space="preserve">Commission”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 </w:t>
      </w:r>
    </w:p>
    <w:p>
      <w:pPr>
        <w:pStyle w:val="TextBody"/>
        <w:bidi w:val="0"/>
        <w:spacing w:before="240" w:after="0"/>
        <w:jc w:val="left"/>
        <w:rPr/>
      </w:pPr>
      <w:r>
        <w:rPr/>
        <w:t>“</w:t>
      </w:r>
      <w:r>
        <w:rPr>
          <w:rFonts w:ascii="Times New Roman" w:hAnsi="Times New Roman"/>
          <w:sz w:val="20"/>
        </w:rPr>
        <w:t xml:space="preserve">Company” means Vaxcyte, Inc., a corporation duly organized and existing under the laws of the State of Delaware, and, subject to the provisions of Article Ten, shall also include its successors and assigns. </w:t>
      </w:r>
    </w:p>
    <w:p>
      <w:pPr>
        <w:pStyle w:val="TextBody"/>
        <w:bidi w:val="0"/>
        <w:spacing w:before="240" w:after="0"/>
        <w:jc w:val="left"/>
        <w:rPr/>
      </w:pPr>
      <w:r>
        <w:rPr/>
        <w:t>“</w:t>
      </w:r>
      <w:r>
        <w:rPr>
          <w:rFonts w:ascii="Times New Roman" w:hAnsi="Times New Roman"/>
          <w:sz w:val="20"/>
        </w:rPr>
        <w:t xml:space="preserve">Corporate Trust Office” means the office of the Trustee at which, at any particular time, its corporate trust business relating to this Indenture shall be principally administered, which office at the date hereof is located at 1 California Street, Suite 1000, San Francisco, CA 94111, Attn: D. Jason (Vaxcyte, Inc. Administrator). </w:t>
      </w:r>
    </w:p>
    <w:p>
      <w:pPr>
        <w:pStyle w:val="TextBody"/>
        <w:bidi w:val="0"/>
        <w:spacing w:before="240" w:after="0"/>
        <w:jc w:val="left"/>
        <w:rPr/>
      </w:pPr>
      <w:r>
        <w:rPr/>
        <w:t>“</w:t>
      </w:r>
      <w:r>
        <w:rPr>
          <w:rFonts w:ascii="Times New Roman" w:hAnsi="Times New Roman"/>
          <w:sz w:val="20"/>
        </w:rPr>
        <w:t xml:space="preserve">Custodian” means any receiver, trustee, assignee, liquidator or similar official under any Bankruptcy Law. </w:t>
      </w:r>
    </w:p>
    <w:p>
      <w:pPr>
        <w:pStyle w:val="TextBody"/>
        <w:bidi w:val="0"/>
        <w:spacing w:before="240" w:after="0"/>
        <w:jc w:val="left"/>
        <w:rPr/>
      </w:pPr>
      <w:r>
        <w:rPr/>
        <w:t>“</w:t>
      </w:r>
      <w:r>
        <w:rPr>
          <w:rFonts w:ascii="Times New Roman" w:hAnsi="Times New Roman"/>
          <w:sz w:val="20"/>
        </w:rPr>
        <w:t xml:space="preserve">Defaulted Interest” has the meaning set forth in Section 2.03. </w:t>
      </w:r>
    </w:p>
    <w:p>
      <w:pPr>
        <w:pStyle w:val="TextBody"/>
        <w:bidi w:val="0"/>
        <w:spacing w:before="240" w:after="0"/>
        <w:jc w:val="left"/>
        <w:rPr/>
      </w:pPr>
      <w:r>
        <w:rPr/>
        <w:t>“</w:t>
      </w:r>
      <w:r>
        <w:rPr>
          <w:rFonts w:ascii="Times New Roman" w:hAnsi="Times New Roman"/>
          <w:sz w:val="20"/>
        </w:rPr>
        <w:t xml:space="preserve">Depositary”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 </w:t>
      </w:r>
    </w:p>
    <w:p>
      <w:pPr>
        <w:pStyle w:val="TextBody"/>
        <w:bidi w:val="0"/>
        <w:spacing w:before="240" w:after="0"/>
        <w:jc w:val="left"/>
        <w:rPr/>
      </w:pPr>
      <w:r>
        <w:rPr/>
        <w:t>“</w:t>
      </w:r>
      <w:r>
        <w:rPr>
          <w:rFonts w:ascii="Times New Roman" w:hAnsi="Times New Roman"/>
          <w:sz w:val="20"/>
        </w:rPr>
        <w:t xml:space="preserve">Event of Default” means, with respect to Securities of a particular series, any event specified in Section 6.01, continued for the period of time, if any, therein designated. </w:t>
      </w:r>
    </w:p>
    <w:p>
      <w:pPr>
        <w:pStyle w:val="TextBody"/>
        <w:bidi w:val="0"/>
        <w:spacing w:before="240" w:after="0"/>
        <w:jc w:val="left"/>
        <w:rPr/>
      </w:pPr>
      <w:r>
        <w:rPr/>
        <w:t>“</w:t>
      </w:r>
      <w:r>
        <w:rPr>
          <w:rFonts w:ascii="Times New Roman" w:hAnsi="Times New Roman"/>
          <w:sz w:val="20"/>
        </w:rPr>
        <w:t xml:space="preserve">Exchange Act” means the United States Securities and Exchange Act of 1934, as amended, and the rules and regulations promulgated by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term “given”, “mailed”, “notify” or “sent”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Global Security”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 </w:t>
      </w:r>
    </w:p>
    <w:p>
      <w:pPr>
        <w:pStyle w:val="TextBody"/>
        <w:bidi w:val="0"/>
        <w:spacing w:before="240" w:after="0"/>
        <w:jc w:val="left"/>
        <w:rPr/>
      </w:pPr>
      <w:r>
        <w:rPr/>
        <w:t>“</w:t>
      </w:r>
      <w:r>
        <w:rPr>
          <w:rFonts w:ascii="Times New Roman" w:hAnsi="Times New Roman"/>
          <w:sz w:val="20"/>
        </w:rPr>
        <w:t xml:space="preserve">Governmental Obligations”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w:t>
      </w:r>
      <w:r>
        <w:rPr>
          <w:rFonts w:ascii="Times New Roman" w:hAnsi="Times New Roman"/>
          <w:i/>
          <w:sz w:val="20"/>
        </w:rPr>
        <w:t>provided, however</w:t>
      </w:r>
      <w:r>
        <w:rPr>
          <w:rFonts w:ascii="Times New Roman" w:hAnsi="Times New Roman"/>
          <w:sz w:val="20"/>
        </w:rPr>
        <w:t xml:space="preserve">,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 </w:t>
      </w:r>
    </w:p>
    <w:p>
      <w:pPr>
        <w:pStyle w:val="TextBody"/>
        <w:bidi w:val="0"/>
        <w:spacing w:before="240" w:after="0"/>
        <w:jc w:val="left"/>
        <w:rPr/>
      </w:pPr>
      <w:r>
        <w:rPr/>
        <w:t>“</w:t>
      </w:r>
      <w:r>
        <w:rPr>
          <w:rFonts w:ascii="Times New Roman" w:hAnsi="Times New Roman"/>
          <w:sz w:val="20"/>
        </w:rPr>
        <w:t xml:space="preserve">herein”, “hereof” and “hereunder”, and other words of similar import, refer to this Indenture as a whole and not to any particular Article, Section or other subdivision. </w:t>
      </w:r>
    </w:p>
    <w:p>
      <w:pPr>
        <w:pStyle w:val="TextBody"/>
        <w:bidi w:val="0"/>
        <w:spacing w:before="240" w:after="0"/>
        <w:jc w:val="left"/>
        <w:rPr/>
      </w:pPr>
      <w:r>
        <w:rPr/>
        <w:t>“</w:t>
      </w:r>
      <w:r>
        <w:rPr>
          <w:rFonts w:ascii="Times New Roman" w:hAnsi="Times New Roman"/>
          <w:sz w:val="20"/>
        </w:rPr>
        <w:t xml:space="preserve">Indenture”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 </w:t>
      </w:r>
    </w:p>
    <w:p>
      <w:pPr>
        <w:pStyle w:val="TextBody"/>
        <w:bidi w:val="0"/>
        <w:spacing w:before="240" w:after="0"/>
        <w:jc w:val="left"/>
        <w:rPr/>
      </w:pPr>
      <w:r>
        <w:rPr/>
        <w:t>“</w:t>
      </w:r>
      <w:r>
        <w:rPr>
          <w:rFonts w:ascii="Times New Roman" w:hAnsi="Times New Roman"/>
          <w:sz w:val="20"/>
        </w:rPr>
        <w:t xml:space="preserve">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 </w:t>
      </w:r>
    </w:p>
    <w:p>
      <w:pPr>
        <w:pStyle w:val="TextBody"/>
        <w:bidi w:val="0"/>
        <w:spacing w:before="240" w:after="0"/>
        <w:jc w:val="left"/>
        <w:rPr/>
      </w:pPr>
      <w:r>
        <w:rPr/>
        <w:t>“</w:t>
      </w:r>
      <w:r>
        <w:rPr>
          <w:rFonts w:ascii="Times New Roman" w:hAnsi="Times New Roman"/>
          <w:sz w:val="20"/>
        </w:rPr>
        <w:t xml:space="preserve">Officer”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 </w:t>
      </w:r>
    </w:p>
    <w:p>
      <w:pPr>
        <w:pStyle w:val="TextBody"/>
        <w:bidi w:val="0"/>
        <w:spacing w:before="240" w:after="0"/>
        <w:jc w:val="left"/>
        <w:rPr/>
      </w:pPr>
      <w:r>
        <w:rPr/>
        <w:t>“</w:t>
      </w:r>
      <w:r>
        <w:rPr>
          <w:rFonts w:ascii="Times New Roman" w:hAnsi="Times New Roman"/>
          <w:sz w:val="20"/>
        </w:rPr>
        <w:t xml:space="preserve">Officer’s Certificate” means a certificate signed by any Officer. Each such certificate shall include the statements provided for in Section 13.07, if and to the extent required by the provisions thereof. </w:t>
      </w:r>
    </w:p>
    <w:p>
      <w:pPr>
        <w:pStyle w:val="TextBody"/>
        <w:bidi w:val="0"/>
        <w:spacing w:before="240" w:after="0"/>
        <w:jc w:val="left"/>
        <w:rPr/>
      </w:pPr>
      <w:r>
        <w:rPr/>
        <w:t>“</w:t>
      </w:r>
      <w:r>
        <w:rPr>
          <w:rFonts w:ascii="Times New Roman" w:hAnsi="Times New Roman"/>
          <w:sz w:val="20"/>
        </w:rPr>
        <w:t xml:space="preserve">Opinion of Counsel”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w:t>
      </w:r>
      <w:r>
        <w:rPr>
          <w:rFonts w:ascii="Times New Roman" w:hAnsi="Times New Roman"/>
          <w:i/>
          <w:sz w:val="20"/>
        </w:rPr>
        <w:t>provided, however</w:t>
      </w:r>
      <w:r>
        <w:rPr>
          <w:rFonts w:ascii="Times New Roman" w:hAnsi="Times New Roman"/>
          <w:sz w:val="20"/>
        </w:rPr>
        <w:t xml:space="preserve">,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 </w:t>
      </w:r>
    </w:p>
    <w:p>
      <w:pPr>
        <w:pStyle w:val="TextBody"/>
        <w:bidi w:val="0"/>
        <w:spacing w:before="240" w:after="0"/>
        <w:jc w:val="left"/>
        <w:rPr/>
      </w:pPr>
      <w:r>
        <w:rPr/>
        <w:t>“</w:t>
      </w:r>
      <w:r>
        <w:rPr>
          <w:rFonts w:ascii="Times New Roman" w:hAnsi="Times New Roman"/>
          <w:sz w:val="20"/>
        </w:rPr>
        <w:t xml:space="preserve">Person” means any individual, corporation, partnership, joint venture, joint-stock company, limited liability company, association, trust, unincorporated organization, any other entity or organization, including a government or political subdivision or an agency or instrumentality thereof. </w:t>
      </w:r>
    </w:p>
    <w:p>
      <w:pPr>
        <w:pStyle w:val="TextBody"/>
        <w:bidi w:val="0"/>
        <w:spacing w:before="240" w:after="0"/>
        <w:jc w:val="left"/>
        <w:rPr/>
      </w:pPr>
      <w:r>
        <w:rPr/>
        <w:t>“</w:t>
      </w:r>
      <w:r>
        <w:rPr>
          <w:rFonts w:ascii="Times New Roman" w:hAnsi="Times New Roman"/>
          <w:sz w:val="20"/>
        </w:rPr>
        <w:t xml:space="preserve">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 </w:t>
      </w:r>
    </w:p>
    <w:p>
      <w:pPr>
        <w:pStyle w:val="TextBody"/>
        <w:bidi w:val="0"/>
        <w:spacing w:before="240" w:after="0"/>
        <w:jc w:val="left"/>
        <w:rPr/>
      </w:pPr>
      <w:r>
        <w:rPr/>
        <w:t>“</w:t>
      </w:r>
      <w:r>
        <w:rPr>
          <w:rFonts w:ascii="Times New Roman" w:hAnsi="Times New Roman"/>
          <w:sz w:val="20"/>
        </w:rPr>
        <w:t xml:space="preserve">Responsible Officer”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relating to this Indenture, any other officer to whom such matter is referred because of his or her knowledge of and familiarity with the particular subject and in each case who shall have direct responsibility for the administration of this Indenture. </w:t>
      </w:r>
    </w:p>
    <w:p>
      <w:pPr>
        <w:pStyle w:val="TextBody"/>
        <w:bidi w:val="0"/>
        <w:spacing w:before="240" w:after="0"/>
        <w:jc w:val="left"/>
        <w:rPr/>
      </w:pPr>
      <w:r>
        <w:rPr/>
        <w:t>“</w:t>
      </w:r>
      <w:r>
        <w:rPr>
          <w:rFonts w:ascii="Times New Roman" w:hAnsi="Times New Roman"/>
          <w:sz w:val="20"/>
        </w:rPr>
        <w:t xml:space="preserve">Securities” has the meaning stated in the first recital of this Indenture and more particularly means any Securities authenticated and delivered under this Indenture. </w:t>
      </w:r>
    </w:p>
    <w:p>
      <w:pPr>
        <w:pStyle w:val="TextBody"/>
        <w:bidi w:val="0"/>
        <w:spacing w:before="240" w:after="0"/>
        <w:jc w:val="left"/>
        <w:rPr/>
      </w:pPr>
      <w:r>
        <w:rPr/>
        <w:t>“</w:t>
      </w:r>
      <w:r>
        <w:rPr>
          <w:rFonts w:ascii="Times New Roman" w:hAnsi="Times New Roman"/>
          <w:sz w:val="20"/>
        </w:rPr>
        <w:t xml:space="preserve">Securities Act” means the Securities Act of 1933, as amended. </w:t>
      </w:r>
    </w:p>
    <w:p>
      <w:pPr>
        <w:pStyle w:val="TextBody"/>
        <w:bidi w:val="0"/>
        <w:spacing w:before="240" w:after="0"/>
        <w:jc w:val="left"/>
        <w:rPr/>
      </w:pPr>
      <w:r>
        <w:rPr/>
        <w:t>“</w:t>
      </w:r>
      <w:r>
        <w:rPr>
          <w:rFonts w:ascii="Times New Roman" w:hAnsi="Times New Roman"/>
          <w:sz w:val="20"/>
        </w:rPr>
        <w:t xml:space="preserve">Securityholder”, “holder of Securities”, “registered holder”, or other similar term, means the Person or Persons in whose name or names a particular Security is registered on the Security Register kept for that purpose in accordance with the terms of this Indenture. </w:t>
      </w:r>
    </w:p>
    <w:p>
      <w:pPr>
        <w:pStyle w:val="TextBody"/>
        <w:bidi w:val="0"/>
        <w:spacing w:before="240" w:after="0"/>
        <w:jc w:val="left"/>
        <w:rPr/>
      </w:pPr>
      <w:r>
        <w:rPr/>
        <w:t>“</w:t>
      </w:r>
      <w:r>
        <w:rPr>
          <w:rFonts w:ascii="Times New Roman" w:hAnsi="Times New Roman"/>
          <w:sz w:val="20"/>
        </w:rPr>
        <w:t xml:space="preserve">Security Register” and “Security Registrar” shall have the meanings as set forth in Section 2.05.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Subsidiary”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 </w:t>
      </w:r>
    </w:p>
    <w:p>
      <w:pPr>
        <w:pStyle w:val="TextBody"/>
        <w:bidi w:val="0"/>
        <w:spacing w:before="240" w:after="0"/>
        <w:jc w:val="left"/>
        <w:rPr/>
      </w:pPr>
      <w:r>
        <w:rPr/>
        <w:t>“</w:t>
      </w:r>
      <w:r>
        <w:rPr>
          <w:rFonts w:ascii="Times New Roman" w:hAnsi="Times New Roman"/>
          <w:sz w:val="20"/>
        </w:rPr>
        <w:t xml:space="preserve">Trustee” means U.S. Bank Trust Company, National Association,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 </w:t>
      </w:r>
    </w:p>
    <w:p>
      <w:pPr>
        <w:pStyle w:val="TextBody"/>
        <w:bidi w:val="0"/>
        <w:spacing w:before="240" w:after="0"/>
        <w:jc w:val="left"/>
        <w:rPr/>
      </w:pPr>
      <w:r>
        <w:rPr/>
        <w:t>“</w:t>
      </w:r>
      <w:r>
        <w:rPr>
          <w:rFonts w:ascii="Times New Roman" w:hAnsi="Times New Roman"/>
          <w:sz w:val="20"/>
        </w:rPr>
        <w:t xml:space="preserve">Trust Indenture Act” means the Trust Indenture Act of 1939, as amended. </w:t>
      </w:r>
    </w:p>
    <w:p>
      <w:pPr>
        <w:pStyle w:val="TextBody"/>
        <w:bidi w:val="0"/>
        <w:spacing w:before="240" w:after="0"/>
        <w:jc w:val="left"/>
        <w:rPr/>
      </w:pPr>
      <w:r>
        <w:rPr/>
        <w:t>“</w:t>
      </w:r>
      <w:r>
        <w:rPr>
          <w:rFonts w:ascii="Times New Roman" w:hAnsi="Times New Roman"/>
          <w:sz w:val="20"/>
        </w:rPr>
        <w:t xml:space="preserve">U.S.A. Patriot Act” means the Uniting and Strengthening America by Providing Appropriate Tools Required to Intercept and Obstruct Terrorism Act of 2001, Pub. L. 107-56, as amended and signed into law October 26, 2001.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ISSUE, DESCRIPTION, TERMS, EXECUTION, REGISTRATION AND EXCHANGE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Designation and Terms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 </w:t>
      </w:r>
    </w:p>
    <w:p>
      <w:pPr>
        <w:pStyle w:val="TextBody"/>
        <w:bidi w:val="0"/>
        <w:spacing w:before="120" w:after="0"/>
        <w:jc w:val="left"/>
        <w:rPr>
          <w:rFonts w:ascii="Times New Roman" w:hAnsi="Times New Roman"/>
          <w:sz w:val="20"/>
        </w:rPr>
      </w:pPr>
      <w:r>
        <w:rPr>
          <w:rFonts w:ascii="Times New Roman" w:hAnsi="Times New Roman"/>
          <w:sz w:val="20"/>
        </w:rPr>
        <w:t xml:space="preserve">(i) the title of the Securities of the series (which shall distinguish the Securities of that series from all other Securities); </w:t>
      </w:r>
    </w:p>
    <w:p>
      <w:pPr>
        <w:pStyle w:val="TextBody"/>
        <w:bidi w:val="0"/>
        <w:spacing w:before="120" w:after="0"/>
        <w:jc w:val="left"/>
        <w:rPr>
          <w:rFonts w:ascii="Times New Roman" w:hAnsi="Times New Roman"/>
          <w:sz w:val="20"/>
        </w:rPr>
      </w:pPr>
      <w:r>
        <w:rPr>
          <w:rFonts w:ascii="Times New Roman" w:hAnsi="Times New Roman"/>
          <w:sz w:val="20"/>
        </w:rPr>
        <w:t xml:space="preserve">(ii)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 </w:t>
      </w:r>
    </w:p>
    <w:p>
      <w:pPr>
        <w:pStyle w:val="TextBody"/>
        <w:bidi w:val="0"/>
        <w:spacing w:before="120" w:after="0"/>
        <w:jc w:val="left"/>
        <w:rPr>
          <w:rFonts w:ascii="Times New Roman" w:hAnsi="Times New Roman"/>
          <w:sz w:val="20"/>
        </w:rPr>
      </w:pPr>
      <w:r>
        <w:rPr>
          <w:rFonts w:ascii="Times New Roman" w:hAnsi="Times New Roman"/>
          <w:sz w:val="20"/>
        </w:rPr>
        <w:t xml:space="preserve">(iii) the maturity date or dates on which the principal of the Securities of the series is payable; </w:t>
      </w:r>
    </w:p>
    <w:p>
      <w:pPr>
        <w:pStyle w:val="TextBody"/>
        <w:bidi w:val="0"/>
        <w:spacing w:before="120" w:after="0"/>
        <w:jc w:val="left"/>
        <w:rPr>
          <w:rFonts w:ascii="Times New Roman" w:hAnsi="Times New Roman"/>
          <w:sz w:val="20"/>
        </w:rPr>
      </w:pPr>
      <w:r>
        <w:rPr>
          <w:rFonts w:ascii="Times New Roman" w:hAnsi="Times New Roman"/>
          <w:sz w:val="20"/>
        </w:rPr>
        <w:t xml:space="preserve">(iv) the form of the Securities of the series including the form of the certificate of authentication for such series; </w:t>
      </w:r>
    </w:p>
    <w:p>
      <w:pPr>
        <w:pStyle w:val="TextBody"/>
        <w:bidi w:val="0"/>
        <w:spacing w:before="120" w:after="0"/>
        <w:jc w:val="left"/>
        <w:rPr>
          <w:rFonts w:ascii="Times New Roman" w:hAnsi="Times New Roman"/>
          <w:sz w:val="20"/>
        </w:rPr>
      </w:pPr>
      <w:r>
        <w:rPr>
          <w:rFonts w:ascii="Times New Roman" w:hAnsi="Times New Roman"/>
          <w:sz w:val="20"/>
        </w:rPr>
        <w:t xml:space="preserve">(v) the applicability of any guarantees;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whether or not the Securities will be secured or unsecured, and the terms of any secured debt; </w:t>
      </w:r>
    </w:p>
    <w:p>
      <w:pPr>
        <w:pStyle w:val="TextBody"/>
        <w:bidi w:val="0"/>
        <w:spacing w:before="120" w:after="0"/>
        <w:jc w:val="left"/>
        <w:rPr>
          <w:rFonts w:ascii="Times New Roman" w:hAnsi="Times New Roman"/>
          <w:sz w:val="20"/>
        </w:rPr>
      </w:pPr>
      <w:r>
        <w:rPr>
          <w:rFonts w:ascii="Times New Roman" w:hAnsi="Times New Roman"/>
          <w:sz w:val="20"/>
        </w:rPr>
        <w:t xml:space="preserve">(vii) whether the Securities rank as senior debt, senior subordinated debt, subordinated debt or any combination thereof, and the terms of any subordination; </w:t>
      </w:r>
    </w:p>
    <w:p>
      <w:pPr>
        <w:pStyle w:val="TextBody"/>
        <w:bidi w:val="0"/>
        <w:spacing w:before="120" w:after="0"/>
        <w:jc w:val="left"/>
        <w:rPr>
          <w:rFonts w:ascii="Times New Roman" w:hAnsi="Times New Roman"/>
          <w:sz w:val="20"/>
        </w:rPr>
      </w:pPr>
      <w:r>
        <w:rPr>
          <w:rFonts w:ascii="Times New Roman" w:hAnsi="Times New Roman"/>
          <w:sz w:val="20"/>
        </w:rPr>
        <w:t xml:space="preserve">(viii) 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 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p>
      <w:pPr>
        <w:pStyle w:val="TextBody"/>
        <w:bidi w:val="0"/>
        <w:spacing w:before="120" w:after="0"/>
        <w:jc w:val="left"/>
        <w:rPr>
          <w:rFonts w:ascii="Times New Roman" w:hAnsi="Times New Roman"/>
          <w:sz w:val="20"/>
        </w:rPr>
      </w:pPr>
      <w:r>
        <w:rPr>
          <w:rFonts w:ascii="Times New Roman" w:hAnsi="Times New Roman"/>
          <w:sz w:val="20"/>
        </w:rPr>
        <w:t xml:space="preserve">(ix) the Company’s right, if any, to defer the payment of interest and the maximum length of any such deferral period; </w:t>
      </w:r>
    </w:p>
    <w:p>
      <w:pPr>
        <w:pStyle w:val="TextBody"/>
        <w:bidi w:val="0"/>
        <w:spacing w:before="120" w:after="0"/>
        <w:jc w:val="left"/>
        <w:rPr>
          <w:rFonts w:ascii="Times New Roman" w:hAnsi="Times New Roman"/>
          <w:sz w:val="20"/>
        </w:rPr>
      </w:pPr>
      <w:r>
        <w:rPr>
          <w:rFonts w:ascii="Times New Roman" w:hAnsi="Times New Roman"/>
          <w:sz w:val="20"/>
        </w:rPr>
        <w:t xml:space="preserve">(x) 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 </w:t>
      </w:r>
    </w:p>
    <w:p>
      <w:pPr>
        <w:pStyle w:val="TextBody"/>
        <w:bidi w:val="0"/>
        <w:spacing w:before="120" w:after="0"/>
        <w:jc w:val="left"/>
        <w:rPr>
          <w:rFonts w:ascii="Times New Roman" w:hAnsi="Times New Roman"/>
          <w:sz w:val="20"/>
        </w:rPr>
      </w:pPr>
      <w:r>
        <w:rPr>
          <w:rFonts w:ascii="Times New Roman" w:hAnsi="Times New Roman"/>
          <w:sz w:val="20"/>
        </w:rPr>
        <w:t xml:space="preserve">(xi) 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 </w:t>
      </w:r>
    </w:p>
    <w:p>
      <w:pPr>
        <w:pStyle w:val="TextBody"/>
        <w:bidi w:val="0"/>
        <w:spacing w:before="120" w:after="0"/>
        <w:jc w:val="left"/>
        <w:rPr>
          <w:rFonts w:ascii="Times New Roman" w:hAnsi="Times New Roman"/>
          <w:sz w:val="20"/>
        </w:rPr>
      </w:pPr>
      <w:r>
        <w:rPr>
          <w:rFonts w:ascii="Times New Roman" w:hAnsi="Times New Roman"/>
          <w:sz w:val="20"/>
        </w:rPr>
        <w:t xml:space="preserve">(xii) the denominations in which the Securities of the series shall be issuable, if other than denominations of one thousand U.S. dollars ($1,000) or any integral multiple thereof; </w:t>
      </w:r>
    </w:p>
    <w:p>
      <w:pPr>
        <w:pStyle w:val="TextBody"/>
        <w:bidi w:val="0"/>
        <w:spacing w:before="120" w:after="0"/>
        <w:jc w:val="left"/>
        <w:rPr>
          <w:rFonts w:ascii="Times New Roman" w:hAnsi="Times New Roman"/>
          <w:sz w:val="20"/>
        </w:rPr>
      </w:pPr>
      <w:r>
        <w:rPr>
          <w:rFonts w:ascii="Times New Roman" w:hAnsi="Times New Roman"/>
          <w:sz w:val="20"/>
        </w:rPr>
        <w:t xml:space="preserve">(xiii) 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 </w:t>
      </w:r>
    </w:p>
    <w:p>
      <w:pPr>
        <w:pStyle w:val="TextBody"/>
        <w:bidi w:val="0"/>
        <w:spacing w:before="120" w:after="0"/>
        <w:jc w:val="left"/>
        <w:rPr>
          <w:rFonts w:ascii="Times New Roman" w:hAnsi="Times New Roman"/>
          <w:sz w:val="20"/>
        </w:rPr>
      </w:pPr>
      <w:r>
        <w:rPr>
          <w:rFonts w:ascii="Times New Roman" w:hAnsi="Times New Roman"/>
          <w:sz w:val="20"/>
        </w:rPr>
        <w:t xml:space="preserve">(xiv) 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p>
      <w:pPr>
        <w:pStyle w:val="TextBody"/>
        <w:bidi w:val="0"/>
        <w:spacing w:before="120" w:after="0"/>
        <w:jc w:val="left"/>
        <w:rPr>
          <w:rFonts w:ascii="Times New Roman" w:hAnsi="Times New Roman"/>
          <w:sz w:val="20"/>
        </w:rPr>
      </w:pPr>
      <w:r>
        <w:rPr>
          <w:rFonts w:ascii="Times New Roman" w:hAnsi="Times New Roman"/>
          <w:sz w:val="20"/>
        </w:rPr>
        <w:t xml:space="preserve">(xv) 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 if other than the full principal amount thereof, the portion of the principal amount of Securities of the series which shall be payable upon declaration of acceleration of the maturity thereof pursuant to Section 6.01; </w:t>
      </w:r>
    </w:p>
    <w:p>
      <w:pPr>
        <w:pStyle w:val="TextBody"/>
        <w:bidi w:val="0"/>
        <w:spacing w:before="120" w:after="0"/>
        <w:jc w:val="left"/>
        <w:rPr>
          <w:rFonts w:ascii="Times New Roman" w:hAnsi="Times New Roman"/>
          <w:sz w:val="20"/>
        </w:rPr>
      </w:pPr>
      <w:r>
        <w:rPr>
          <w:rFonts w:ascii="Times New Roman" w:hAnsi="Times New Roman"/>
          <w:sz w:val="20"/>
        </w:rPr>
        <w:t xml:space="preserve">(xvii) additions to or changes in the covenants applicable to the series of Securities being issued, including, among others, the consolidation, merger or sale covenant; </w:t>
      </w:r>
    </w:p>
    <w:p>
      <w:pPr>
        <w:pStyle w:val="TextBody"/>
        <w:bidi w:val="0"/>
        <w:spacing w:before="120" w:after="0"/>
        <w:jc w:val="left"/>
        <w:rPr>
          <w:rFonts w:ascii="Times New Roman" w:hAnsi="Times New Roman"/>
          <w:sz w:val="20"/>
        </w:rPr>
      </w:pPr>
      <w:r>
        <w:rPr>
          <w:rFonts w:ascii="Times New Roman" w:hAnsi="Times New Roman"/>
          <w:sz w:val="20"/>
        </w:rPr>
        <w:t xml:space="preserve">(xviii) additions to or changes in the Events of Default with respect to the Securities and any change in the right of the Trustee or the Securityholders to declare the principal, premium, if any, and interest, if any, with respect to such Securities to be due and payable; </w:t>
      </w:r>
    </w:p>
    <w:p>
      <w:pPr>
        <w:pStyle w:val="TextBody"/>
        <w:bidi w:val="0"/>
        <w:spacing w:before="120" w:after="0"/>
        <w:jc w:val="left"/>
        <w:rPr>
          <w:rFonts w:ascii="Times New Roman" w:hAnsi="Times New Roman"/>
          <w:sz w:val="20"/>
        </w:rPr>
      </w:pPr>
      <w:r>
        <w:rPr>
          <w:rFonts w:ascii="Times New Roman" w:hAnsi="Times New Roman"/>
          <w:sz w:val="20"/>
        </w:rPr>
        <w:t xml:space="preserve">(xix) additions to or changes in or deletions of the provisions relating to covenant defeasance and legal defeasance; </w:t>
      </w:r>
    </w:p>
    <w:p>
      <w:pPr>
        <w:pStyle w:val="TextBody"/>
        <w:bidi w:val="0"/>
        <w:spacing w:before="120" w:after="0"/>
        <w:jc w:val="left"/>
        <w:rPr>
          <w:rFonts w:ascii="Times New Roman" w:hAnsi="Times New Roman"/>
          <w:sz w:val="20"/>
        </w:rPr>
      </w:pPr>
      <w:r>
        <w:rPr>
          <w:rFonts w:ascii="Times New Roman" w:hAnsi="Times New Roman"/>
          <w:sz w:val="20"/>
        </w:rPr>
        <w:t xml:space="preserve">(xx) additions to or changes in the provisions relating to satisfaction and discharge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(xxi) additions to or changes in the provisions relating to the modification of this Indenture both with and without the consent of Securityholders of Securities issued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(xxii) the currency of payment of Securities if other than U.S. dollars and the manner of determining the equivalent amount in U.S. dollars; </w:t>
      </w:r>
    </w:p>
    <w:p>
      <w:pPr>
        <w:pStyle w:val="TextBody"/>
        <w:bidi w:val="0"/>
        <w:spacing w:before="120" w:after="0"/>
        <w:jc w:val="left"/>
        <w:rPr>
          <w:rFonts w:ascii="Times New Roman" w:hAnsi="Times New Roman"/>
          <w:sz w:val="20"/>
        </w:rPr>
      </w:pPr>
      <w:r>
        <w:rPr>
          <w:rFonts w:ascii="Times New Roman" w:hAnsi="Times New Roman"/>
          <w:sz w:val="20"/>
        </w:rPr>
        <w:t xml:space="preserve">(xxiii) whether interest will be payable in cash or additional Securities at the Company’s or the Securityholders’ option and the terms and conditions upon which the election may be made; </w:t>
      </w:r>
    </w:p>
    <w:p>
      <w:pPr>
        <w:pStyle w:val="TextBody"/>
        <w:bidi w:val="0"/>
        <w:spacing w:before="120" w:after="0"/>
        <w:jc w:val="left"/>
        <w:rPr>
          <w:rFonts w:ascii="Times New Roman" w:hAnsi="Times New Roman"/>
          <w:sz w:val="20"/>
        </w:rPr>
      </w:pPr>
      <w:r>
        <w:rPr>
          <w:rFonts w:ascii="Times New Roman" w:hAnsi="Times New Roman"/>
          <w:sz w:val="20"/>
        </w:rPr>
        <w:t xml:space="preserve">(xxiv) the terms and conditions, if any, upon which the Company shall pay amounts in addition to the stated interest, premium, if any and principal amounts of the Securities of the series to any Securityholder that is not a “United States person” for federal tax purposes; </w:t>
      </w:r>
    </w:p>
    <w:p>
      <w:pPr>
        <w:pStyle w:val="TextBody"/>
        <w:bidi w:val="0"/>
        <w:spacing w:before="120" w:after="0"/>
        <w:jc w:val="left"/>
        <w:rPr>
          <w:rFonts w:ascii="Times New Roman" w:hAnsi="Times New Roman"/>
          <w:sz w:val="20"/>
        </w:rPr>
      </w:pPr>
      <w:r>
        <w:rPr>
          <w:rFonts w:ascii="Times New Roman" w:hAnsi="Times New Roman"/>
          <w:sz w:val="20"/>
        </w:rPr>
        <w:t xml:space="preserve">(xxv) any restrictions on transfer, sale or assignment of the Securities of the series; and </w:t>
      </w:r>
    </w:p>
    <w:p>
      <w:pPr>
        <w:pStyle w:val="TextBody"/>
        <w:bidi w:val="0"/>
        <w:spacing w:before="120" w:after="0"/>
        <w:jc w:val="left"/>
        <w:rPr>
          <w:rFonts w:ascii="Times New Roman" w:hAnsi="Times New Roman"/>
          <w:sz w:val="20"/>
        </w:rPr>
      </w:pPr>
      <w:r>
        <w:rPr>
          <w:rFonts w:ascii="Times New Roman" w:hAnsi="Times New Roman"/>
          <w:sz w:val="20"/>
        </w:rPr>
        <w:t xml:space="preserve">(xxvi) any other specific terms, preferences, rights or limitations of, or restrictions on, the Securities, any other additions or changes in the provisions of this Indenture, and any terms that may be required by us or advisable under applicable laws or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Securities of any one series shall be substantially identical except as may otherwise be provided in or pursuant to any such Board Resolution or in any indentures supplemental hereto. </w:t>
      </w:r>
    </w:p>
    <w:p>
      <w:pPr>
        <w:pStyle w:val="TextBody"/>
        <w:bidi w:val="0"/>
        <w:spacing w:before="240" w:after="0"/>
        <w:jc w:val="left"/>
        <w:rPr>
          <w:rFonts w:ascii="Times New Roman" w:hAnsi="Times New Roman"/>
          <w:sz w:val="20"/>
        </w:rPr>
      </w:pPr>
      <w:r>
        <w:rPr>
          <w:rFonts w:ascii="Times New Roman" w:hAnsi="Times New Roman"/>
          <w:sz w:val="20"/>
        </w:rPr>
        <w:t xml:space="preserve">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Form of Securities and Trustee’s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Denominations: Provisions for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(a) or clause (b) below: </w:t>
      </w:r>
    </w:p>
    <w:p>
      <w:pPr>
        <w:pStyle w:val="TextBody"/>
        <w:bidi w:val="0"/>
        <w:spacing w:before="120" w:after="0"/>
        <w:jc w:val="left"/>
        <w:rPr>
          <w:rFonts w:ascii="Times New Roman" w:hAnsi="Times New Roman"/>
          <w:sz w:val="20"/>
        </w:rPr>
      </w:pPr>
      <w:r>
        <w:rPr>
          <w:rFonts w:ascii="Times New Roman" w:hAnsi="Times New Roman"/>
          <w:sz w:val="20"/>
        </w:rPr>
        <w:t xml:space="preserve">(a) 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not be more than 15 nor less than 10 days prior to the date of the proposed payment and not less than 10 days after the receipt by the Trustee of the notice of the proposed payment. The Company shall promptly notify the Trustee in writing of such special record date and, in the name and at the expense (and at the instruction)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Execution and Authentications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signed on behalf of the Company by one of its Officers. Signatures may be in the form of a manual, facsimile or electronic signature.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use the electronic or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Registration of 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appoints the Trustee as Security Registrar for each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 </w:t>
      </w:r>
    </w:p>
    <w:p>
      <w:pPr>
        <w:pStyle w:val="TextBody"/>
        <w:bidi w:val="0"/>
        <w:spacing w:before="240" w:after="0"/>
        <w:jc w:val="left"/>
        <w:rPr>
          <w:rFonts w:ascii="Times New Roman" w:hAnsi="Times New Roman"/>
          <w:sz w:val="20"/>
        </w:rPr>
      </w:pPr>
      <w:r>
        <w:rPr>
          <w:rFonts w:ascii="Times New Roman" w:hAnsi="Times New Roman"/>
          <w:sz w:val="20"/>
        </w:rPr>
        <w:t xml:space="preserve">(c) 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Neither the Trustee nor any Agent shall have any responsibility or liability for any actions taken or not taken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Temporary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Mutilated, Destroyed, Lost or Stolen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temporary or definitive Security shall become mutilated or be destroyed, lost or stolen, the Company (subject to the next succeeding sentence) shall execute, and upon the Company’s request in a Company Order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in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Benefits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Authenticating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Global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(c) 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CUSIP Numbers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REDEMPTION OF SECURITIES AND SINKING FUND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redeem the Securities of any series issued hereunder on and after the dates and in accordance with the terms established for such series pursuant to Section 2.01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(upon 5 Business Days’ written notice, unless a shorter period shall be satisfactory to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(b) 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subject to the applicable procedures of the Depositary)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Payment Upon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 </w:t>
      </w:r>
    </w:p>
    <w:p>
      <w:pPr>
        <w:pStyle w:val="TextBody"/>
        <w:bidi w:val="0"/>
        <w:spacing w:before="240" w:after="0"/>
        <w:jc w:val="left"/>
        <w:rPr>
          <w:rFonts w:ascii="Times New Roman" w:hAnsi="Times New Roman"/>
          <w:sz w:val="20"/>
        </w:rPr>
      </w:pPr>
      <w:r>
        <w:rPr>
          <w:rFonts w:ascii="Times New Roman" w:hAnsi="Times New Roman"/>
          <w:sz w:val="20"/>
        </w:rPr>
        <w:t xml:space="preserve">(b) 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Sections 3.04, 3.05 and 3.06 shall be applicable to any sinking fund for the retirement of Securities of a series, except as otherwise specified as contemplated by Section 2.01 for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Satisfaction of Sinking Fund Payments with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Redemption of Securities for 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Payment of Principal, Premium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Maintenance of Office or 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w:t>
      </w:r>
      <w:r>
        <w:rPr>
          <w:rFonts w:ascii="Times New Roman" w:hAnsi="Times New Roman"/>
          <w:i/>
          <w:sz w:val="20"/>
        </w:rPr>
        <w:t>provided, however</w:t>
      </w:r>
      <w:r>
        <w:rPr>
          <w:rFonts w:ascii="Times New Roman" w:hAnsi="Times New Roman"/>
          <w:sz w:val="20"/>
        </w:rPr>
        <w:t xml:space="preserve">, the Trustee shall not be considered an agent of the Company for service of process. The Company initially appoints the Corporate Trust Office of the Trustee as its paying agent with respect to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(i) 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 </w:t>
      </w:r>
    </w:p>
    <w:p>
      <w:pPr>
        <w:pStyle w:val="TextBody"/>
        <w:bidi w:val="0"/>
        <w:spacing w:before="120" w:after="0"/>
        <w:jc w:val="left"/>
        <w:rPr>
          <w:rFonts w:ascii="Times New Roman" w:hAnsi="Times New Roman"/>
          <w:sz w:val="20"/>
        </w:rPr>
      </w:pPr>
      <w:r>
        <w:rPr>
          <w:rFonts w:ascii="Times New Roman" w:hAnsi="Times New Roman"/>
          <w:sz w:val="20"/>
        </w:rPr>
        <w:t xml:space="preserve">(ii) that it will give the Trustee notice of any failure by the Company (or by any other obligor of such Securities) to make any payment of the principal of (and premium, if any) or interest on the Securities of that series when the same shall be due and payable; </w:t>
      </w:r>
    </w:p>
    <w:p>
      <w:pPr>
        <w:pStyle w:val="TextBody"/>
        <w:bidi w:val="0"/>
        <w:spacing w:before="120" w:after="0"/>
        <w:jc w:val="left"/>
        <w:rPr>
          <w:rFonts w:ascii="Times New Roman" w:hAnsi="Times New Roman"/>
          <w:sz w:val="20"/>
        </w:rPr>
      </w:pPr>
      <w:r>
        <w:rPr>
          <w:rFonts w:ascii="Times New Roman" w:hAnsi="Times New Roman"/>
          <w:sz w:val="20"/>
        </w:rPr>
        <w:t xml:space="preserve">(iii) that it will, at any time during the continuance of any failure referred to in the preceding paragraph (a)(2) above, upon the written request of the Trustee, forthwith pay to the Trustee all sums so held in trust by such paying agent; </w:t>
      </w:r>
    </w:p>
    <w:p>
      <w:pPr>
        <w:pStyle w:val="TextBody"/>
        <w:bidi w:val="0"/>
        <w:spacing w:before="120" w:after="0"/>
        <w:jc w:val="left"/>
        <w:rPr>
          <w:rFonts w:ascii="Times New Roman" w:hAnsi="Times New Roman"/>
          <w:sz w:val="20"/>
        </w:rPr>
      </w:pPr>
      <w:r>
        <w:rPr>
          <w:rFonts w:ascii="Times New Roman" w:hAnsi="Times New Roman"/>
          <w:sz w:val="20"/>
        </w:rPr>
        <w:t xml:space="preserve">(iv) that upon any receivership, insolvency, liquidation, bankruptcy, reorganization, readjustment, arrangement, composition or judicial proceedings affecting the Company, the Trustee will automatically be the Paying Agent; and </w:t>
      </w:r>
    </w:p>
    <w:p>
      <w:pPr>
        <w:pStyle w:val="TextBody"/>
        <w:bidi w:val="0"/>
        <w:spacing w:before="120" w:after="0"/>
        <w:jc w:val="left"/>
        <w:rPr>
          <w:rFonts w:ascii="Times New Roman" w:hAnsi="Times New Roman"/>
          <w:sz w:val="20"/>
        </w:rPr>
      </w:pPr>
      <w:r>
        <w:rPr>
          <w:rFonts w:ascii="Times New Roman" w:hAnsi="Times New Roman"/>
          <w:sz w:val="20"/>
        </w:rPr>
        <w:t xml:space="preserve">(v) that it will perform all other duties of paying agent as set forth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Appointment to Fill Vacancy in Office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whenever necessary to avoid or fill a vacancy in the office of Trustee, will appoint, in the manner provided in Section 7.10, a Trustee, so that there shall at all times be a Trustee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SECURITYHOLDERS’ LISTS AND REPORTS BY THE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Company to Furnish Trustee Names and Addresses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w:t>
      </w:r>
      <w:r>
        <w:rPr>
          <w:rFonts w:ascii="Times New Roman" w:hAnsi="Times New Roman"/>
          <w:i/>
          <w:sz w:val="20"/>
        </w:rPr>
        <w:t>provided, however</w:t>
      </w:r>
      <w:r>
        <w:rPr>
          <w:rFonts w:ascii="Times New Roman" w:hAnsi="Times New Roman"/>
          <w:sz w:val="20"/>
        </w:rPr>
        <w:t xml:space="preserve">, that, in either case, no such list need be furnished for any series for which the Trustee shall be the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Preservation Of Information; Communications With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(b) The Trustee may destroy any list furnished to it as provided in Section 5.01 upon receipt of a new list so furnished. </w:t>
      </w:r>
    </w:p>
    <w:p>
      <w:pPr>
        <w:pStyle w:val="TextBody"/>
        <w:bidi w:val="0"/>
        <w:spacing w:before="240" w:after="0"/>
        <w:jc w:val="left"/>
        <w:rPr>
          <w:rFonts w:ascii="Times New Roman" w:hAnsi="Times New Roman"/>
          <w:sz w:val="20"/>
        </w:rPr>
      </w:pPr>
      <w:r>
        <w:rPr>
          <w:rFonts w:ascii="Times New Roman" w:hAnsi="Times New Roman"/>
          <w:sz w:val="20"/>
        </w:rPr>
        <w:t xml:space="preserve">(c) 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Reports by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w:t>
      </w:r>
      <w:r>
        <w:rPr>
          <w:rFonts w:ascii="Times New Roman" w:hAnsi="Times New Roman"/>
          <w:i/>
          <w:sz w:val="20"/>
        </w:rPr>
        <w:t>provided, however</w:t>
      </w:r>
      <w:r>
        <w:rPr>
          <w:rFonts w:ascii="Times New Roman" w:hAnsi="Times New Roman"/>
          <w:sz w:val="20"/>
        </w:rPr>
        <w:t xml:space="preserve">,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 </w:t>
      </w:r>
    </w:p>
    <w:p>
      <w:pPr>
        <w:pStyle w:val="TextBody"/>
        <w:bidi w:val="0"/>
        <w:spacing w:before="240" w:after="0"/>
        <w:jc w:val="left"/>
        <w:rPr>
          <w:rFonts w:ascii="Times New Roman" w:hAnsi="Times New Roman"/>
          <w:sz w:val="20"/>
        </w:rPr>
      </w:pPr>
      <w:r>
        <w:rPr>
          <w:rFonts w:ascii="Times New Roman" w:hAnsi="Times New Roman"/>
          <w:sz w:val="20"/>
        </w:rPr>
        <w:t xml:space="preserve">(b) Delivery of reports, information and documents to the Trustee under Section 5.03 is for informational purposes only and the information and the Trustee’s receipt of the foregoing shall not constitute actual or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Reports by the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required by Section 313(a) of the Trust Indenture Act, the Trustee, within sixty (60) days after each May 1, shall send to the Securityholders a brief report dated as of such May 1, which complies with Section 313(a)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(b) The Trustee shall comply with Section 313(b) and 313(c)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(c) 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REMEDIES OF THE TRUSTEE AND SECURITYHOLDERS ON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Whenever used herein with respect to Securities of a particular series, “Event of Default” means any one or more of the following events that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(i) the Company defaults in the payment of any installment of interest upon any of the Securities of that series, as and when the same shall become due and payable, and such default continues for a period of 90 days; </w:t>
      </w:r>
      <w:r>
        <w:rPr>
          <w:rFonts w:ascii="Times New Roman" w:hAnsi="Times New Roman"/>
          <w:i/>
          <w:sz w:val="20"/>
        </w:rPr>
        <w:t>provided, however</w:t>
      </w:r>
      <w:r>
        <w:rPr>
          <w:rFonts w:ascii="Times New Roman" w:hAnsi="Times New Roman"/>
          <w:sz w:val="20"/>
        </w:rPr>
        <w:t xml:space="preserve">, that a valid extension of an interest payment period by the Company in accordance with the terms of any indenture supplemental hereto shall not constitute a default in the payment of interest for this purpose;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w:t>
      </w:r>
      <w:r>
        <w:rPr>
          <w:rFonts w:ascii="Times New Roman" w:hAnsi="Times New Roman"/>
          <w:i/>
          <w:sz w:val="20"/>
        </w:rPr>
        <w:t>provided, however</w:t>
      </w:r>
      <w:r>
        <w:rPr>
          <w:rFonts w:ascii="Times New Roman" w:hAnsi="Times New Roman"/>
          <w:sz w:val="20"/>
        </w:rPr>
        <w:t xml:space="preserve">, that a valid extension of the maturity of such Securities in accordance with the terms of any indenture supplemental hereto shall not constitute a default in the payment of principal or premium, if any;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(iv)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w:t>
      </w:r>
    </w:p>
    <w:p>
      <w:pPr>
        <w:pStyle w:val="TextBody"/>
        <w:bidi w:val="0"/>
        <w:spacing w:before="120" w:after="0"/>
        <w:jc w:val="left"/>
        <w:rPr>
          <w:rFonts w:ascii="Times New Roman" w:hAnsi="Times New Roman"/>
          <w:sz w:val="20"/>
        </w:rPr>
      </w:pPr>
      <w:r>
        <w:rPr>
          <w:rFonts w:ascii="Times New Roman" w:hAnsi="Times New Roman"/>
          <w:sz w:val="20"/>
        </w:rPr>
        <w:t xml:space="preserve">(v) 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 </w:t>
      </w:r>
    </w:p>
    <w:p>
      <w:pPr>
        <w:pStyle w:val="TextBody"/>
        <w:bidi w:val="0"/>
        <w:spacing w:before="240" w:after="0"/>
        <w:jc w:val="left"/>
        <w:rPr>
          <w:rFonts w:ascii="Times New Roman" w:hAnsi="Times New Roman"/>
          <w:sz w:val="20"/>
        </w:rPr>
      </w:pPr>
      <w:r>
        <w:rPr>
          <w:rFonts w:ascii="Times New Roman" w:hAnsi="Times New Roman"/>
          <w:sz w:val="20"/>
        </w:rPr>
        <w:t xml:space="preserve">(b) In each and every such case (other than an Event of Default specified in clause (iv) or clause (v)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(and premium, if any, on) and accrued and unpaid interest on all the Securities of that series to be due and payable immediately, and upon any such declaration the same shall become and shall be immediately due and payable. If an Event of Default specified in clause (iv) or clause (v) above occurs, the principal of and accrued and unpaid interest on all the Securities of that series shall automatically be immediately due and payable without any declaration or other act on the part of the Trustee or the holders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(c) 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and annulment shall extend to or shall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(d) 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Collection of Indebtedness and Suits for Enforcement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(c) 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 </w:t>
      </w:r>
    </w:p>
    <w:p>
      <w:pPr>
        <w:pStyle w:val="TextBody"/>
        <w:bidi w:val="0"/>
        <w:spacing w:before="240" w:after="0"/>
        <w:jc w:val="left"/>
        <w:rPr>
          <w:rFonts w:ascii="Times New Roman" w:hAnsi="Times New Roman"/>
          <w:sz w:val="20"/>
        </w:rPr>
      </w:pPr>
      <w:r>
        <w:rPr>
          <w:rFonts w:ascii="Times New Roman" w:hAnsi="Times New Roman"/>
          <w:sz w:val="20"/>
        </w:rPr>
        <w:t xml:space="preserve">(d) 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Application of Moneys Collected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moneys or property collected by the Trustee pursuant to this Article with respect to a particular series of Securities shall be applied in the following order, at the date or dates fixed by the Trustee and, in case of the distribution of such moneys or property on account of principal (or premium, if any) or interest, upon presentation of the Securities of that series, and notation thereon of the payment, if only partially paid, and upon surrender thereof if fully paid: </w:t>
      </w:r>
    </w:p>
    <w:p>
      <w:pPr>
        <w:pStyle w:val="TextBody"/>
        <w:bidi w:val="0"/>
        <w:spacing w:before="120" w:after="0"/>
        <w:jc w:val="left"/>
        <w:rPr>
          <w:rFonts w:ascii="Times New Roman" w:hAnsi="Times New Roman"/>
          <w:sz w:val="20"/>
        </w:rPr>
      </w:pPr>
      <w:r>
        <w:rPr>
          <w:rFonts w:ascii="Times New Roman" w:hAnsi="Times New Roman"/>
          <w:sz w:val="20"/>
        </w:rPr>
        <w:t xml:space="preserve">FIRST: To the payment of costs and expenses of collection and of all amounts payable to the Trustee under Section 7.06;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THIRD: To the payment of the remainder, if any, to the Company or any other Person lawfully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(it being understood that the Trustee does not have an affirmative duty to ascertain whether or not such actions or forbearance are unduly prejudicial to such holders),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Rights and Remedies Cumulative; Delay or Omission Not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(b) 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Control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w:t>
      </w:r>
      <w:r>
        <w:rPr>
          <w:rFonts w:ascii="Times New Roman" w:hAnsi="Times New Roman"/>
          <w:i/>
          <w:sz w:val="20"/>
        </w:rPr>
        <w:t>provided, however</w:t>
      </w:r>
      <w:r>
        <w:rPr>
          <w:rFonts w:ascii="Times New Roman" w:hAnsi="Times New Roman"/>
          <w:sz w:val="20"/>
        </w:rPr>
        <w:t xml:space="preserve">,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Prior to taking any action under this Indenture, the Trustee shall be entitled to indemnity or security satisfactory to it against loss, liability or expense that may be caused by taking such action.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Undertaking to Pay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CONCERNING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Certain Duties and Responsibilities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provision of this Indenture shall be construed to relieve the Trustee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(i) prior to the occurrence of an Event of Default with respect to the Securities of a series and after the curing or waiving of all such Events of Default with respect to that series that may have occurred: </w:t>
      </w:r>
    </w:p>
    <w:p>
      <w:pPr>
        <w:pStyle w:val="TextBody"/>
        <w:bidi w:val="0"/>
        <w:spacing w:before="120" w:after="0"/>
        <w:jc w:val="left"/>
        <w:rPr>
          <w:rFonts w:ascii="Times New Roman" w:hAnsi="Times New Roman"/>
          <w:sz w:val="20"/>
        </w:rPr>
      </w:pPr>
      <w:r>
        <w:rPr>
          <w:rFonts w:ascii="Times New Roman" w:hAnsi="Times New Roman"/>
          <w:sz w:val="20"/>
        </w:rPr>
        <w:t xml:space="preserve">(1) 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(2) in the absence of gross negligence and willful misconduct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shall not be liable to any Securityholder or to any other Person for any error of judgment made in good faith by a Responsible Officer or Responsible Officers of the Trustee, unless it shall be proved that the Trustee was negligent in ascertaining the pertinent facts;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w:t>
      </w:r>
    </w:p>
    <w:p>
      <w:pPr>
        <w:pStyle w:val="TextBody"/>
        <w:bidi w:val="0"/>
        <w:spacing w:before="120" w:after="0"/>
        <w:jc w:val="left"/>
        <w:rPr>
          <w:rFonts w:ascii="Times New Roman" w:hAnsi="Times New Roman"/>
          <w:sz w:val="20"/>
        </w:rPr>
      </w:pPr>
      <w:r>
        <w:rPr>
          <w:rFonts w:ascii="Times New Roman" w:hAnsi="Times New Roman"/>
          <w:sz w:val="20"/>
        </w:rPr>
        <w:t xml:space="preserve">(iv) 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 </w:t>
      </w:r>
    </w:p>
    <w:p>
      <w:pPr>
        <w:pStyle w:val="TextBody"/>
        <w:bidi w:val="0"/>
        <w:spacing w:before="120" w:after="0"/>
        <w:jc w:val="left"/>
        <w:rPr>
          <w:rFonts w:ascii="Times New Roman" w:hAnsi="Times New Roman"/>
          <w:sz w:val="20"/>
        </w:rPr>
      </w:pPr>
      <w:r>
        <w:rPr>
          <w:rFonts w:ascii="Times New Roman" w:hAnsi="Times New Roman"/>
          <w:sz w:val="20"/>
        </w:rPr>
        <w:t xml:space="preserve">(v) The Trustee shall not be required to give any bond or surety in respect of the performance of its powers or duties hereunder; </w:t>
      </w:r>
    </w:p>
    <w:p>
      <w:pPr>
        <w:pStyle w:val="TextBody"/>
        <w:bidi w:val="0"/>
        <w:spacing w:before="120" w:after="0"/>
        <w:jc w:val="left"/>
        <w:rPr>
          <w:rFonts w:ascii="Times New Roman" w:hAnsi="Times New Roman"/>
          <w:sz w:val="20"/>
        </w:rPr>
      </w:pPr>
      <w:r>
        <w:rPr>
          <w:rFonts w:ascii="Times New Roman" w:hAnsi="Times New Roman"/>
          <w:sz w:val="20"/>
        </w:rPr>
        <w:t xml:space="preserve">(vi) The permissive right of the Trustee to do things enumerated in this Indenture shall not be construed as a duty of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(vii) No Trustee shall have any duty or responsibility for any act or omission of any other Trustee appointed with respect to a series of Securities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Certain 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7.01: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(b) 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(c) 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(d) The Trustee shall be under no obligation to exercise any of the rights or powers vested in it by this Indenture at the request, order or direction of any of the Securityholders pursuant to the provisions of this Indenture, unless such Securityholders shall have offered (and if requested, provided) to the Trustee security or indemnity satisfactory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 </w:t>
      </w:r>
    </w:p>
    <w:p>
      <w:pPr>
        <w:pStyle w:val="TextBody"/>
        <w:bidi w:val="0"/>
        <w:spacing w:before="240" w:after="0"/>
        <w:jc w:val="left"/>
        <w:rPr>
          <w:rFonts w:ascii="Times New Roman" w:hAnsi="Times New Roman"/>
          <w:sz w:val="20"/>
        </w:rPr>
      </w:pPr>
      <w:r>
        <w:rPr>
          <w:rFonts w:ascii="Times New Roman" w:hAnsi="Times New Roman"/>
          <w:sz w:val="20"/>
        </w:rPr>
        <w:t xml:space="preserve">(e) The Trustee shall not be liable for any action taken or omitted to be taken by it in good faith and believed by it to be authorized or within the discretion or rights or powers conferred upon it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(f) 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w:t>
      </w:r>
      <w:r>
        <w:rPr>
          <w:rFonts w:ascii="Times New Roman" w:hAnsi="Times New Roman"/>
          <w:i/>
          <w:sz w:val="20"/>
        </w:rPr>
        <w:t>provided, however</w:t>
      </w:r>
      <w:r>
        <w:rPr>
          <w:rFonts w:ascii="Times New Roman" w:hAnsi="Times New Roman"/>
          <w:sz w:val="20"/>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satisfactory to the Trustee against such costs, expenses or liabilities as a condition to so proceeding. The reasonable expense of every such examination shall be paid by the Company or, if paid by the Trustee, shall be repaid by the Company upon demand;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p>
    <w:p>
      <w:pPr>
        <w:pStyle w:val="TextBody"/>
        <w:bidi w:val="0"/>
        <w:spacing w:before="240" w:after="0"/>
        <w:jc w:val="left"/>
        <w:rPr>
          <w:rFonts w:ascii="Times New Roman" w:hAnsi="Times New Roman"/>
          <w:sz w:val="20"/>
        </w:rPr>
      </w:pPr>
      <w:r>
        <w:rPr>
          <w:rFonts w:ascii="Times New Roman" w:hAnsi="Times New Roman"/>
          <w:sz w:val="20"/>
        </w:rPr>
        <w:t xml:space="preserve">(h)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 In no event shall the Trustee be responsible or liable for special, indirect, incidental, punitive or consequential loss or damage of any kind whatsoever (including, but not limited to, loss of profit) irrespective of whether the Trustee has been advised of the likelihood of such loss or damage and regardless of the form of action. The provisions of this Section 7.2(i) shall survive the termination or discharge of this Indenture and the resignation or removal of the Trustee; and </w:t>
      </w:r>
    </w:p>
    <w:p>
      <w:pPr>
        <w:pStyle w:val="TextBody"/>
        <w:bidi w:val="0"/>
        <w:spacing w:before="240" w:after="0"/>
        <w:jc w:val="left"/>
        <w:rPr>
          <w:rFonts w:ascii="Times New Roman" w:hAnsi="Times New Roman"/>
          <w:sz w:val="20"/>
        </w:rPr>
      </w:pPr>
      <w:r>
        <w:rPr>
          <w:rFonts w:ascii="Times New Roman" w:hAnsi="Times New Roman"/>
          <w:sz w:val="20"/>
        </w:rPr>
        <w:t xml:space="preserve">(j) The Trustee agrees to accept and act upon instructions or directions pursuant to this Indenture sent by unsecured e-mail, facsimile transmission or other similar unsecured electronic methods; </w:t>
      </w:r>
      <w:r>
        <w:rPr>
          <w:rFonts w:ascii="Times New Roman" w:hAnsi="Times New Roman"/>
          <w:i/>
          <w:sz w:val="20"/>
        </w:rPr>
        <w:t>provided, however</w:t>
      </w:r>
      <w:r>
        <w:rPr>
          <w:rFonts w:ascii="Times New Roman" w:hAnsi="Times New Roman"/>
          <w:sz w:val="20"/>
        </w:rPr>
        <w:t xml:space="preserve">,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(k) 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Trustee Not Responsible for Recitals or Issuance or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 </w:t>
      </w:r>
    </w:p>
    <w:p>
      <w:pPr>
        <w:pStyle w:val="TextBody"/>
        <w:bidi w:val="0"/>
        <w:spacing w:before="240" w:after="0"/>
        <w:jc w:val="left"/>
        <w:rPr>
          <w:rFonts w:ascii="Times New Roman" w:hAnsi="Times New Roman"/>
          <w:sz w:val="20"/>
        </w:rPr>
      </w:pPr>
      <w:r>
        <w:rPr>
          <w:rFonts w:ascii="Times New Roman" w:hAnsi="Times New Roman"/>
          <w:sz w:val="20"/>
        </w:rPr>
        <w:t xml:space="preserve">(b) The Trustee makes no representations as to the validity or sufficiency of this Indenture or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(c) 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May Hold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or any paying agent or Security Registrar, in its individual or any other capacity, may become the owner or pledgee of Securities with the same rights it would have if it were not Trustee, paying agent or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Moneys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11.05, all moneys or property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or property received by it hereunder except such as it may agree with the Company to pay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Compensation and Reimbursement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need not reimburse any expense or indemnify against any loss or liability incurred by the Trustee or by any officer, director, employee, shareholder or agent of the Trustee through negligence or bad faith. </w:t>
      </w:r>
    </w:p>
    <w:p>
      <w:pPr>
        <w:pStyle w:val="TextBody"/>
        <w:bidi w:val="0"/>
        <w:spacing w:before="240" w:after="0"/>
        <w:jc w:val="left"/>
        <w:rPr>
          <w:rFonts w:ascii="Times New Roman" w:hAnsi="Times New Roman"/>
          <w:sz w:val="20"/>
        </w:rPr>
      </w:pPr>
      <w:r>
        <w:rPr>
          <w:rFonts w:ascii="Times New Roman" w:hAnsi="Times New Roman"/>
          <w:sz w:val="20"/>
        </w:rPr>
        <w:t xml:space="preserve">(d) 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6.01(a)(iv) or 6.01(a)(v),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sz w:val="20"/>
          <w:u w:val="single"/>
        </w:rPr>
        <w:t>Reliance on Officer’s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gross negligence or willful misconduct on the part of the Trustee, be deemed to be conclusively proved and established by an Officer’s Certificate delivered to the Trustee and such certificate, in the absence of gross negligence or willful misconduct on the part of the Trustee, shall be full warrant to the Trustee for any action taken, suffered or omitted to be taken by it under the provisions of this Indenture upon the faith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sz w:val="20"/>
          <w:u w:val="single"/>
        </w:rPr>
        <w:t>Disqualification; Conflicting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has or shall acquire any “conflicting interest” within the meaning of Section 310(b) of the Trust Indenture Act, the Trustee and the Company shall in all respects comply with the provisions of Section 310(b)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Section 7.09 </w:t>
      </w:r>
      <w:r>
        <w:rPr>
          <w:rFonts w:ascii="Times New Roman" w:hAnsi="Times New Roman"/>
          <w:sz w:val="20"/>
          <w:u w:val="single"/>
        </w:rPr>
        <w:t>Corporate Trustee Required; Eligibility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(b) In case at any time any one of the following shall occur: </w:t>
      </w:r>
    </w:p>
    <w:p>
      <w:pPr>
        <w:pStyle w:val="TextBody"/>
        <w:bidi w:val="0"/>
        <w:spacing w:before="120" w:after="0"/>
        <w:jc w:val="left"/>
        <w:rPr>
          <w:rFonts w:ascii="Times New Roman" w:hAnsi="Times New Roman"/>
          <w:sz w:val="20"/>
        </w:rPr>
      </w:pPr>
      <w:r>
        <w:rPr>
          <w:rFonts w:ascii="Times New Roman" w:hAnsi="Times New Roman"/>
          <w:sz w:val="20"/>
        </w:rPr>
        <w:t xml:space="preserve">(i) the Trustee shall fail to comply with the provisions of Section 7.08 after written request therefor by the Company or by any Securityholder who has been a bona fide holder of a Security or Securities for at least six months; or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shall cease to be eligible in accordance with the provisions of Section 7.09 and shall fail to resign after written request therefor by the Company or by any such Securityholder; or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Any resignation or removal of the Trustee and appointment of a successor trustee with respect to the Securities of a series pursuant to any of the provisions of this Section shall become effective upon acceptance of appointment by the successor trustee as provided in Section 7.11. </w:t>
      </w:r>
    </w:p>
    <w:p>
      <w:pPr>
        <w:pStyle w:val="TextBody"/>
        <w:bidi w:val="0"/>
        <w:spacing w:before="240" w:after="0"/>
        <w:jc w:val="left"/>
        <w:rPr>
          <w:rFonts w:ascii="Times New Roman" w:hAnsi="Times New Roman"/>
          <w:sz w:val="20"/>
        </w:rPr>
      </w:pPr>
      <w:r>
        <w:rPr>
          <w:rFonts w:ascii="Times New Roman" w:hAnsi="Times New Roman"/>
          <w:sz w:val="20"/>
        </w:rPr>
        <w:t xml:space="preserve">(e) Any successor trustee appointed pursuant to this Section may be appointed with respect to the Securities of one or more series or all of such series, and at any time there shall be only one Trustee with respect to the Securities of any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Acceptance of Appointment By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(b)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 </w:t>
      </w:r>
    </w:p>
    <w:p>
      <w:pPr>
        <w:pStyle w:val="TextBody"/>
        <w:bidi w:val="0"/>
        <w:spacing w:before="240" w:after="0"/>
        <w:jc w:val="left"/>
        <w:rPr>
          <w:rFonts w:ascii="Times New Roman" w:hAnsi="Times New Roman"/>
          <w:sz w:val="20"/>
        </w:rPr>
      </w:pPr>
      <w:r>
        <w:rPr>
          <w:rFonts w:ascii="Times New Roman" w:hAnsi="Times New Roman"/>
          <w:sz w:val="20"/>
        </w:rPr>
        <w:t xml:space="preserve">(c) Upon request of any such successor trustee, the Company shall execute any and all instruments for more fully and certainly vesting in and confirming to such successor trustee all such rights, powers and trusts referred to in paragraph (a) or (b) of this Section,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(d) No successor trustee shall accept its appointment unless at the time of such acceptance such successor trustee shall be qualified and eligible under this Article. </w:t>
      </w:r>
    </w:p>
    <w:p>
      <w:pPr>
        <w:pStyle w:val="TextBody"/>
        <w:bidi w:val="0"/>
        <w:spacing w:before="240" w:after="0"/>
        <w:jc w:val="left"/>
        <w:rPr>
          <w:rFonts w:ascii="Times New Roman" w:hAnsi="Times New Roman"/>
          <w:sz w:val="20"/>
        </w:rPr>
      </w:pPr>
      <w:r>
        <w:rPr>
          <w:rFonts w:ascii="Times New Roman" w:hAnsi="Times New Roman"/>
          <w:sz w:val="20"/>
        </w:rPr>
        <w:t xml:space="preserve">(e) 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Merger, Conversion, Consolidation or Succession to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entity into which the Trustee may be merged or converted or with which it may be consolidated, or any corporation resulting from any merger, conversion or consolidation to which the Trustee shall be a party, or any entity succeeding to all or substantially all the corporate trust business of the Trustee, including the administration of the trust created by this Indenture, shall be the successor of the Trustee hereunder, provided that such entity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Preferential Collection of Claims Against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Notice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hAnsi="Times New Roman"/>
          <w:i/>
          <w:sz w:val="20"/>
        </w:rPr>
        <w:t>provided, however</w:t>
      </w:r>
      <w:r>
        <w:rPr>
          <w:rFonts w:ascii="Times New Roman" w:hAnsi="Times New Roman"/>
          <w:sz w:val="20"/>
        </w:rPr>
        <w:t xml:space="preserve">,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CONCERNING THE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Evidence of Action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w:t>
      </w:r>
      <w:r>
        <w:rPr>
          <w:rFonts w:ascii="Times New Roman" w:hAnsi="Times New Roman"/>
          <w:i/>
          <w:sz w:val="20"/>
        </w:rPr>
        <w:t>provided, however</w:t>
      </w:r>
      <w:r>
        <w:rPr>
          <w:rFonts w:ascii="Times New Roman" w:hAnsi="Times New Roman"/>
          <w:sz w:val="20"/>
        </w:rPr>
        <w:t xml:space="preserve">, that no such authorization, agreement or consent by such Securityholders on the record date shall be deemed effective unless it shall become effective pursuant to the provisions of this Indenture not later than six months after the record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Proof of Execution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 </w:t>
      </w:r>
    </w:p>
    <w:p>
      <w:pPr>
        <w:pStyle w:val="TextBody"/>
        <w:bidi w:val="0"/>
        <w:spacing w:before="120" w:after="0"/>
        <w:jc w:val="left"/>
        <w:rPr>
          <w:rFonts w:ascii="Times New Roman" w:hAnsi="Times New Roman"/>
          <w:sz w:val="20"/>
        </w:rPr>
      </w:pPr>
      <w:r>
        <w:rPr>
          <w:rFonts w:ascii="Times New Roman" w:hAnsi="Times New Roman"/>
          <w:sz w:val="20"/>
        </w:rPr>
        <w:t xml:space="preserve">(a) The fact and date of the execution by any such Person of any instrument may be proved in any reasonable manner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(b) The ownership of Securities shall be proved by the Security Register of such Securities or by a certificate of the Security Registrar thereof.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require such additional proof of any matter referred to in this Section as it shall deem necessary.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Who May be Deemed Owners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Certain Securities Owned by Company Disregarded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a Responsible Officer of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Actions Binding on Future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Supplemental Indentures Without the 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(a) to cure any ambiguity, defect, or inconsistency herein or in the Securities of any series; </w:t>
      </w:r>
    </w:p>
    <w:p>
      <w:pPr>
        <w:pStyle w:val="TextBody"/>
        <w:bidi w:val="0"/>
        <w:spacing w:before="240" w:after="0"/>
        <w:jc w:val="left"/>
        <w:rPr>
          <w:rFonts w:ascii="Times New Roman" w:hAnsi="Times New Roman"/>
          <w:sz w:val="20"/>
        </w:rPr>
      </w:pPr>
      <w:r>
        <w:rPr>
          <w:rFonts w:ascii="Times New Roman" w:hAnsi="Times New Roman"/>
          <w:sz w:val="20"/>
        </w:rPr>
        <w:t xml:space="preserve">(b) to comply with Article Ten; </w:t>
      </w:r>
    </w:p>
    <w:p>
      <w:pPr>
        <w:pStyle w:val="TextBody"/>
        <w:bidi w:val="0"/>
        <w:spacing w:before="240" w:after="0"/>
        <w:jc w:val="left"/>
        <w:rPr>
          <w:rFonts w:ascii="Times New Roman" w:hAnsi="Times New Roman"/>
          <w:sz w:val="20"/>
        </w:rPr>
      </w:pPr>
      <w:r>
        <w:rPr>
          <w:rFonts w:ascii="Times New Roman" w:hAnsi="Times New Roman"/>
          <w:sz w:val="20"/>
        </w:rPr>
        <w:t xml:space="preserve">(c) to provide for uncertificated Securities in addition to or in place of certificated Securities; </w:t>
      </w:r>
    </w:p>
    <w:p>
      <w:pPr>
        <w:pStyle w:val="TextBody"/>
        <w:bidi w:val="0"/>
        <w:spacing w:before="240" w:after="0"/>
        <w:jc w:val="left"/>
        <w:rPr>
          <w:rFonts w:ascii="Times New Roman" w:hAnsi="Times New Roman"/>
          <w:sz w:val="20"/>
        </w:rPr>
      </w:pPr>
      <w:r>
        <w:rPr>
          <w:rFonts w:ascii="Times New Roman" w:hAnsi="Times New Roman"/>
          <w:sz w:val="20"/>
        </w:rPr>
        <w:t xml:space="preserve">(d) 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 </w:t>
      </w:r>
    </w:p>
    <w:p>
      <w:pPr>
        <w:pStyle w:val="TextBody"/>
        <w:bidi w:val="0"/>
        <w:spacing w:before="240" w:after="0"/>
        <w:jc w:val="left"/>
        <w:rPr>
          <w:rFonts w:ascii="Times New Roman" w:hAnsi="Times New Roman"/>
          <w:sz w:val="20"/>
        </w:rPr>
      </w:pPr>
      <w:r>
        <w:rPr>
          <w:rFonts w:ascii="Times New Roman" w:hAnsi="Times New Roman"/>
          <w:sz w:val="20"/>
        </w:rPr>
        <w:t xml:space="preserve">(e) to add to, delete from, or revise the conditions, limitations, and restrictions on the authorized amount, terms, or purposes of issue, authentication, and delivery of Securities, as herein set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to make any change that does not adversely affect the rights of any Securityholder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(g) 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(h) to evidence and provide for the acceptance of appointment hereunder by a successor trustee; or </w:t>
      </w:r>
    </w:p>
    <w:p>
      <w:pPr>
        <w:pStyle w:val="TextBody"/>
        <w:bidi w:val="0"/>
        <w:spacing w:before="240" w:after="0"/>
        <w:jc w:val="left"/>
        <w:rPr>
          <w:rFonts w:ascii="Times New Roman" w:hAnsi="Times New Roman"/>
          <w:sz w:val="20"/>
        </w:rPr>
      </w:pPr>
      <w:r>
        <w:rPr>
          <w:rFonts w:ascii="Times New Roman" w:hAnsi="Times New Roman"/>
          <w:sz w:val="20"/>
        </w:rPr>
        <w:t xml:space="preserve">(i) to comply with any requirements of the Commission or any successor in connection with the qualification of this Indenture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supplemental indenture authorized by the provisions of this Section may be executed by the Company and the Trustee without the consent of the holders of any of the Securities at the time Outstanding, notwithstanding any of the provisions of Section 9.02.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Supplemental Indentures With 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w:t>
      </w:r>
      <w:r>
        <w:rPr>
          <w:rFonts w:ascii="Times New Roman" w:hAnsi="Times New Roman"/>
          <w:i/>
          <w:sz w:val="20"/>
        </w:rPr>
        <w:t>provided, however</w:t>
      </w:r>
      <w:r>
        <w:rPr>
          <w:rFonts w:ascii="Times New Roman" w:hAnsi="Times New Roman"/>
          <w:sz w:val="20"/>
        </w:rPr>
        <w:t xml:space="preserve">,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Securityholders of any series affected thereby under this Section to approve the particular form of any proposed supplemental indenture, but it shall be sufficient if such consent shall approve the substance thereof. The Trustee may in its discretion, but shall not be obligated to, enter into any such supplemental indenture that adversely affects the Trustee’s own rights, duties or immunities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Effect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Securities Affected by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Execution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and an Opinion of Counsel as conclusive evidence that any supplemental indenture executed pursuant to this Article is authorized or permitted by the terms of this Article and that all conditions precedent to the execution of the supplemental indenture have been complied with; </w:t>
      </w:r>
      <w:r>
        <w:rPr>
          <w:rFonts w:ascii="Times New Roman" w:hAnsi="Times New Roman"/>
          <w:i/>
          <w:sz w:val="20"/>
        </w:rPr>
        <w:t>provided, however</w:t>
      </w:r>
      <w:r>
        <w:rPr>
          <w:rFonts w:ascii="Times New Roman" w:hAnsi="Times New Roman"/>
          <w:sz w:val="20"/>
        </w:rPr>
        <w:t xml:space="preserve">, that such Officer’s Certificate and Opinion of Counsel need not be provided in connection with the execution of a supplemental indenture that establishes the terms of a series of Securities pursuant to Section 2.01 hereof.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SUCCESSOR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Company May Consolidate,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w:t>
      </w:r>
      <w:r>
        <w:rPr>
          <w:rFonts w:ascii="Times New Roman" w:hAnsi="Times New Roman"/>
          <w:i/>
          <w:sz w:val="20"/>
        </w:rPr>
        <w:t>provided, however</w:t>
      </w:r>
      <w:r>
        <w:rPr>
          <w:rFonts w:ascii="Times New Roman" w:hAnsi="Times New Roman"/>
          <w:sz w:val="20"/>
        </w:rPr>
        <w:t xml:space="preserve">,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Successor Entity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(b) In case of any such consolidation, merger, sale, conveyance, transfer or other disposition, such changes in phraseology and form (but not in substance) may be made in the Securities thereafter to be issued as may be appropriate.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Satisfaction and Discharge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such instruments reasonably requested by the Company acknowledging satisfaction of and discharging this Indenture with respect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Discharge of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 </w:t>
      </w:r>
    </w:p>
    <w:p>
      <w:pPr>
        <w:pStyle w:val="TextBody"/>
        <w:bidi w:val="0"/>
        <w:spacing w:before="240" w:after="0"/>
        <w:jc w:val="left"/>
        <w:rPr>
          <w:rFonts w:ascii="Times New Roman" w:hAnsi="Times New Roman"/>
          <w:sz w:val="20"/>
        </w:rPr>
      </w:pPr>
      <w:r>
        <w:rPr>
          <w:rFonts w:ascii="Times New Roman" w:hAnsi="Times New Roman"/>
          <w:sz w:val="20"/>
        </w:rPr>
        <w:t xml:space="preserve">Thereafter, Sections 7.06 and 11.05 shall survive.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11.03 </w:t>
      </w:r>
      <w:r>
        <w:rPr>
          <w:rFonts w:ascii="Times New Roman" w:hAnsi="Times New Roman"/>
          <w:sz w:val="20"/>
          <w:u w:val="single"/>
        </w:rPr>
        <w:t>Deposited Moneys to be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11.04 </w:t>
      </w:r>
      <w:r>
        <w:rPr>
          <w:rFonts w:ascii="Times New Roman" w:hAnsi="Times New Roman"/>
          <w:sz w:val="20"/>
          <w:u w:val="single"/>
        </w:rPr>
        <w:t>Payment of Moneys Held by 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11.05 </w:t>
      </w:r>
      <w:r>
        <w:rPr>
          <w:rFonts w:ascii="Times New Roman" w:hAnsi="Times New Roman"/>
          <w:sz w:val="20"/>
          <w:u w:val="single"/>
        </w:rPr>
        <w:t>Repayment to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IMMUNITY OF INCORPORATORS, STOCKHOLDERS, OFFICERS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sz w:val="20"/>
          <w:u w:val="single"/>
        </w:rPr>
        <w:t>No Recourse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sz w:val="20"/>
          <w:u w:val="single"/>
        </w:rPr>
        <w:t>Effect on 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the covenants, stipulations, promises and agreements in this Indenture made by or on behalf of the Company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sz w:val="20"/>
        </w:rPr>
        <w:t xml:space="preserve">Section 13.02 </w:t>
      </w:r>
      <w:r>
        <w:rPr>
          <w:rFonts w:ascii="Times New Roman" w:hAnsi="Times New Roman"/>
          <w:sz w:val="20"/>
          <w:u w:val="single"/>
        </w:rPr>
        <w:t>Actions by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13.03 </w:t>
      </w:r>
      <w:r>
        <w:rPr>
          <w:rFonts w:ascii="Times New Roman" w:hAnsi="Times New Roman"/>
          <w:sz w:val="20"/>
          <w:u w:val="single"/>
        </w:rPr>
        <w:t>Surrender of Company Powers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13.04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Attn: General Counsel, Vaxcyte, Inc., 825 Industrial Road, Suite 300, San Carlos, California, 94070. </w:t>
      </w:r>
    </w:p>
    <w:p>
      <w:pPr>
        <w:pStyle w:val="TextBody"/>
        <w:bidi w:val="0"/>
        <w:spacing w:before="240" w:after="0"/>
        <w:jc w:val="left"/>
        <w:rPr>
          <w:rFonts w:ascii="Times New Roman" w:hAnsi="Times New Roman"/>
          <w:sz w:val="20"/>
        </w:rPr>
      </w:pPr>
      <w:r>
        <w:rPr>
          <w:rFonts w:ascii="Times New Roman" w:hAnsi="Times New Roman"/>
          <w:sz w:val="20"/>
        </w:rPr>
        <w:t xml:space="preserve">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13.05 </w:t>
      </w:r>
      <w:r>
        <w:rPr>
          <w:rFonts w:ascii="Times New Roman" w:hAnsi="Times New Roman"/>
          <w:sz w:val="20"/>
          <w:u w:val="single"/>
        </w:rPr>
        <w:t>Governing Law; Jury Trial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and each Security shall be governed by, and construed in accordance with, the internal laws of the State of New York, except to the extent that the Trust Indenture Act is applicable. </w:t>
      </w:r>
    </w:p>
    <w:p>
      <w:pPr>
        <w:pStyle w:val="TextBody"/>
        <w:bidi w:val="0"/>
        <w:spacing w:before="240" w:after="0"/>
        <w:jc w:val="left"/>
        <w:rPr>
          <w:rFonts w:ascii="Times New Roman" w:hAnsi="Times New Roman"/>
          <w:sz w:val="20"/>
        </w:rPr>
      </w:pPr>
      <w:r>
        <w:rPr>
          <w:rFonts w:ascii="Times New Roman" w:hAnsi="Times New Roman"/>
          <w:sz w:val="20"/>
        </w:rPr>
        <w:t xml:space="preserve">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13.06 </w:t>
      </w:r>
      <w:r>
        <w:rPr>
          <w:rFonts w:ascii="Times New Roman" w:hAnsi="Times New Roman"/>
          <w:sz w:val="20"/>
          <w:u w:val="single"/>
        </w:rPr>
        <w:t>Treatment of Securities as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intended that the Securities will be treated as indebtedness and not as equity for federal income tax purposes. The provisions of this Indenture shall be interpreted to further this intention. </w:t>
      </w:r>
    </w:p>
    <w:p>
      <w:pPr>
        <w:pStyle w:val="TextBody"/>
        <w:bidi w:val="0"/>
        <w:spacing w:before="240" w:after="0"/>
        <w:jc w:val="left"/>
        <w:rPr>
          <w:rFonts w:ascii="Times New Roman" w:hAnsi="Times New Roman"/>
          <w:sz w:val="20"/>
        </w:rPr>
      </w:pPr>
      <w:r>
        <w:rPr>
          <w:rFonts w:ascii="Times New Roman" w:hAnsi="Times New Roman"/>
          <w:sz w:val="20"/>
        </w:rPr>
        <w:t xml:space="preserve">Section 13.07 </w:t>
      </w:r>
      <w:r>
        <w:rPr>
          <w:rFonts w:ascii="Times New Roman" w:hAnsi="Times New Roman"/>
          <w:sz w:val="20"/>
          <w:u w:val="single"/>
        </w:rPr>
        <w:t>Certificates and Opinions as to Conditions Precedent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 </w:t>
      </w:r>
    </w:p>
    <w:p>
      <w:pPr>
        <w:pStyle w:val="TextBody"/>
        <w:bidi w:val="0"/>
        <w:spacing w:before="240" w:after="0"/>
        <w:jc w:val="left"/>
        <w:rPr>
          <w:rFonts w:ascii="Times New Roman" w:hAnsi="Times New Roman"/>
          <w:sz w:val="20"/>
        </w:rPr>
      </w:pPr>
      <w:r>
        <w:rPr>
          <w:rFonts w:ascii="Times New Roman" w:hAnsi="Times New Roman"/>
          <w:sz w:val="20"/>
        </w:rPr>
        <w:t xml:space="preserve">(b) 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13.08 </w:t>
      </w:r>
      <w:r>
        <w:rPr>
          <w:rFonts w:ascii="Times New Roman" w:hAnsi="Times New Roman"/>
          <w:sz w:val="20"/>
          <w:u w:val="single"/>
        </w:rPr>
        <w:t>Payments on Business 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13.09 </w:t>
      </w:r>
      <w:r>
        <w:rPr>
          <w:rFonts w:ascii="Times New Roman" w:hAnsi="Times New Roman"/>
          <w:sz w:val="20"/>
          <w:u w:val="single"/>
        </w:rPr>
        <w:t>Conflict with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that any provision of this Indenture limits, qualifies or conflicts with the duties imposed by Section 318(c) of the Trust Indenture Act, such imposed duties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13.10 </w:t>
      </w:r>
      <w:r>
        <w:rPr>
          <w:rFonts w:ascii="Times New Roman" w:hAnsi="Times New Roman"/>
          <w:sz w:val="20"/>
          <w:u w:val="single"/>
        </w:rPr>
        <w:t>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All notices, approvals, consents, requests and any communications hereunder must be in writing, in English. The Company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13.11 </w:t>
      </w:r>
      <w:r>
        <w:rPr>
          <w:rFonts w:ascii="Times New Roman" w:hAnsi="Times New Roman"/>
          <w:sz w:val="20"/>
          <w:u w:val="single"/>
        </w:rPr>
        <w:t>Separability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13.12 </w:t>
      </w:r>
      <w:r>
        <w:rPr>
          <w:rFonts w:ascii="Times New Roman" w:hAnsi="Times New Roman"/>
          <w:sz w:val="20"/>
          <w:u w:val="single"/>
        </w:rPr>
        <w:t>Compliance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 </w:t>
      </w:r>
    </w:p>
    <w:p>
      <w:pPr>
        <w:pStyle w:val="TextBody"/>
        <w:bidi w:val="0"/>
        <w:spacing w:before="240" w:after="0"/>
        <w:jc w:val="left"/>
        <w:rPr>
          <w:rFonts w:ascii="Times New Roman" w:hAnsi="Times New Roman"/>
          <w:sz w:val="20"/>
        </w:rPr>
      </w:pPr>
      <w:r>
        <w:rPr>
          <w:rFonts w:ascii="Times New Roman" w:hAnsi="Times New Roman"/>
          <w:sz w:val="20"/>
        </w:rPr>
        <w:t xml:space="preserve">Section 13.13 </w:t>
      </w:r>
      <w:r>
        <w:rPr>
          <w:rFonts w:ascii="Times New Roman" w:hAnsi="Times New Roman"/>
          <w:sz w:val="20"/>
          <w:u w:val="single"/>
        </w:rPr>
        <w:t>U.S.A. Patriot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13.14 </w:t>
      </w:r>
      <w:r>
        <w:rPr>
          <w:rFonts w:ascii="Times New Roman" w:hAnsi="Times New Roman"/>
          <w:sz w:val="20"/>
          <w:u w:val="single"/>
        </w:rPr>
        <w:t>Force Majeure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epidemics, pandemics,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13.15 </w:t>
      </w:r>
      <w:r>
        <w:rPr>
          <w:rFonts w:ascii="Times New Roman" w:hAnsi="Times New Roman"/>
          <w:sz w:val="20"/>
          <w:u w:val="single"/>
        </w:rPr>
        <w:t>Table of Contents; Headings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and headings of the articles and sections of this Indenture have been inserted for convenience of reference only, are not intended to be considered a part hereof, and will not modify or restrict any of the terms or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16"/>
        <w:gridCol w:w="60"/>
        <w:gridCol w:w="3606"/>
      </w:tblGrid>
      <w:tr>
        <w:trPr/>
        <w:tc>
          <w:tcPr>
            <w:tcW w:w="41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VAXCYTE, INC.</w:t>
            </w:r>
          </w:p>
        </w:tc>
      </w:tr>
      <w:tr>
        <w:trPr>
          <w:trHeight w:val="240" w:hRule="atLeast"/>
        </w:trPr>
        <w:tc>
          <w:tcPr>
            <w:tcW w:w="416" w:type="dxa"/>
            <w:tcBorders/>
            <w:vAlign w:val="center"/>
          </w:tcPr>
          <w:p>
            <w:pPr>
              <w:pStyle w:val="TableContents"/>
              <w:bidi w:val="0"/>
              <w:spacing w:before="0" w:after="283"/>
              <w:jc w:val="left"/>
              <w:rPr>
                <w:sz w:val="4"/>
                <w:szCs w:val="4"/>
              </w:rPr>
            </w:pPr>
            <w:r>
              <w:rPr>
                <w:sz w:val="4"/>
                <w:szCs w:val="4"/>
              </w:rPr>
            </w:r>
          </w:p>
        </w:tc>
        <w:tc>
          <w:tcPr>
            <w:tcW w:w="3666"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06" w:type="dxa"/>
            <w:tcBorders>
              <w:bottom w:val="single" w:sz="2" w:space="0" w:color="000000"/>
            </w:tcBorders>
            <w:tcMar>
              <w:bottom w:w="28" w:type="dxa"/>
            </w:tcMar>
          </w:tcPr>
          <w:p>
            <w:pPr>
              <w:pStyle w:val="TableContents"/>
              <w:bidi w:val="0"/>
              <w:spacing w:before="0" w:after="283"/>
              <w:jc w:val="left"/>
              <w:rPr/>
            </w:pPr>
            <w:r>
              <w:rPr/>
              <w:t>/s/ Andrew Guggenhime</w:t>
            </w:r>
          </w:p>
        </w:tc>
      </w:tr>
      <w:tr>
        <w:trPr/>
        <w:tc>
          <w:tcPr>
            <w:tcW w:w="4082" w:type="dxa"/>
            <w:gridSpan w:val="3"/>
            <w:tcBorders/>
            <w:vAlign w:val="bottom"/>
          </w:tcPr>
          <w:p>
            <w:pPr>
              <w:pStyle w:val="TableContents"/>
              <w:bidi w:val="0"/>
              <w:spacing w:before="0" w:after="283"/>
              <w:jc w:val="left"/>
              <w:rPr/>
            </w:pPr>
            <w:r>
              <w:rPr/>
              <w:t>Name: Andrew Guggenhime</w:t>
            </w:r>
          </w:p>
        </w:tc>
      </w:tr>
      <w:tr>
        <w:trPr/>
        <w:tc>
          <w:tcPr>
            <w:tcW w:w="4082" w:type="dxa"/>
            <w:gridSpan w:val="3"/>
            <w:tcBorders/>
            <w:vAlign w:val="bottom"/>
          </w:tcPr>
          <w:p>
            <w:pPr>
              <w:pStyle w:val="TableContents"/>
              <w:bidi w:val="0"/>
              <w:spacing w:before="0" w:after="283"/>
              <w:jc w:val="left"/>
              <w:rPr/>
            </w:pPr>
            <w:r>
              <w:rPr/>
              <w:t>Title: President and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U.S. BANK TRUST COMPANY, NATIONAL ASSOCIATION, as Trustee</w:t>
            </w:r>
          </w:p>
        </w:tc>
      </w:tr>
      <w:tr>
        <w:trPr>
          <w:trHeight w:val="240" w:hRule="atLeast"/>
        </w:trPr>
        <w:tc>
          <w:tcPr>
            <w:tcW w:w="416" w:type="dxa"/>
            <w:tcBorders/>
            <w:vAlign w:val="center"/>
          </w:tcPr>
          <w:p>
            <w:pPr>
              <w:pStyle w:val="TableContents"/>
              <w:bidi w:val="0"/>
              <w:spacing w:before="0" w:after="283"/>
              <w:jc w:val="left"/>
              <w:rPr>
                <w:sz w:val="4"/>
                <w:szCs w:val="4"/>
              </w:rPr>
            </w:pPr>
            <w:r>
              <w:rPr>
                <w:sz w:val="4"/>
                <w:szCs w:val="4"/>
              </w:rPr>
            </w:r>
          </w:p>
        </w:tc>
        <w:tc>
          <w:tcPr>
            <w:tcW w:w="3666"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06" w:type="dxa"/>
            <w:tcBorders>
              <w:bottom w:val="single" w:sz="2" w:space="0" w:color="000000"/>
            </w:tcBorders>
            <w:tcMar>
              <w:bottom w:w="28" w:type="dxa"/>
            </w:tcMar>
          </w:tcPr>
          <w:p>
            <w:pPr>
              <w:pStyle w:val="TableContents"/>
              <w:bidi w:val="0"/>
              <w:spacing w:before="0" w:after="283"/>
              <w:jc w:val="left"/>
              <w:rPr/>
            </w:pPr>
            <w:r>
              <w:rPr/>
              <w:t>/s/ David A. Jason</w:t>
            </w:r>
          </w:p>
        </w:tc>
      </w:tr>
      <w:tr>
        <w:trPr/>
        <w:tc>
          <w:tcPr>
            <w:tcW w:w="4082" w:type="dxa"/>
            <w:gridSpan w:val="3"/>
            <w:tcBorders/>
            <w:vAlign w:val="bottom"/>
          </w:tcPr>
          <w:p>
            <w:pPr>
              <w:pStyle w:val="TableContents"/>
              <w:bidi w:val="0"/>
              <w:spacing w:before="0" w:after="283"/>
              <w:jc w:val="left"/>
              <w:rPr/>
            </w:pPr>
            <w:r>
              <w:rPr/>
              <w:t>Name: David A. Jason</w:t>
            </w:r>
          </w:p>
        </w:tc>
      </w:tr>
      <w:tr>
        <w:trPr/>
        <w:tc>
          <w:tcPr>
            <w:tcW w:w="4082" w:type="dxa"/>
            <w:gridSpan w:val="3"/>
            <w:tcBorders/>
            <w:vAlign w:val="bottom"/>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CROSS-REFERENCE TABLE1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13"/>
        <w:gridCol w:w="121"/>
        <w:gridCol w:w="4571"/>
      </w:tblGrid>
      <w:tr>
        <w:trPr/>
        <w:tc>
          <w:tcPr>
            <w:tcW w:w="55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571" w:type="dxa"/>
            <w:tcBorders/>
            <w:vAlign w:val="center"/>
          </w:tcPr>
          <w:p>
            <w:pPr>
              <w:pStyle w:val="TableContents"/>
              <w:bidi w:val="0"/>
              <w:spacing w:before="0" w:after="283"/>
              <w:jc w:val="left"/>
              <w:rPr>
                <w:sz w:val="4"/>
                <w:szCs w:val="4"/>
              </w:rPr>
            </w:pPr>
            <w:r>
              <w:rPr>
                <w:sz w:val="4"/>
                <w:szCs w:val="4"/>
              </w:rPr>
            </w:r>
          </w:p>
        </w:tc>
      </w:tr>
      <w:tr>
        <w:trPr/>
        <w:tc>
          <w:tcPr>
            <w:tcW w:w="551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 of Trust Indenture Act of 1939, as Amended</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 of Indenture</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310(a)</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7.09</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310(b)</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7.08</w:t>
            </w:r>
          </w:p>
        </w:tc>
      </w:tr>
      <w:tr>
        <w:trPr/>
        <w:tc>
          <w:tcPr>
            <w:tcW w:w="551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7.10</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310(c)</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Inapplicable</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311(a)</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7.13</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311(b)</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7.13</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311(c)</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Inapplicable</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312(a)</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5.01</w:t>
            </w:r>
          </w:p>
        </w:tc>
      </w:tr>
      <w:tr>
        <w:trPr/>
        <w:tc>
          <w:tcPr>
            <w:tcW w:w="551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5.02(a)</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312(b)</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5.02(c)</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312(c)</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5.02(c)</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313(a)</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5.04(a)</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313(b)</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5.04(b)</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313(c)</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5.04(a)</w:t>
            </w:r>
          </w:p>
        </w:tc>
      </w:tr>
      <w:tr>
        <w:trPr/>
        <w:tc>
          <w:tcPr>
            <w:tcW w:w="551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5.04(b)</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313(d)</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5.04(c)</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314(a)</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5.03</w:t>
            </w:r>
          </w:p>
        </w:tc>
      </w:tr>
      <w:tr>
        <w:trPr/>
        <w:tc>
          <w:tcPr>
            <w:tcW w:w="551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13.12</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314(b)</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Inapplicable</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314(c)</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13.07(a)</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314(d)</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Inapplicable</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314(e)</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13.07(b)</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314(f)</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Inapplicable</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315(a)</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7.01(a)</w:t>
            </w:r>
          </w:p>
        </w:tc>
      </w:tr>
      <w:tr>
        <w:trPr/>
        <w:tc>
          <w:tcPr>
            <w:tcW w:w="551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7.01(b)</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315(b)</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7.14</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315(c)</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7.01</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315(d)</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7.01(b)</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315(e)</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6.07</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316(a)</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6.06</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8.04</w:t>
            </w:r>
          </w:p>
          <w:p>
            <w:pPr>
              <w:pStyle w:val="TableContents"/>
              <w:bidi w:val="0"/>
              <w:spacing w:before="0" w:after="20"/>
              <w:jc w:val="left"/>
              <w:rPr>
                <w:rFonts w:ascii="Times New Roman" w:hAnsi="Times New Roman"/>
                <w:sz w:val="20"/>
              </w:rPr>
            </w:pPr>
            <w:r>
              <w:rPr>
                <w:rFonts w:ascii="Times New Roman" w:hAnsi="Times New Roman"/>
                <w:sz w:val="20"/>
              </w:rPr>
              <w:t>316(b)</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6.04</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316(c)</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8.01</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317(a)</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6.02</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317(b)</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4.03</w:t>
            </w:r>
          </w:p>
        </w:tc>
      </w:tr>
      <w:tr>
        <w:trPr/>
        <w:tc>
          <w:tcPr>
            <w:tcW w:w="5513" w:type="dxa"/>
            <w:tcBorders/>
          </w:tcPr>
          <w:p>
            <w:pPr>
              <w:pStyle w:val="TableContents"/>
              <w:bidi w:val="0"/>
              <w:spacing w:before="0" w:after="0"/>
              <w:jc w:val="left"/>
              <w:rPr>
                <w:rFonts w:ascii="Times New Roman" w:hAnsi="Times New Roman"/>
                <w:sz w:val="20"/>
              </w:rPr>
            </w:pPr>
            <w:r>
              <w:rPr>
                <w:rFonts w:ascii="Times New Roman" w:hAnsi="Times New Roman"/>
                <w:sz w:val="20"/>
              </w:rPr>
              <w:t>318(a)</w:t>
            </w:r>
          </w:p>
        </w:tc>
        <w:tc>
          <w:tcPr>
            <w:tcW w:w="121"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13.09</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Cross-Reference Table does not constitute part of the Indenture and shall not have any bearing on the interpretation of any of its terms or provisions.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p>
    <w:p>
      <w:pPr>
        <w:pStyle w:val="TextBody"/>
        <w:bidi w:val="0"/>
        <w:spacing w:before="0" w:after="0"/>
        <w:jc w:val="right"/>
        <w:rPr>
          <w:rFonts w:ascii="Times New Roman" w:hAnsi="Times New Roman"/>
          <w:b/>
          <w:sz w:val="20"/>
        </w:rPr>
      </w:pPr>
      <w:bookmarkStart w:id="8" w:name="d150490dex42.htm"/>
      <w:bookmarkStart w:id="9" w:name="ksd150490dex42"/>
      <w:bookmarkEnd w:id="8"/>
      <w:bookmarkEnd w:id="9"/>
      <w:r>
        <w:rPr>
          <w:rFonts w:ascii="Times New Roman" w:hAnsi="Times New Roman"/>
          <w:b/>
          <w:sz w:val="20"/>
        </w:rPr>
        <w:t xml:space="preserve">Exhibit 4.2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VAXCYTE,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FIRST SUPPLEMENTAL 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October 9,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1.50% Convertible Senior Notes due 2032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CROSS REFERENCE TABLE* </w:t>
      </w:r>
    </w:p>
    <w:p>
      <w:pPr>
        <w:pStyle w:val="TextBody"/>
        <w:bidi w:val="0"/>
        <w:spacing w:before="0" w:after="0"/>
        <w:jc w:val="left"/>
        <w:rPr/>
      </w:pPr>
      <w:r>
        <w:rPr/>
        <w:t> </w:t>
      </w:r>
    </w:p>
    <w:tbl>
      <w:tblPr>
        <w:tblW w:w="4000" w:type="pct"/>
        <w:jc w:val="center"/>
        <w:tblInd w:w="0" w:type="dxa"/>
        <w:tblLayout w:type="fixed"/>
        <w:tblCellMar>
          <w:top w:w="0" w:type="dxa"/>
          <w:left w:w="0" w:type="dxa"/>
          <w:bottom w:w="0" w:type="dxa"/>
          <w:right w:w="0" w:type="dxa"/>
        </w:tblCellMar>
      </w:tblPr>
      <w:tblGrid>
        <w:gridCol w:w="3961"/>
        <w:gridCol w:w="121"/>
        <w:gridCol w:w="4082"/>
      </w:tblGrid>
      <w:tr>
        <w:trPr/>
        <w:tc>
          <w:tcPr>
            <w:tcW w:w="396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r>
      <w:tr>
        <w:trPr/>
        <w:tc>
          <w:tcPr>
            <w:tcW w:w="3961" w:type="dxa"/>
            <w:tcBorders/>
            <w:vAlign w:val="bottom"/>
          </w:tcPr>
          <w:p>
            <w:pPr>
              <w:pStyle w:val="TableContents"/>
              <w:bidi w:val="0"/>
              <w:spacing w:before="0" w:after="0"/>
              <w:jc w:val="left"/>
              <w:rPr/>
            </w:pPr>
            <w:r>
              <w:rPr/>
              <w:t> </w:t>
            </w:r>
            <w:r>
              <w:rPr>
                <w:rFonts w:ascii="Times New Roman" w:hAnsi="Times New Roman"/>
                <w:sz w:val="16"/>
              </w:rPr>
              <w:t>Trust</w:t>
            </w:r>
          </w:p>
          <w:p>
            <w:pPr>
              <w:pStyle w:val="TableContents"/>
              <w:bidi w:val="0"/>
              <w:spacing w:before="0" w:after="0"/>
              <w:jc w:val="left"/>
              <w:rPr>
                <w:rFonts w:ascii="Times New Roman" w:hAnsi="Times New Roman"/>
                <w:sz w:val="16"/>
              </w:rPr>
            </w:pPr>
            <w:r>
              <w:rPr>
                <w:rFonts w:ascii="Times New Roman" w:hAnsi="Times New Roman"/>
                <w:sz w:val="16"/>
              </w:rPr>
              <w:t>Indenture</w:t>
            </w:r>
          </w:p>
          <w:p>
            <w:pPr>
              <w:pStyle w:val="TableContents"/>
              <w:bidi w:val="0"/>
              <w:spacing w:before="0" w:after="0"/>
              <w:jc w:val="left"/>
              <w:rPr/>
            </w:pPr>
            <w:r>
              <w:rPr/>
              <w:t> </w:t>
            </w:r>
            <w:r>
              <w:rPr>
                <w:rFonts w:ascii="Times New Roman" w:hAnsi="Times New Roman"/>
                <w:sz w:val="16"/>
              </w:rPr>
              <w:t>Act</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Section</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0"/>
              <w:jc w:val="right"/>
              <w:rPr>
                <w:rFonts w:ascii="Times New Roman" w:hAnsi="Times New Roman"/>
                <w:sz w:val="16"/>
              </w:rPr>
            </w:pPr>
            <w:r>
              <w:rPr>
                <w:rFonts w:ascii="Times New Roman" w:hAnsi="Times New Roman"/>
                <w:sz w:val="16"/>
              </w:rPr>
              <w:t>Indenture</w:t>
            </w:r>
          </w:p>
          <w:p>
            <w:pPr>
              <w:pStyle w:val="TableContents"/>
              <w:pBdr>
                <w:bottom w:val="single" w:sz="8" w:space="1" w:color="000000"/>
              </w:pBdr>
              <w:bidi w:val="0"/>
              <w:spacing w:before="0" w:after="20"/>
              <w:jc w:val="right"/>
              <w:rPr>
                <w:rFonts w:ascii="Times New Roman" w:hAnsi="Times New Roman"/>
                <w:sz w:val="16"/>
              </w:rPr>
            </w:pPr>
            <w:r>
              <w:rPr>
                <w:rFonts w:ascii="Times New Roman" w:hAnsi="Times New Roman"/>
                <w:sz w:val="16"/>
              </w:rPr>
              <w:t>Section </w:t>
            </w:r>
          </w:p>
        </w:tc>
      </w:tr>
      <w:tr>
        <w:trPr/>
        <w:tc>
          <w:tcPr>
            <w:tcW w:w="3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310 (a)(1)</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b/>
              </w:rPr>
            </w:pPr>
            <w:r>
              <w:rPr>
                <w:b/>
              </w:rPr>
              <w:t>10.09</w:t>
            </w:r>
          </w:p>
        </w:tc>
      </w:tr>
      <w:tr>
        <w:trPr/>
        <w:tc>
          <w:tcPr>
            <w:tcW w:w="3961" w:type="dxa"/>
            <w:tcBorders/>
          </w:tcPr>
          <w:p>
            <w:pPr>
              <w:pStyle w:val="TableContents"/>
              <w:bidi w:val="0"/>
              <w:spacing w:before="0" w:after="0"/>
              <w:jc w:val="left"/>
              <w:rPr/>
            </w:pPr>
            <w:r>
              <w:rPr/>
              <w:t>    </w:t>
            </w:r>
            <w:r>
              <w:rPr>
                <w:rFonts w:ascii="Times New Roman" w:hAnsi="Times New Roman"/>
                <w:sz w:val="20"/>
              </w:rPr>
              <w:t>(a)(2)</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right"/>
              <w:rPr>
                <w:b/>
              </w:rPr>
            </w:pPr>
            <w:r>
              <w:rPr>
                <w:b/>
              </w:rPr>
              <w:t>10.09</w:t>
            </w:r>
          </w:p>
        </w:tc>
      </w:tr>
      <w:tr>
        <w:trPr/>
        <w:tc>
          <w:tcPr>
            <w:tcW w:w="3961" w:type="dxa"/>
            <w:tcBorders/>
            <w:shd w:fill="CCEEFF" w:val="clear"/>
          </w:tcPr>
          <w:p>
            <w:pPr>
              <w:pStyle w:val="TableContents"/>
              <w:bidi w:val="0"/>
              <w:spacing w:before="0" w:after="0"/>
              <w:jc w:val="left"/>
              <w:rPr/>
            </w:pPr>
            <w:r>
              <w:rPr/>
              <w:t>    </w:t>
            </w:r>
            <w:r>
              <w:rPr>
                <w:rFonts w:ascii="Times New Roman" w:hAnsi="Times New Roman"/>
                <w:sz w:val="20"/>
              </w:rPr>
              <w:t>(a)(3)</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pPr>
            <w:r>
              <w:rPr/>
              <w:t>N/A</w:t>
            </w:r>
          </w:p>
        </w:tc>
      </w:tr>
      <w:tr>
        <w:trPr/>
        <w:tc>
          <w:tcPr>
            <w:tcW w:w="3961" w:type="dxa"/>
            <w:tcBorders/>
          </w:tcPr>
          <w:p>
            <w:pPr>
              <w:pStyle w:val="TableContents"/>
              <w:bidi w:val="0"/>
              <w:spacing w:before="0" w:after="0"/>
              <w:jc w:val="left"/>
              <w:rPr/>
            </w:pPr>
            <w:r>
              <w:rPr/>
              <w:t>    </w:t>
            </w:r>
            <w:r>
              <w:rPr>
                <w:rFonts w:ascii="Times New Roman" w:hAnsi="Times New Roman"/>
                <w:sz w:val="20"/>
              </w:rPr>
              <w:t>(a)(4)</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right"/>
              <w:rPr/>
            </w:pPr>
            <w:r>
              <w:rPr/>
              <w:t>N/A</w:t>
            </w:r>
          </w:p>
        </w:tc>
      </w:tr>
      <w:tr>
        <w:trPr/>
        <w:tc>
          <w:tcPr>
            <w:tcW w:w="3961" w:type="dxa"/>
            <w:tcBorders/>
            <w:shd w:fill="CCEEFF" w:val="clear"/>
          </w:tcPr>
          <w:p>
            <w:pPr>
              <w:pStyle w:val="TableContents"/>
              <w:bidi w:val="0"/>
              <w:spacing w:before="0" w:after="0"/>
              <w:jc w:val="left"/>
              <w:rPr/>
            </w:pPr>
            <w:r>
              <w:rPr/>
              <w:t>    </w:t>
            </w:r>
            <w:r>
              <w:rPr>
                <w:rFonts w:ascii="Times New Roman" w:hAnsi="Times New Roman"/>
                <w:sz w:val="20"/>
              </w:rPr>
              <w:t>(a)(5)</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pPr>
            <w:r>
              <w:rPr/>
              <w:t>N/A</w:t>
            </w:r>
          </w:p>
        </w:tc>
      </w:tr>
      <w:tr>
        <w:trPr/>
        <w:tc>
          <w:tcPr>
            <w:tcW w:w="3961" w:type="dxa"/>
            <w:tcBorders/>
          </w:tcPr>
          <w:p>
            <w:pPr>
              <w:pStyle w:val="TableContents"/>
              <w:bidi w:val="0"/>
              <w:spacing w:before="0" w:after="0"/>
              <w:jc w:val="left"/>
              <w:rPr/>
            </w:pPr>
            <w:r>
              <w:rPr/>
              <w:t>    </w:t>
            </w:r>
            <w:r>
              <w:rPr>
                <w:rFonts w:ascii="Times New Roman" w:hAnsi="Times New Roman"/>
                <w:sz w:val="20"/>
              </w:rPr>
              <w:t>(b)</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right"/>
              <w:rPr>
                <w:b/>
              </w:rPr>
            </w:pPr>
            <w:r>
              <w:rPr>
                <w:b/>
              </w:rPr>
              <w:t>10.09, 10.03</w:t>
            </w:r>
          </w:p>
        </w:tc>
      </w:tr>
      <w:tr>
        <w:trPr/>
        <w:tc>
          <w:tcPr>
            <w:tcW w:w="3961" w:type="dxa"/>
            <w:tcBorders/>
            <w:shd w:fill="CCEEFF" w:val="clear"/>
          </w:tcPr>
          <w:p>
            <w:pPr>
              <w:pStyle w:val="TableContents"/>
              <w:bidi w:val="0"/>
              <w:spacing w:before="0" w:after="0"/>
              <w:jc w:val="left"/>
              <w:rPr/>
            </w:pPr>
            <w:r>
              <w:rPr/>
              <w:t>    </w:t>
            </w:r>
            <w:r>
              <w:rPr>
                <w:rFonts w:ascii="Times New Roman" w:hAnsi="Times New Roman"/>
                <w:sz w:val="20"/>
              </w:rPr>
              <w:t>(c)</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pPr>
            <w:r>
              <w:rPr/>
              <w:t>N/A</w:t>
            </w:r>
          </w:p>
        </w:tc>
      </w:tr>
      <w:tr>
        <w:trPr/>
        <w:tc>
          <w:tcPr>
            <w:tcW w:w="3961" w:type="dxa"/>
            <w:tcBorders/>
          </w:tcPr>
          <w:p>
            <w:pPr>
              <w:pStyle w:val="TableContents"/>
              <w:bidi w:val="0"/>
              <w:spacing w:before="0" w:after="0"/>
              <w:jc w:val="left"/>
              <w:rPr>
                <w:rFonts w:ascii="Times New Roman" w:hAnsi="Times New Roman"/>
                <w:sz w:val="20"/>
              </w:rPr>
            </w:pPr>
            <w:r>
              <w:rPr>
                <w:rFonts w:ascii="Times New Roman" w:hAnsi="Times New Roman"/>
                <w:sz w:val="20"/>
              </w:rPr>
              <w:t>311 (a)</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right"/>
              <w:rPr>
                <w:b/>
              </w:rPr>
            </w:pPr>
            <w:r>
              <w:rPr>
                <w:b/>
              </w:rPr>
              <w:t>10.03</w:t>
            </w:r>
          </w:p>
        </w:tc>
      </w:tr>
      <w:tr>
        <w:trPr/>
        <w:tc>
          <w:tcPr>
            <w:tcW w:w="3961" w:type="dxa"/>
            <w:tcBorders/>
            <w:shd w:fill="CCEEFF" w:val="clear"/>
          </w:tcPr>
          <w:p>
            <w:pPr>
              <w:pStyle w:val="TableContents"/>
              <w:bidi w:val="0"/>
              <w:spacing w:before="0" w:after="0"/>
              <w:jc w:val="left"/>
              <w:rPr/>
            </w:pPr>
            <w:r>
              <w:rPr/>
              <w:t>    </w:t>
            </w:r>
            <w:r>
              <w:rPr>
                <w:rFonts w:ascii="Times New Roman" w:hAnsi="Times New Roman"/>
                <w:sz w:val="20"/>
              </w:rPr>
              <w:t>(b)</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b/>
              </w:rPr>
            </w:pPr>
            <w:r>
              <w:rPr>
                <w:b/>
              </w:rPr>
              <w:t>10.03</w:t>
            </w:r>
          </w:p>
        </w:tc>
      </w:tr>
      <w:tr>
        <w:trPr/>
        <w:tc>
          <w:tcPr>
            <w:tcW w:w="3961" w:type="dxa"/>
            <w:tcBorders/>
          </w:tcPr>
          <w:p>
            <w:pPr>
              <w:pStyle w:val="TableContents"/>
              <w:bidi w:val="0"/>
              <w:spacing w:before="0" w:after="0"/>
              <w:jc w:val="left"/>
              <w:rPr/>
            </w:pPr>
            <w:r>
              <w:rPr/>
              <w:t>    </w:t>
            </w:r>
            <w:r>
              <w:rPr>
                <w:rFonts w:ascii="Times New Roman" w:hAnsi="Times New Roman"/>
                <w:sz w:val="20"/>
              </w:rPr>
              <w:t>(c)</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right"/>
              <w:rPr/>
            </w:pPr>
            <w:r>
              <w:rPr/>
              <w:t>N/A</w:t>
            </w:r>
          </w:p>
        </w:tc>
      </w:tr>
      <w:tr>
        <w:trPr/>
        <w:tc>
          <w:tcPr>
            <w:tcW w:w="3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312 (a)</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b/>
              </w:rPr>
            </w:pPr>
            <w:r>
              <w:rPr>
                <w:b/>
              </w:rPr>
              <w:t>2.08</w:t>
            </w:r>
          </w:p>
        </w:tc>
      </w:tr>
      <w:tr>
        <w:trPr/>
        <w:tc>
          <w:tcPr>
            <w:tcW w:w="3961" w:type="dxa"/>
            <w:tcBorders/>
          </w:tcPr>
          <w:p>
            <w:pPr>
              <w:pStyle w:val="TableContents"/>
              <w:bidi w:val="0"/>
              <w:spacing w:before="0" w:after="0"/>
              <w:jc w:val="left"/>
              <w:rPr/>
            </w:pPr>
            <w:r>
              <w:rPr/>
              <w:t>    </w:t>
            </w:r>
            <w:r>
              <w:rPr>
                <w:rFonts w:ascii="Times New Roman" w:hAnsi="Times New Roman"/>
                <w:sz w:val="20"/>
              </w:rPr>
              <w:t>(b)</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right"/>
              <w:rPr/>
            </w:pPr>
            <w:r>
              <w:rPr/>
              <w:t>N/A</w:t>
            </w:r>
          </w:p>
        </w:tc>
      </w:tr>
      <w:tr>
        <w:trPr/>
        <w:tc>
          <w:tcPr>
            <w:tcW w:w="3961" w:type="dxa"/>
            <w:tcBorders/>
            <w:shd w:fill="CCEEFF" w:val="clear"/>
          </w:tcPr>
          <w:p>
            <w:pPr>
              <w:pStyle w:val="TableContents"/>
              <w:bidi w:val="0"/>
              <w:spacing w:before="0" w:after="0"/>
              <w:jc w:val="left"/>
              <w:rPr/>
            </w:pPr>
            <w:r>
              <w:rPr/>
              <w:t>    </w:t>
            </w:r>
            <w:r>
              <w:rPr>
                <w:rFonts w:ascii="Times New Roman" w:hAnsi="Times New Roman"/>
                <w:sz w:val="20"/>
              </w:rPr>
              <w:t>(c)</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pPr>
            <w:r>
              <w:rPr/>
              <w:t>N/A</w:t>
            </w:r>
          </w:p>
        </w:tc>
      </w:tr>
      <w:tr>
        <w:trPr/>
        <w:tc>
          <w:tcPr>
            <w:tcW w:w="3961" w:type="dxa"/>
            <w:tcBorders/>
          </w:tcPr>
          <w:p>
            <w:pPr>
              <w:pStyle w:val="TableContents"/>
              <w:bidi w:val="0"/>
              <w:spacing w:before="0" w:after="0"/>
              <w:jc w:val="left"/>
              <w:rPr>
                <w:rFonts w:ascii="Times New Roman" w:hAnsi="Times New Roman"/>
                <w:sz w:val="20"/>
              </w:rPr>
            </w:pPr>
            <w:r>
              <w:rPr>
                <w:rFonts w:ascii="Times New Roman" w:hAnsi="Times New Roman"/>
                <w:sz w:val="20"/>
              </w:rPr>
              <w:t>313 (a)</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right"/>
              <w:rPr/>
            </w:pPr>
            <w:r>
              <w:rPr/>
              <w:t>N/A</w:t>
            </w:r>
          </w:p>
        </w:tc>
      </w:tr>
      <w:tr>
        <w:trPr/>
        <w:tc>
          <w:tcPr>
            <w:tcW w:w="3961" w:type="dxa"/>
            <w:tcBorders/>
            <w:shd w:fill="CCEEFF" w:val="clear"/>
          </w:tcPr>
          <w:p>
            <w:pPr>
              <w:pStyle w:val="TableContents"/>
              <w:bidi w:val="0"/>
              <w:spacing w:before="0" w:after="0"/>
              <w:jc w:val="left"/>
              <w:rPr/>
            </w:pPr>
            <w:r>
              <w:rPr/>
              <w:t>    </w:t>
            </w:r>
            <w:r>
              <w:rPr>
                <w:rFonts w:ascii="Times New Roman" w:hAnsi="Times New Roman"/>
                <w:sz w:val="20"/>
              </w:rPr>
              <w:t>(b)(1)</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pPr>
            <w:r>
              <w:rPr/>
              <w:t>N/A</w:t>
            </w:r>
          </w:p>
        </w:tc>
      </w:tr>
      <w:tr>
        <w:trPr/>
        <w:tc>
          <w:tcPr>
            <w:tcW w:w="3961" w:type="dxa"/>
            <w:tcBorders/>
          </w:tcPr>
          <w:p>
            <w:pPr>
              <w:pStyle w:val="TableContents"/>
              <w:bidi w:val="0"/>
              <w:spacing w:before="0" w:after="0"/>
              <w:jc w:val="left"/>
              <w:rPr/>
            </w:pPr>
            <w:r>
              <w:rPr/>
              <w:t>    </w:t>
            </w:r>
            <w:r>
              <w:rPr>
                <w:rFonts w:ascii="Times New Roman" w:hAnsi="Times New Roman"/>
                <w:sz w:val="20"/>
              </w:rPr>
              <w:t>(b)(2)</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right"/>
              <w:rPr/>
            </w:pPr>
            <w:r>
              <w:rPr/>
              <w:t>N/A</w:t>
            </w:r>
          </w:p>
        </w:tc>
      </w:tr>
      <w:tr>
        <w:trPr/>
        <w:tc>
          <w:tcPr>
            <w:tcW w:w="3961" w:type="dxa"/>
            <w:tcBorders/>
            <w:shd w:fill="CCEEFF" w:val="clear"/>
          </w:tcPr>
          <w:p>
            <w:pPr>
              <w:pStyle w:val="TableContents"/>
              <w:bidi w:val="0"/>
              <w:spacing w:before="0" w:after="0"/>
              <w:jc w:val="left"/>
              <w:rPr/>
            </w:pPr>
            <w:r>
              <w:rPr/>
              <w:t>    </w:t>
            </w:r>
            <w:r>
              <w:rPr>
                <w:rFonts w:ascii="Times New Roman" w:hAnsi="Times New Roman"/>
                <w:sz w:val="20"/>
              </w:rPr>
              <w:t>(c)</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pPr>
            <w:r>
              <w:rPr/>
              <w:t>N/A</w:t>
            </w:r>
          </w:p>
        </w:tc>
      </w:tr>
      <w:tr>
        <w:trPr/>
        <w:tc>
          <w:tcPr>
            <w:tcW w:w="3961" w:type="dxa"/>
            <w:tcBorders/>
          </w:tcPr>
          <w:p>
            <w:pPr>
              <w:pStyle w:val="TableContents"/>
              <w:bidi w:val="0"/>
              <w:spacing w:before="0" w:after="0"/>
              <w:jc w:val="left"/>
              <w:rPr/>
            </w:pPr>
            <w:r>
              <w:rPr/>
              <w:t>    </w:t>
            </w:r>
            <w:r>
              <w:rPr>
                <w:rFonts w:ascii="Times New Roman" w:hAnsi="Times New Roman"/>
                <w:sz w:val="20"/>
              </w:rPr>
              <w:t>(d)</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right"/>
              <w:rPr/>
            </w:pPr>
            <w:r>
              <w:rPr/>
              <w:t>N/A</w:t>
            </w:r>
          </w:p>
        </w:tc>
      </w:tr>
      <w:tr>
        <w:trPr/>
        <w:tc>
          <w:tcPr>
            <w:tcW w:w="3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314 (a)</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b/>
              </w:rPr>
            </w:pPr>
            <w:r>
              <w:rPr>
                <w:b/>
              </w:rPr>
              <w:t>3.02(A)</w:t>
            </w:r>
          </w:p>
        </w:tc>
      </w:tr>
      <w:tr>
        <w:trPr/>
        <w:tc>
          <w:tcPr>
            <w:tcW w:w="3961" w:type="dxa"/>
            <w:tcBorders/>
          </w:tcPr>
          <w:p>
            <w:pPr>
              <w:pStyle w:val="TableContents"/>
              <w:bidi w:val="0"/>
              <w:spacing w:before="0" w:after="0"/>
              <w:jc w:val="left"/>
              <w:rPr/>
            </w:pPr>
            <w:r>
              <w:rPr/>
              <w:t>    </w:t>
            </w:r>
            <w:r>
              <w:rPr>
                <w:rFonts w:ascii="Times New Roman" w:hAnsi="Times New Roman"/>
                <w:sz w:val="20"/>
              </w:rPr>
              <w:t>(b)</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right"/>
              <w:rPr/>
            </w:pPr>
            <w:r>
              <w:rPr/>
              <w:t>N/A</w:t>
            </w:r>
          </w:p>
        </w:tc>
      </w:tr>
      <w:tr>
        <w:trPr/>
        <w:tc>
          <w:tcPr>
            <w:tcW w:w="3961" w:type="dxa"/>
            <w:tcBorders/>
            <w:shd w:fill="CCEEFF" w:val="clear"/>
          </w:tcPr>
          <w:p>
            <w:pPr>
              <w:pStyle w:val="TableContents"/>
              <w:bidi w:val="0"/>
              <w:spacing w:before="0" w:after="0"/>
              <w:jc w:val="left"/>
              <w:rPr/>
            </w:pPr>
            <w:r>
              <w:rPr/>
              <w:t>    </w:t>
            </w:r>
            <w:r>
              <w:rPr>
                <w:rFonts w:ascii="Times New Roman" w:hAnsi="Times New Roman"/>
                <w:sz w:val="20"/>
              </w:rPr>
              <w:t>(c)(1)</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b/>
              </w:rPr>
            </w:pPr>
            <w:r>
              <w:rPr>
                <w:b/>
              </w:rPr>
              <w:t>11.02(A)</w:t>
            </w:r>
          </w:p>
        </w:tc>
      </w:tr>
      <w:tr>
        <w:trPr/>
        <w:tc>
          <w:tcPr>
            <w:tcW w:w="3961" w:type="dxa"/>
            <w:tcBorders/>
          </w:tcPr>
          <w:p>
            <w:pPr>
              <w:pStyle w:val="TableContents"/>
              <w:bidi w:val="0"/>
              <w:spacing w:before="0" w:after="0"/>
              <w:jc w:val="left"/>
              <w:rPr/>
            </w:pPr>
            <w:r>
              <w:rPr/>
              <w:t>    </w:t>
            </w:r>
            <w:r>
              <w:rPr>
                <w:rFonts w:ascii="Times New Roman" w:hAnsi="Times New Roman"/>
                <w:sz w:val="20"/>
              </w:rPr>
              <w:t>(c)(2)</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right"/>
              <w:rPr>
                <w:b/>
              </w:rPr>
            </w:pPr>
            <w:r>
              <w:rPr>
                <w:b/>
              </w:rPr>
              <w:t>11.02(B)</w:t>
            </w:r>
          </w:p>
        </w:tc>
      </w:tr>
      <w:tr>
        <w:trPr/>
        <w:tc>
          <w:tcPr>
            <w:tcW w:w="3961" w:type="dxa"/>
            <w:tcBorders/>
            <w:shd w:fill="CCEEFF" w:val="clear"/>
          </w:tcPr>
          <w:p>
            <w:pPr>
              <w:pStyle w:val="TableContents"/>
              <w:bidi w:val="0"/>
              <w:spacing w:before="0" w:after="0"/>
              <w:jc w:val="left"/>
              <w:rPr/>
            </w:pPr>
            <w:r>
              <w:rPr/>
              <w:t>    </w:t>
            </w:r>
            <w:r>
              <w:rPr>
                <w:rFonts w:ascii="Times New Roman" w:hAnsi="Times New Roman"/>
                <w:sz w:val="20"/>
              </w:rPr>
              <w:t>(c)(3)</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pPr>
            <w:r>
              <w:rPr/>
              <w:t>N/A</w:t>
            </w:r>
          </w:p>
        </w:tc>
      </w:tr>
      <w:tr>
        <w:trPr/>
        <w:tc>
          <w:tcPr>
            <w:tcW w:w="3961" w:type="dxa"/>
            <w:tcBorders/>
          </w:tcPr>
          <w:p>
            <w:pPr>
              <w:pStyle w:val="TableContents"/>
              <w:bidi w:val="0"/>
              <w:spacing w:before="0" w:after="0"/>
              <w:jc w:val="left"/>
              <w:rPr/>
            </w:pPr>
            <w:r>
              <w:rPr/>
              <w:t>    </w:t>
            </w:r>
            <w:r>
              <w:rPr>
                <w:rFonts w:ascii="Times New Roman" w:hAnsi="Times New Roman"/>
                <w:sz w:val="20"/>
              </w:rPr>
              <w:t>(d)</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right"/>
              <w:rPr/>
            </w:pPr>
            <w:r>
              <w:rPr/>
              <w:t>N/A</w:t>
            </w:r>
          </w:p>
        </w:tc>
      </w:tr>
      <w:tr>
        <w:trPr/>
        <w:tc>
          <w:tcPr>
            <w:tcW w:w="3961" w:type="dxa"/>
            <w:tcBorders/>
            <w:shd w:fill="CCEEFF" w:val="clear"/>
          </w:tcPr>
          <w:p>
            <w:pPr>
              <w:pStyle w:val="TableContents"/>
              <w:bidi w:val="0"/>
              <w:spacing w:before="0" w:after="0"/>
              <w:jc w:val="left"/>
              <w:rPr/>
            </w:pPr>
            <w:r>
              <w:rPr/>
              <w:t>    </w:t>
            </w:r>
            <w:r>
              <w:rPr>
                <w:rFonts w:ascii="Times New Roman" w:hAnsi="Times New Roman"/>
                <w:sz w:val="20"/>
              </w:rPr>
              <w:t>(e)</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b/>
              </w:rPr>
            </w:pPr>
            <w:r>
              <w:rPr>
                <w:b/>
              </w:rPr>
              <w:t>11.02(A), 11.02(B)</w:t>
            </w:r>
          </w:p>
        </w:tc>
      </w:tr>
      <w:tr>
        <w:trPr/>
        <w:tc>
          <w:tcPr>
            <w:tcW w:w="3961" w:type="dxa"/>
            <w:tcBorders/>
          </w:tcPr>
          <w:p>
            <w:pPr>
              <w:pStyle w:val="TableContents"/>
              <w:bidi w:val="0"/>
              <w:spacing w:before="0" w:after="0"/>
              <w:jc w:val="left"/>
              <w:rPr/>
            </w:pPr>
            <w:r>
              <w:rPr/>
              <w:t>    </w:t>
            </w:r>
            <w:r>
              <w:rPr>
                <w:rFonts w:ascii="Times New Roman" w:hAnsi="Times New Roman"/>
                <w:sz w:val="20"/>
              </w:rPr>
              <w:t>(f)</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right"/>
              <w:rPr/>
            </w:pPr>
            <w:r>
              <w:rPr/>
              <w:t>N/A</w:t>
            </w:r>
          </w:p>
        </w:tc>
      </w:tr>
      <w:tr>
        <w:trPr/>
        <w:tc>
          <w:tcPr>
            <w:tcW w:w="3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315 (a)</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b/>
              </w:rPr>
            </w:pPr>
            <w:r>
              <w:rPr>
                <w:b/>
              </w:rPr>
              <w:t>10.01(B)</w:t>
            </w:r>
          </w:p>
        </w:tc>
      </w:tr>
      <w:tr>
        <w:trPr/>
        <w:tc>
          <w:tcPr>
            <w:tcW w:w="3961" w:type="dxa"/>
            <w:tcBorders/>
          </w:tcPr>
          <w:p>
            <w:pPr>
              <w:pStyle w:val="TableContents"/>
              <w:bidi w:val="0"/>
              <w:spacing w:before="0" w:after="0"/>
              <w:jc w:val="left"/>
              <w:rPr/>
            </w:pPr>
            <w:r>
              <w:rPr/>
              <w:t>    </w:t>
            </w:r>
            <w:r>
              <w:rPr>
                <w:rFonts w:ascii="Times New Roman" w:hAnsi="Times New Roman"/>
                <w:sz w:val="20"/>
              </w:rPr>
              <w:t>(b)</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right"/>
              <w:rPr>
                <w:b/>
              </w:rPr>
            </w:pPr>
            <w:r>
              <w:rPr>
                <w:b/>
              </w:rPr>
              <w:t>10.05</w:t>
            </w:r>
          </w:p>
        </w:tc>
      </w:tr>
      <w:tr>
        <w:trPr/>
        <w:tc>
          <w:tcPr>
            <w:tcW w:w="3961" w:type="dxa"/>
            <w:tcBorders/>
            <w:shd w:fill="CCEEFF" w:val="clear"/>
          </w:tcPr>
          <w:p>
            <w:pPr>
              <w:pStyle w:val="TableContents"/>
              <w:bidi w:val="0"/>
              <w:spacing w:before="0" w:after="0"/>
              <w:jc w:val="left"/>
              <w:rPr/>
            </w:pPr>
            <w:r>
              <w:rPr/>
              <w:t>    </w:t>
            </w:r>
            <w:r>
              <w:rPr>
                <w:rFonts w:ascii="Times New Roman" w:hAnsi="Times New Roman"/>
                <w:sz w:val="20"/>
              </w:rPr>
              <w:t>(c)</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b/>
              </w:rPr>
            </w:pPr>
            <w:r>
              <w:rPr>
                <w:b/>
              </w:rPr>
              <w:t>10.01(A)</w:t>
            </w:r>
          </w:p>
        </w:tc>
      </w:tr>
      <w:tr>
        <w:trPr/>
        <w:tc>
          <w:tcPr>
            <w:tcW w:w="3961" w:type="dxa"/>
            <w:tcBorders/>
          </w:tcPr>
          <w:p>
            <w:pPr>
              <w:pStyle w:val="TableContents"/>
              <w:bidi w:val="0"/>
              <w:spacing w:before="0" w:after="0"/>
              <w:jc w:val="left"/>
              <w:rPr/>
            </w:pPr>
            <w:r>
              <w:rPr/>
              <w:t>    </w:t>
            </w:r>
            <w:r>
              <w:rPr>
                <w:rFonts w:ascii="Times New Roman" w:hAnsi="Times New Roman"/>
                <w:sz w:val="20"/>
              </w:rPr>
              <w:t>(d)</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right"/>
              <w:rPr>
                <w:b/>
              </w:rPr>
            </w:pPr>
            <w:r>
              <w:rPr>
                <w:b/>
              </w:rPr>
              <w:t>10.01(C)</w:t>
            </w:r>
          </w:p>
        </w:tc>
      </w:tr>
      <w:tr>
        <w:trPr/>
        <w:tc>
          <w:tcPr>
            <w:tcW w:w="3961" w:type="dxa"/>
            <w:tcBorders/>
            <w:shd w:fill="CCEEFF" w:val="clear"/>
          </w:tcPr>
          <w:p>
            <w:pPr>
              <w:pStyle w:val="TableContents"/>
              <w:bidi w:val="0"/>
              <w:spacing w:before="0" w:after="0"/>
              <w:jc w:val="left"/>
              <w:rPr/>
            </w:pPr>
            <w:r>
              <w:rPr/>
              <w:t>    </w:t>
            </w:r>
            <w:r>
              <w:rPr>
                <w:rFonts w:ascii="Times New Roman" w:hAnsi="Times New Roman"/>
                <w:sz w:val="20"/>
              </w:rPr>
              <w:t>(e)</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b/>
              </w:rPr>
            </w:pPr>
            <w:r>
              <w:rPr>
                <w:b/>
              </w:rPr>
              <w:t>7.13</w:t>
            </w:r>
          </w:p>
        </w:tc>
      </w:tr>
      <w:tr>
        <w:trPr/>
        <w:tc>
          <w:tcPr>
            <w:tcW w:w="3961" w:type="dxa"/>
            <w:tcBorders/>
          </w:tcPr>
          <w:p>
            <w:pPr>
              <w:pStyle w:val="TableContents"/>
              <w:bidi w:val="0"/>
              <w:spacing w:before="0" w:after="0"/>
              <w:jc w:val="left"/>
              <w:rPr>
                <w:rFonts w:ascii="Times New Roman" w:hAnsi="Times New Roman"/>
                <w:sz w:val="20"/>
              </w:rPr>
            </w:pPr>
            <w:r>
              <w:rPr>
                <w:rFonts w:ascii="Times New Roman" w:hAnsi="Times New Roman"/>
                <w:sz w:val="20"/>
              </w:rPr>
              <w:t>316 (a) (last sentence)</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right"/>
              <w:rPr>
                <w:b/>
              </w:rPr>
            </w:pPr>
            <w:r>
              <w:rPr>
                <w:b/>
              </w:rPr>
              <w:t>2.15</w:t>
            </w:r>
          </w:p>
        </w:tc>
      </w:tr>
      <w:tr>
        <w:trPr/>
        <w:tc>
          <w:tcPr>
            <w:tcW w:w="3961" w:type="dxa"/>
            <w:tcBorders/>
            <w:shd w:fill="CCEEFF" w:val="clear"/>
          </w:tcPr>
          <w:p>
            <w:pPr>
              <w:pStyle w:val="TableContents"/>
              <w:bidi w:val="0"/>
              <w:spacing w:before="0" w:after="0"/>
              <w:jc w:val="left"/>
              <w:rPr/>
            </w:pPr>
            <w:r>
              <w:rPr/>
              <w:t>    </w:t>
            </w:r>
            <w:r>
              <w:rPr>
                <w:rFonts w:ascii="Times New Roman" w:hAnsi="Times New Roman"/>
                <w:sz w:val="20"/>
              </w:rPr>
              <w:t>(a)(1)(A)</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b/>
              </w:rPr>
            </w:pPr>
            <w:r>
              <w:rPr>
                <w:b/>
              </w:rPr>
              <w:t>7.07</w:t>
            </w:r>
          </w:p>
        </w:tc>
      </w:tr>
      <w:tr>
        <w:trPr/>
        <w:tc>
          <w:tcPr>
            <w:tcW w:w="3961" w:type="dxa"/>
            <w:tcBorders/>
          </w:tcPr>
          <w:p>
            <w:pPr>
              <w:pStyle w:val="TableContents"/>
              <w:bidi w:val="0"/>
              <w:spacing w:before="0" w:after="0"/>
              <w:jc w:val="left"/>
              <w:rPr/>
            </w:pPr>
            <w:r>
              <w:rPr/>
              <w:t>    </w:t>
            </w:r>
            <w:r>
              <w:rPr>
                <w:rFonts w:ascii="Times New Roman" w:hAnsi="Times New Roman"/>
                <w:sz w:val="20"/>
              </w:rPr>
              <w:t>(a)(1)(B)</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right"/>
              <w:rPr>
                <w:b/>
              </w:rPr>
            </w:pPr>
            <w:r>
              <w:rPr>
                <w:b/>
              </w:rPr>
              <w:t>7.05</w:t>
            </w:r>
          </w:p>
        </w:tc>
      </w:tr>
      <w:tr>
        <w:trPr/>
        <w:tc>
          <w:tcPr>
            <w:tcW w:w="3961" w:type="dxa"/>
            <w:tcBorders/>
            <w:shd w:fill="CCEEFF" w:val="clear"/>
          </w:tcPr>
          <w:p>
            <w:pPr>
              <w:pStyle w:val="TableContents"/>
              <w:bidi w:val="0"/>
              <w:spacing w:before="0" w:after="0"/>
              <w:jc w:val="left"/>
              <w:rPr/>
            </w:pPr>
            <w:r>
              <w:rPr/>
              <w:t>    </w:t>
            </w:r>
            <w:r>
              <w:rPr>
                <w:rFonts w:ascii="Times New Roman" w:hAnsi="Times New Roman"/>
                <w:sz w:val="20"/>
              </w:rPr>
              <w:t>(a)(2)</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pPr>
            <w:r>
              <w:rPr/>
              <w:t>N/A</w:t>
            </w:r>
          </w:p>
        </w:tc>
      </w:tr>
      <w:tr>
        <w:trPr/>
        <w:tc>
          <w:tcPr>
            <w:tcW w:w="3961" w:type="dxa"/>
            <w:tcBorders/>
          </w:tcPr>
          <w:p>
            <w:pPr>
              <w:pStyle w:val="TableContents"/>
              <w:bidi w:val="0"/>
              <w:spacing w:before="0" w:after="0"/>
              <w:jc w:val="left"/>
              <w:rPr/>
            </w:pPr>
            <w:r>
              <w:rPr/>
              <w:t>    </w:t>
            </w:r>
            <w:r>
              <w:rPr>
                <w:rFonts w:ascii="Times New Roman" w:hAnsi="Times New Roman"/>
                <w:sz w:val="20"/>
              </w:rPr>
              <w:t>(b)</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right"/>
              <w:rPr>
                <w:b/>
              </w:rPr>
            </w:pPr>
            <w:r>
              <w:rPr>
                <w:b/>
              </w:rPr>
              <w:t>7.09</w:t>
            </w:r>
          </w:p>
        </w:tc>
      </w:tr>
      <w:tr>
        <w:trPr/>
        <w:tc>
          <w:tcPr>
            <w:tcW w:w="3961" w:type="dxa"/>
            <w:tcBorders/>
            <w:shd w:fill="CCEEFF" w:val="clear"/>
          </w:tcPr>
          <w:p>
            <w:pPr>
              <w:pStyle w:val="TableContents"/>
              <w:bidi w:val="0"/>
              <w:spacing w:before="0" w:after="0"/>
              <w:jc w:val="left"/>
              <w:rPr/>
            </w:pPr>
            <w:r>
              <w:rPr/>
              <w:t>    </w:t>
            </w:r>
            <w:r>
              <w:rPr>
                <w:rFonts w:ascii="Times New Roman" w:hAnsi="Times New Roman"/>
                <w:sz w:val="20"/>
              </w:rPr>
              <w:t>(c)</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pPr>
            <w:r>
              <w:rPr/>
              <w:t>N/A</w:t>
            </w:r>
          </w:p>
        </w:tc>
      </w:tr>
      <w:tr>
        <w:trPr/>
        <w:tc>
          <w:tcPr>
            <w:tcW w:w="3961" w:type="dxa"/>
            <w:tcBorders/>
          </w:tcPr>
          <w:p>
            <w:pPr>
              <w:pStyle w:val="TableContents"/>
              <w:bidi w:val="0"/>
              <w:spacing w:before="0" w:after="0"/>
              <w:jc w:val="left"/>
              <w:rPr>
                <w:rFonts w:ascii="Times New Roman" w:hAnsi="Times New Roman"/>
                <w:sz w:val="20"/>
              </w:rPr>
            </w:pPr>
            <w:r>
              <w:rPr>
                <w:rFonts w:ascii="Times New Roman" w:hAnsi="Times New Roman"/>
                <w:sz w:val="20"/>
              </w:rPr>
              <w:t>317 (a)(1)</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right"/>
              <w:rPr>
                <w:b/>
              </w:rPr>
            </w:pPr>
            <w:r>
              <w:rPr>
                <w:b/>
              </w:rPr>
              <w:t>7.10</w:t>
            </w:r>
          </w:p>
        </w:tc>
      </w:tr>
      <w:tr>
        <w:trPr/>
        <w:tc>
          <w:tcPr>
            <w:tcW w:w="3961" w:type="dxa"/>
            <w:tcBorders/>
            <w:shd w:fill="CCEEFF" w:val="clear"/>
          </w:tcPr>
          <w:p>
            <w:pPr>
              <w:pStyle w:val="TableContents"/>
              <w:bidi w:val="0"/>
              <w:spacing w:before="0" w:after="0"/>
              <w:jc w:val="left"/>
              <w:rPr/>
            </w:pPr>
            <w:r>
              <w:rPr/>
              <w:t>    </w:t>
            </w:r>
            <w:r>
              <w:rPr>
                <w:rFonts w:ascii="Times New Roman" w:hAnsi="Times New Roman"/>
                <w:sz w:val="20"/>
              </w:rPr>
              <w:t>(a)(2)</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b/>
              </w:rPr>
            </w:pPr>
            <w:r>
              <w:rPr>
                <w:b/>
              </w:rPr>
              <w:t>7.11</w:t>
            </w:r>
          </w:p>
        </w:tc>
      </w:tr>
      <w:tr>
        <w:trPr/>
        <w:tc>
          <w:tcPr>
            <w:tcW w:w="3961" w:type="dxa"/>
            <w:tcBorders/>
          </w:tcPr>
          <w:p>
            <w:pPr>
              <w:pStyle w:val="TableContents"/>
              <w:bidi w:val="0"/>
              <w:spacing w:before="0" w:after="0"/>
              <w:jc w:val="left"/>
              <w:rPr/>
            </w:pPr>
            <w:r>
              <w:rPr/>
              <w:t>    </w:t>
            </w:r>
            <w:r>
              <w:rPr>
                <w:rFonts w:ascii="Times New Roman" w:hAnsi="Times New Roman"/>
                <w:sz w:val="20"/>
              </w:rPr>
              <w:t>(b)</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right"/>
              <w:rPr>
                <w:b/>
              </w:rPr>
            </w:pPr>
            <w:r>
              <w:rPr>
                <w:b/>
              </w:rPr>
              <w:t>2.07</w:t>
            </w:r>
          </w:p>
        </w:tc>
      </w:tr>
      <w:tr>
        <w:trPr/>
        <w:tc>
          <w:tcPr>
            <w:tcW w:w="3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318 (a)</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pPr>
            <w:r>
              <w:rPr/>
              <w:t>N/A</w:t>
            </w:r>
          </w:p>
        </w:tc>
      </w:tr>
      <w:tr>
        <w:trPr/>
        <w:tc>
          <w:tcPr>
            <w:tcW w:w="3961" w:type="dxa"/>
            <w:tcBorders/>
          </w:tcPr>
          <w:p>
            <w:pPr>
              <w:pStyle w:val="TableContents"/>
              <w:bidi w:val="0"/>
              <w:spacing w:before="0" w:after="0"/>
              <w:jc w:val="left"/>
              <w:rPr/>
            </w:pPr>
            <w:r>
              <w:rPr/>
              <w:t>    </w:t>
            </w:r>
            <w:r>
              <w:rPr>
                <w:rFonts w:ascii="Times New Roman" w:hAnsi="Times New Roman"/>
                <w:sz w:val="20"/>
              </w:rPr>
              <w:t>(b)</w:t>
            </w:r>
          </w:p>
        </w:tc>
        <w:tc>
          <w:tcPr>
            <w:tcW w:w="121" w:type="dxa"/>
            <w:tcBorders/>
            <w:vAlign w:val="bottom"/>
          </w:tcPr>
          <w:p>
            <w:pPr>
              <w:pStyle w:val="TableContents"/>
              <w:bidi w:val="0"/>
              <w:spacing w:before="0" w:after="283"/>
              <w:jc w:val="left"/>
              <w:rPr/>
            </w:pPr>
            <w:r>
              <w:rPr/>
              <w:t>  </w:t>
            </w:r>
          </w:p>
        </w:tc>
        <w:tc>
          <w:tcPr>
            <w:tcW w:w="4082" w:type="dxa"/>
            <w:tcBorders/>
            <w:vAlign w:val="bottom"/>
          </w:tcPr>
          <w:p>
            <w:pPr>
              <w:pStyle w:val="TableContents"/>
              <w:bidi w:val="0"/>
              <w:spacing w:before="0" w:after="283"/>
              <w:jc w:val="right"/>
              <w:rPr>
                <w:b/>
              </w:rPr>
            </w:pPr>
            <w:r>
              <w:rPr>
                <w:b/>
              </w:rPr>
              <w:t>11.17</w:t>
            </w:r>
          </w:p>
        </w:tc>
      </w:tr>
      <w:tr>
        <w:trPr/>
        <w:tc>
          <w:tcPr>
            <w:tcW w:w="3961" w:type="dxa"/>
            <w:tcBorders/>
            <w:shd w:fill="CCEEFF" w:val="clear"/>
          </w:tcPr>
          <w:p>
            <w:pPr>
              <w:pStyle w:val="TableContents"/>
              <w:bidi w:val="0"/>
              <w:spacing w:before="0" w:after="0"/>
              <w:jc w:val="left"/>
              <w:rPr/>
            </w:pPr>
            <w:r>
              <w:rPr/>
              <w:t>    </w:t>
            </w:r>
            <w:r>
              <w:rPr>
                <w:rFonts w:ascii="Times New Roman" w:hAnsi="Times New Roman"/>
                <w:sz w:val="20"/>
              </w:rPr>
              <w:t>(c)</w:t>
            </w:r>
          </w:p>
        </w:tc>
        <w:tc>
          <w:tcPr>
            <w:tcW w:w="121" w:type="dxa"/>
            <w:tcBorders/>
            <w:shd w:fill="CCEEFF" w:val="clear"/>
            <w:vAlign w:val="bottom"/>
          </w:tcPr>
          <w:p>
            <w:pPr>
              <w:pStyle w:val="TableContents"/>
              <w:bidi w:val="0"/>
              <w:spacing w:before="0" w:after="283"/>
              <w:jc w:val="left"/>
              <w:rPr/>
            </w:pPr>
            <w:r>
              <w:rPr/>
              <w:t>  </w:t>
            </w:r>
          </w:p>
        </w:tc>
        <w:tc>
          <w:tcPr>
            <w:tcW w:w="4082" w:type="dxa"/>
            <w:tcBorders/>
            <w:shd w:fill="CCEEFF" w:val="clear"/>
            <w:vAlign w:val="bottom"/>
          </w:tcPr>
          <w:p>
            <w:pPr>
              <w:pStyle w:val="TableContents"/>
              <w:bidi w:val="0"/>
              <w:spacing w:before="0" w:after="283"/>
              <w:jc w:val="right"/>
              <w:rPr/>
            </w:pPr>
            <w:r>
              <w:rPr/>
              <w:t>N/A</w:t>
            </w:r>
          </w:p>
        </w:tc>
      </w:tr>
    </w:tbl>
    <w:p>
      <w:pPr>
        <w:pStyle w:val="TextBody"/>
        <w:bidi w:val="0"/>
        <w:spacing w:before="240" w:after="0"/>
        <w:jc w:val="left"/>
        <w:rPr>
          <w:rFonts w:ascii="Times New Roman" w:hAnsi="Times New Roman"/>
          <w:sz w:val="20"/>
        </w:rPr>
      </w:pPr>
      <w:r>
        <w:rPr>
          <w:rFonts w:ascii="Times New Roman" w:hAnsi="Times New Roman"/>
          <w:sz w:val="20"/>
        </w:rPr>
        <w:t xml:space="preserve">N/A means not applicable.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Cross Reference Table is not part of the Indenture.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45"/>
        <w:gridCol w:w="175"/>
        <w:gridCol w:w="7424"/>
        <w:gridCol w:w="175"/>
        <w:gridCol w:w="96"/>
        <w:gridCol w:w="427"/>
        <w:gridCol w:w="63"/>
      </w:tblGrid>
      <w:tr>
        <w:trPr/>
        <w:tc>
          <w:tcPr>
            <w:tcW w:w="1845"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7424"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84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42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 Definitions; Rules of Construction; Scope and Interpretation of Base Indenture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845" w:type="dxa"/>
            <w:tcBorders/>
            <w:vAlign w:val="center"/>
          </w:tcPr>
          <w:p>
            <w:pPr>
              <w:pStyle w:val="TableContents"/>
              <w:bidi w:val="0"/>
              <w:spacing w:before="0" w:after="283"/>
              <w:jc w:val="left"/>
              <w:rPr>
                <w:sz w:val="4"/>
                <w:szCs w:val="4"/>
              </w:rPr>
            </w:pPr>
            <w:r>
              <w:rPr>
                <w:sz w:val="4"/>
                <w:szCs w:val="4"/>
              </w:rPr>
            </w:r>
          </w:p>
        </w:tc>
        <w:tc>
          <w:tcPr>
            <w:tcW w:w="7599"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Definitions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Other Definitions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Rules of Construction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Interpretation; Scope of Supplemental Indenture; Supersession of Base Indenture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2. The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1845" w:type="dxa"/>
            <w:tcBorders/>
            <w:vAlign w:val="center"/>
          </w:tcPr>
          <w:p>
            <w:pPr>
              <w:pStyle w:val="TableContents"/>
              <w:bidi w:val="0"/>
              <w:spacing w:before="0" w:after="283"/>
              <w:jc w:val="left"/>
              <w:rPr>
                <w:sz w:val="4"/>
                <w:szCs w:val="4"/>
              </w:rPr>
            </w:pPr>
            <w:r>
              <w:rPr>
                <w:sz w:val="4"/>
                <w:szCs w:val="4"/>
              </w:rPr>
            </w:r>
          </w:p>
        </w:tc>
        <w:tc>
          <w:tcPr>
            <w:tcW w:w="7599"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Form, Dating and Denominations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Execution, Authentication and Delivery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Initial Notes and Additional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Method of Payment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Accrual of Interest; Defaulted Amounts; When Payment Date is Not a Business Day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Registrar, Paying Agent and Conversion Agent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Paying Agent and Conversion Agent to Hold Property in Trust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Holder Lists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Legends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Transfers and Exchanges; Certain Transfer Restrictions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Exchange and Cancellation of Notes to Be Converted or to Be Repurchased Pursuant to a Repurchase Upon Fundamental Change or Redemption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Replacement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Registered Holders; Certain Rights with Respect to Global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Cancellation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Notes Held by the Company or its Affiliates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Temporary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Outstanding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Repurchases by the Company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2.19.</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CUSIP and ISIN Numbers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3. Covenants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1845" w:type="dxa"/>
            <w:tcBorders/>
            <w:vAlign w:val="center"/>
          </w:tcPr>
          <w:p>
            <w:pPr>
              <w:pStyle w:val="TableContents"/>
              <w:bidi w:val="0"/>
              <w:spacing w:before="0" w:after="283"/>
              <w:jc w:val="left"/>
              <w:rPr>
                <w:sz w:val="4"/>
                <w:szCs w:val="4"/>
              </w:rPr>
            </w:pPr>
            <w:r>
              <w:rPr>
                <w:sz w:val="4"/>
                <w:szCs w:val="4"/>
              </w:rPr>
            </w:r>
          </w:p>
        </w:tc>
        <w:tc>
          <w:tcPr>
            <w:tcW w:w="7599"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Payment on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Exchange Act Reports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Compliance and Default Certificates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Stay, Extension and Usury Laws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Acquisition of Notes by the Company and its Affiliates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4. Repurchase and Redemption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845" w:type="dxa"/>
            <w:tcBorders/>
            <w:vAlign w:val="center"/>
          </w:tcPr>
          <w:p>
            <w:pPr>
              <w:pStyle w:val="TableContents"/>
              <w:bidi w:val="0"/>
              <w:spacing w:before="0" w:after="283"/>
              <w:jc w:val="left"/>
              <w:rPr>
                <w:sz w:val="4"/>
                <w:szCs w:val="4"/>
              </w:rPr>
            </w:pPr>
            <w:r>
              <w:rPr>
                <w:sz w:val="4"/>
                <w:szCs w:val="4"/>
              </w:rPr>
            </w:r>
          </w:p>
        </w:tc>
        <w:tc>
          <w:tcPr>
            <w:tcW w:w="7599"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No Sinking Fund</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283"/>
              <w:jc w:val="left"/>
              <w:rPr/>
            </w:pPr>
            <w:r>
              <w:rPr/>
              <w:t>Right of Holders to Require the Company to Repurchase Notes Upon a Fundamental Change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845"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75" w:type="dxa"/>
            <w:tcBorders/>
            <w:vAlign w:val="bottom"/>
          </w:tcPr>
          <w:p>
            <w:pPr>
              <w:pStyle w:val="TableContents"/>
              <w:bidi w:val="0"/>
              <w:spacing w:before="0" w:after="283"/>
              <w:jc w:val="left"/>
              <w:rPr/>
            </w:pPr>
            <w:r>
              <w:rPr/>
              <w:t>  </w:t>
            </w:r>
          </w:p>
        </w:tc>
        <w:tc>
          <w:tcPr>
            <w:tcW w:w="7424" w:type="dxa"/>
            <w:tcBorders/>
          </w:tcPr>
          <w:p>
            <w:pPr>
              <w:pStyle w:val="TableContents"/>
              <w:bidi w:val="0"/>
              <w:spacing w:before="0" w:after="0"/>
              <w:jc w:val="left"/>
              <w:rPr>
                <w:rFonts w:ascii="Times New Roman" w:hAnsi="Times New Roman"/>
                <w:sz w:val="20"/>
              </w:rPr>
            </w:pPr>
            <w:r>
              <w:rPr>
                <w:rFonts w:ascii="Times New Roman" w:hAnsi="Times New Roman"/>
                <w:sz w:val="20"/>
              </w:rPr>
              <w:t>Right of the Company to Redeem the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87"/>
        <w:gridCol w:w="165"/>
        <w:gridCol w:w="7702"/>
        <w:gridCol w:w="165"/>
        <w:gridCol w:w="60"/>
        <w:gridCol w:w="263"/>
        <w:gridCol w:w="63"/>
      </w:tblGrid>
      <w:tr>
        <w:trPr/>
        <w:tc>
          <w:tcPr>
            <w:tcW w:w="1787"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7702"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5. The Conversion of Notes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1787" w:type="dxa"/>
            <w:tcBorders/>
            <w:vAlign w:val="center"/>
          </w:tcPr>
          <w:p>
            <w:pPr>
              <w:pStyle w:val="TableContents"/>
              <w:bidi w:val="0"/>
              <w:spacing w:before="0" w:after="283"/>
              <w:jc w:val="left"/>
              <w:rPr>
                <w:sz w:val="4"/>
                <w:szCs w:val="4"/>
              </w:rPr>
            </w:pPr>
            <w:r>
              <w:rPr>
                <w:sz w:val="4"/>
                <w:szCs w:val="4"/>
              </w:rPr>
            </w:r>
          </w:p>
        </w:tc>
        <w:tc>
          <w:tcPr>
            <w:tcW w:w="7867"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Right to Convert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Conversion Procedures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Settlement Upon Conversion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Reserve and Status of Common Stock Issued Upon Conversion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Adjustments to the Conversion Rate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Voluntary Adjustments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Adjustments to the Conversion Rate in Connection with a Make-Whole Fundamental Change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Exchange in Lieu of Conversion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Effect of Common Stock Change Event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6. Successors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rHeight w:val="120" w:hRule="atLeast"/>
        </w:trPr>
        <w:tc>
          <w:tcPr>
            <w:tcW w:w="1787" w:type="dxa"/>
            <w:tcBorders/>
            <w:vAlign w:val="center"/>
          </w:tcPr>
          <w:p>
            <w:pPr>
              <w:pStyle w:val="TableContents"/>
              <w:bidi w:val="0"/>
              <w:spacing w:before="0" w:after="283"/>
              <w:jc w:val="left"/>
              <w:rPr>
                <w:sz w:val="4"/>
                <w:szCs w:val="4"/>
              </w:rPr>
            </w:pPr>
            <w:r>
              <w:rPr>
                <w:sz w:val="4"/>
                <w:szCs w:val="4"/>
              </w:rPr>
            </w:r>
          </w:p>
        </w:tc>
        <w:tc>
          <w:tcPr>
            <w:tcW w:w="7867"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When the Company May Merge, Etc.</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Successor Entity Substituted</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Exclusion for Asset Transfers with Wholly Owned Subsidiaries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7. Defaults and Remedies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rHeight w:val="120" w:hRule="atLeast"/>
        </w:trPr>
        <w:tc>
          <w:tcPr>
            <w:tcW w:w="1787" w:type="dxa"/>
            <w:tcBorders/>
            <w:vAlign w:val="center"/>
          </w:tcPr>
          <w:p>
            <w:pPr>
              <w:pStyle w:val="TableContents"/>
              <w:bidi w:val="0"/>
              <w:spacing w:before="0" w:after="283"/>
              <w:jc w:val="left"/>
              <w:rPr>
                <w:sz w:val="4"/>
                <w:szCs w:val="4"/>
              </w:rPr>
            </w:pPr>
            <w:r>
              <w:rPr>
                <w:sz w:val="4"/>
                <w:szCs w:val="4"/>
              </w:rPr>
            </w:r>
          </w:p>
        </w:tc>
        <w:tc>
          <w:tcPr>
            <w:tcW w:w="7867"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Events of Default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Acceleration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Sole Remedy for a Failure to Report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Other Remedies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Waiver of Past Defaults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Cure of Defaults; Ability to Cure or Waive Before Event of Default Occurs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Control by Majority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Limitation on Suits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Absolute Right of Holders to Receive Payment and Conversion Consideration and to Institute Suit for the Enforcement of such Right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Collection Suit by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Trustee May File Proofs of Claim</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Priorities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Undertaking for Costs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8. Amendments, Supplements and Waivers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rHeight w:val="120" w:hRule="atLeast"/>
        </w:trPr>
        <w:tc>
          <w:tcPr>
            <w:tcW w:w="1787" w:type="dxa"/>
            <w:tcBorders/>
            <w:vAlign w:val="center"/>
          </w:tcPr>
          <w:p>
            <w:pPr>
              <w:pStyle w:val="TableContents"/>
              <w:bidi w:val="0"/>
              <w:spacing w:before="0" w:after="283"/>
              <w:jc w:val="left"/>
              <w:rPr>
                <w:sz w:val="4"/>
                <w:szCs w:val="4"/>
              </w:rPr>
            </w:pPr>
            <w:r>
              <w:rPr>
                <w:sz w:val="4"/>
                <w:szCs w:val="4"/>
              </w:rPr>
            </w:r>
          </w:p>
        </w:tc>
        <w:tc>
          <w:tcPr>
            <w:tcW w:w="7867"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Without the Consent of 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With the Consent of 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Notice of Amendments, Supplements and Waivers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Revocation, Effect and Solicitation of Consents; Special Record Dates; Etc.</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Notations and Exchanges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165" w:type="dxa"/>
            <w:tcBorders/>
            <w:vAlign w:val="bottom"/>
          </w:tcPr>
          <w:p>
            <w:pPr>
              <w:pStyle w:val="TableContents"/>
              <w:bidi w:val="0"/>
              <w:spacing w:before="0" w:after="283"/>
              <w:jc w:val="left"/>
              <w:rPr/>
            </w:pPr>
            <w:r>
              <w:rPr/>
              <w:t>  </w:t>
            </w:r>
          </w:p>
        </w:tc>
        <w:tc>
          <w:tcPr>
            <w:tcW w:w="7702" w:type="dxa"/>
            <w:tcBorders/>
          </w:tcPr>
          <w:p>
            <w:pPr>
              <w:pStyle w:val="TableContents"/>
              <w:bidi w:val="0"/>
              <w:spacing w:before="0" w:after="283"/>
              <w:jc w:val="left"/>
              <w:rPr/>
            </w:pPr>
            <w:r>
              <w:rPr/>
              <w:t>Trustee to Execute Supplemental Indentures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40"/>
        <w:gridCol w:w="163"/>
        <w:gridCol w:w="7655"/>
        <w:gridCol w:w="163"/>
        <w:gridCol w:w="60"/>
        <w:gridCol w:w="260"/>
        <w:gridCol w:w="64"/>
      </w:tblGrid>
      <w:tr>
        <w:trPr/>
        <w:tc>
          <w:tcPr>
            <w:tcW w:w="1840"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7655"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58" w:type="dxa"/>
            <w:gridSpan w:val="3"/>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965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9. Satisfaction and Discharge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rHeight w:val="120" w:hRule="atLeast"/>
        </w:trPr>
        <w:tc>
          <w:tcPr>
            <w:tcW w:w="1840" w:type="dxa"/>
            <w:tcBorders/>
            <w:vAlign w:val="center"/>
          </w:tcPr>
          <w:p>
            <w:pPr>
              <w:pStyle w:val="TableContents"/>
              <w:bidi w:val="0"/>
              <w:spacing w:before="0" w:after="283"/>
              <w:jc w:val="left"/>
              <w:rPr>
                <w:sz w:val="4"/>
                <w:szCs w:val="4"/>
              </w:rPr>
            </w:pPr>
            <w:r>
              <w:rPr>
                <w:sz w:val="4"/>
                <w:szCs w:val="4"/>
              </w:rPr>
            </w:r>
          </w:p>
        </w:tc>
        <w:tc>
          <w:tcPr>
            <w:tcW w:w="781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Termination of Company’s Obligations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Repayment to Company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Reinstatement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rHeight w:val="120" w:hRule="atLeast"/>
        </w:trPr>
        <w:tc>
          <w:tcPr>
            <w:tcW w:w="9658" w:type="dxa"/>
            <w:gridSpan w:val="3"/>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965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10. Trustee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rHeight w:val="120" w:hRule="atLeast"/>
        </w:trPr>
        <w:tc>
          <w:tcPr>
            <w:tcW w:w="1840" w:type="dxa"/>
            <w:tcBorders/>
            <w:vAlign w:val="center"/>
          </w:tcPr>
          <w:p>
            <w:pPr>
              <w:pStyle w:val="TableContents"/>
              <w:bidi w:val="0"/>
              <w:spacing w:before="0" w:after="283"/>
              <w:jc w:val="left"/>
              <w:rPr>
                <w:sz w:val="4"/>
                <w:szCs w:val="4"/>
              </w:rPr>
            </w:pPr>
            <w:r>
              <w:rPr>
                <w:sz w:val="4"/>
                <w:szCs w:val="4"/>
              </w:rPr>
            </w:r>
          </w:p>
        </w:tc>
        <w:tc>
          <w:tcPr>
            <w:tcW w:w="781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Duties of the Trustee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Rights of the Trustee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Individual Rights of the Trustee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Trustee’s Disclaimer</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Notice of Defaults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Compensation and Indemnity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10.07.</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Replacement of the Trustee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10.08.</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Successor Trustee by Merger, Etc.</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10.09.</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Eligibility; Disqualification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rHeight w:val="120" w:hRule="atLeast"/>
        </w:trPr>
        <w:tc>
          <w:tcPr>
            <w:tcW w:w="9658" w:type="dxa"/>
            <w:gridSpan w:val="3"/>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965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11. Miscellaneous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rHeight w:val="120" w:hRule="atLeast"/>
        </w:trPr>
        <w:tc>
          <w:tcPr>
            <w:tcW w:w="1840" w:type="dxa"/>
            <w:tcBorders/>
            <w:vAlign w:val="center"/>
          </w:tcPr>
          <w:p>
            <w:pPr>
              <w:pStyle w:val="TableContents"/>
              <w:bidi w:val="0"/>
              <w:spacing w:before="0" w:after="283"/>
              <w:jc w:val="left"/>
              <w:rPr>
                <w:sz w:val="4"/>
                <w:szCs w:val="4"/>
              </w:rPr>
            </w:pPr>
            <w:r>
              <w:rPr>
                <w:sz w:val="4"/>
                <w:szCs w:val="4"/>
              </w:rPr>
            </w:r>
          </w:p>
        </w:tc>
        <w:tc>
          <w:tcPr>
            <w:tcW w:w="7818"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Notices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Delivery of Officer’s Certificate and Opinion of Counsel as to Conditions Precedent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Statements Required in Officer’s Certificate and Opinion of Counsel</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Rules by the Trustee, the Registrar, the Paying Agent and the Conversion Agent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No Personal Liability of Directors, Officers, Employees and Stockholders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Governing Law; Waiver of Jury Trial</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Submission to Jurisdiction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11.08.</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No Adverse Interpretation of Other Agreements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11.09.</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Successors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11.10.</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Force Majeure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11.11.</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U.S.A. PATRIOT Act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11.12.</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Calculations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11.13.</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Severability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11.14.</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Counterparts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11.15.</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Table of Contents, Headings, Etc.</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11.16.</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Withholding Taxes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8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11.17.</w:t>
            </w:r>
          </w:p>
        </w:tc>
        <w:tc>
          <w:tcPr>
            <w:tcW w:w="16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Trust Indenture Act Controls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6"/>
        <w:gridCol w:w="127"/>
        <w:gridCol w:w="4842"/>
      </w:tblGrid>
      <w:tr>
        <w:trPr/>
        <w:tc>
          <w:tcPr>
            <w:tcW w:w="5236"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4842" w:type="dxa"/>
            <w:tcBorders/>
            <w:vAlign w:val="center"/>
          </w:tcPr>
          <w:p>
            <w:pPr>
              <w:pStyle w:val="TableContents"/>
              <w:bidi w:val="0"/>
              <w:spacing w:before="0" w:after="283"/>
              <w:jc w:val="left"/>
              <w:rPr>
                <w:sz w:val="4"/>
                <w:szCs w:val="4"/>
              </w:rPr>
            </w:pPr>
            <w:r>
              <w:rPr>
                <w:sz w:val="4"/>
                <w:szCs w:val="4"/>
              </w:rPr>
            </w:r>
          </w:p>
        </w:tc>
      </w:tr>
      <w:tr>
        <w:trPr/>
        <w:tc>
          <w:tcPr>
            <w:tcW w:w="5236" w:type="dxa"/>
            <w:tcBorders/>
          </w:tcPr>
          <w:p>
            <w:pPr>
              <w:pStyle w:val="TableContents"/>
              <w:bidi w:val="0"/>
              <w:spacing w:before="0" w:after="283"/>
              <w:jc w:val="left"/>
              <w:rPr>
                <w:u w:val="single"/>
              </w:rPr>
            </w:pPr>
            <w:r>
              <w:rPr>
                <w:u w:val="single"/>
              </w:rPr>
              <w:t>Exhibits</w:t>
            </w:r>
          </w:p>
        </w:tc>
        <w:tc>
          <w:tcPr>
            <w:tcW w:w="127" w:type="dxa"/>
            <w:tcBorders/>
            <w:vAlign w:val="bottom"/>
          </w:tcPr>
          <w:p>
            <w:pPr>
              <w:pStyle w:val="TableContents"/>
              <w:bidi w:val="0"/>
              <w:spacing w:before="0" w:after="283"/>
              <w:jc w:val="left"/>
              <w:rPr/>
            </w:pPr>
            <w:r>
              <w:rPr/>
              <w:t>  </w:t>
            </w:r>
          </w:p>
        </w:tc>
        <w:tc>
          <w:tcPr>
            <w:tcW w:w="4842" w:type="dxa"/>
            <w:tcBorders/>
          </w:tcPr>
          <w:p>
            <w:pPr>
              <w:pStyle w:val="TableContents"/>
              <w:bidi w:val="0"/>
              <w:spacing w:before="0" w:after="283"/>
              <w:jc w:val="left"/>
              <w:rPr/>
            </w:pPr>
            <w:r>
              <w:rPr/>
              <w:t> </w:t>
            </w:r>
          </w:p>
        </w:tc>
      </w:tr>
      <w:tr>
        <w:trPr>
          <w:trHeight w:val="120" w:hRule="atLeast"/>
        </w:trPr>
        <w:tc>
          <w:tcPr>
            <w:tcW w:w="5236" w:type="dxa"/>
            <w:tcBorders/>
            <w:vAlign w:val="center"/>
          </w:tcPr>
          <w:p>
            <w:pPr>
              <w:pStyle w:val="TableContents"/>
              <w:bidi w:val="0"/>
              <w:spacing w:before="0" w:after="283"/>
              <w:jc w:val="left"/>
              <w:rPr>
                <w:sz w:val="4"/>
                <w:szCs w:val="4"/>
              </w:rPr>
            </w:pPr>
            <w:r>
              <w:rPr>
                <w:sz w:val="4"/>
                <w:szCs w:val="4"/>
              </w:rPr>
            </w:r>
          </w:p>
        </w:tc>
        <w:tc>
          <w:tcPr>
            <w:tcW w:w="4969" w:type="dxa"/>
            <w:gridSpan w:val="2"/>
            <w:tcBorders/>
            <w:vAlign w:val="center"/>
          </w:tcPr>
          <w:p>
            <w:pPr>
              <w:pStyle w:val="TableContents"/>
              <w:bidi w:val="0"/>
              <w:spacing w:before="0" w:after="283"/>
              <w:jc w:val="left"/>
              <w:rPr>
                <w:sz w:val="4"/>
                <w:szCs w:val="4"/>
              </w:rPr>
            </w:pPr>
            <w:r>
              <w:rPr>
                <w:sz w:val="4"/>
                <w:szCs w:val="4"/>
              </w:rPr>
            </w:r>
          </w:p>
        </w:tc>
      </w:tr>
      <w:tr>
        <w:trPr/>
        <w:tc>
          <w:tcPr>
            <w:tcW w:w="5236" w:type="dxa"/>
            <w:tcBorders/>
          </w:tcPr>
          <w:p>
            <w:pPr>
              <w:pStyle w:val="TableContents"/>
              <w:bidi w:val="0"/>
              <w:spacing w:before="0" w:after="0"/>
              <w:jc w:val="left"/>
              <w:rPr>
                <w:rFonts w:ascii="Times New Roman" w:hAnsi="Times New Roman"/>
                <w:sz w:val="20"/>
              </w:rPr>
            </w:pPr>
            <w:r>
              <w:rPr>
                <w:rFonts w:ascii="Times New Roman" w:hAnsi="Times New Roman"/>
                <w:sz w:val="20"/>
              </w:rPr>
              <w:t>Exhibit A: Form of Note</w:t>
            </w:r>
          </w:p>
        </w:tc>
        <w:tc>
          <w:tcPr>
            <w:tcW w:w="127" w:type="dxa"/>
            <w:tcBorders/>
            <w:vAlign w:val="bottom"/>
          </w:tcPr>
          <w:p>
            <w:pPr>
              <w:pStyle w:val="TableContents"/>
              <w:bidi w:val="0"/>
              <w:spacing w:before="0" w:after="283"/>
              <w:jc w:val="left"/>
              <w:rPr/>
            </w:pPr>
            <w:r>
              <w:rPr/>
              <w:t>  </w:t>
            </w:r>
          </w:p>
        </w:tc>
        <w:tc>
          <w:tcPr>
            <w:tcW w:w="4842" w:type="dxa"/>
            <w:tcBorders/>
          </w:tcPr>
          <w:p>
            <w:pPr>
              <w:pStyle w:val="TableContents"/>
              <w:bidi w:val="0"/>
              <w:spacing w:before="0" w:after="283"/>
              <w:jc w:val="right"/>
              <w:rPr/>
            </w:pPr>
            <w:r>
              <w:rPr/>
              <w:t>A-1</w:t>
            </w:r>
          </w:p>
        </w:tc>
      </w:tr>
      <w:tr>
        <w:trPr>
          <w:trHeight w:val="120" w:hRule="atLeast"/>
        </w:trPr>
        <w:tc>
          <w:tcPr>
            <w:tcW w:w="5236" w:type="dxa"/>
            <w:tcBorders/>
            <w:vAlign w:val="center"/>
          </w:tcPr>
          <w:p>
            <w:pPr>
              <w:pStyle w:val="TableContents"/>
              <w:bidi w:val="0"/>
              <w:spacing w:before="0" w:after="283"/>
              <w:jc w:val="left"/>
              <w:rPr>
                <w:sz w:val="4"/>
                <w:szCs w:val="4"/>
              </w:rPr>
            </w:pPr>
            <w:r>
              <w:rPr>
                <w:sz w:val="4"/>
                <w:szCs w:val="4"/>
              </w:rPr>
            </w:r>
          </w:p>
        </w:tc>
        <w:tc>
          <w:tcPr>
            <w:tcW w:w="4969" w:type="dxa"/>
            <w:gridSpan w:val="2"/>
            <w:tcBorders/>
            <w:vAlign w:val="center"/>
          </w:tcPr>
          <w:p>
            <w:pPr>
              <w:pStyle w:val="TableContents"/>
              <w:bidi w:val="0"/>
              <w:spacing w:before="0" w:after="283"/>
              <w:jc w:val="left"/>
              <w:rPr>
                <w:sz w:val="4"/>
                <w:szCs w:val="4"/>
              </w:rPr>
            </w:pPr>
            <w:r>
              <w:rPr>
                <w:sz w:val="4"/>
                <w:szCs w:val="4"/>
              </w:rPr>
            </w:r>
          </w:p>
        </w:tc>
      </w:tr>
      <w:tr>
        <w:trPr/>
        <w:tc>
          <w:tcPr>
            <w:tcW w:w="5236" w:type="dxa"/>
            <w:tcBorders/>
          </w:tcPr>
          <w:p>
            <w:pPr>
              <w:pStyle w:val="TableContents"/>
              <w:bidi w:val="0"/>
              <w:spacing w:before="0" w:after="0"/>
              <w:jc w:val="left"/>
              <w:rPr>
                <w:rFonts w:ascii="Times New Roman" w:hAnsi="Times New Roman"/>
                <w:sz w:val="20"/>
              </w:rPr>
            </w:pPr>
            <w:r>
              <w:rPr>
                <w:rFonts w:ascii="Times New Roman" w:hAnsi="Times New Roman"/>
                <w:sz w:val="20"/>
              </w:rPr>
              <w:t>Exhibit B-1: Form of Global Note Legend</w:t>
            </w:r>
          </w:p>
        </w:tc>
        <w:tc>
          <w:tcPr>
            <w:tcW w:w="127" w:type="dxa"/>
            <w:tcBorders/>
            <w:vAlign w:val="bottom"/>
          </w:tcPr>
          <w:p>
            <w:pPr>
              <w:pStyle w:val="TableContents"/>
              <w:bidi w:val="0"/>
              <w:spacing w:before="0" w:after="283"/>
              <w:jc w:val="left"/>
              <w:rPr/>
            </w:pPr>
            <w:r>
              <w:rPr/>
              <w:t>  </w:t>
            </w:r>
          </w:p>
        </w:tc>
        <w:tc>
          <w:tcPr>
            <w:tcW w:w="4842" w:type="dxa"/>
            <w:tcBorders/>
          </w:tcPr>
          <w:p>
            <w:pPr>
              <w:pStyle w:val="TableContents"/>
              <w:bidi w:val="0"/>
              <w:spacing w:before="0" w:after="283"/>
              <w:jc w:val="right"/>
              <w:rPr/>
            </w:pPr>
            <w:r>
              <w:rPr/>
              <w:t>B1-1</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iii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FIRST SUPPLEMENTAL INDENTURE</w:t>
      </w:r>
      <w:r>
        <w:rPr>
          <w:rFonts w:ascii="Times New Roman" w:hAnsi="Times New Roman"/>
          <w:sz w:val="20"/>
        </w:rPr>
        <w:t>, dated as of October 9, 2026, between Vaxcyte, Inc., a Delaware corporation, as issuer (the “</w:t>
      </w:r>
      <w:r>
        <w:rPr>
          <w:rFonts w:ascii="Times New Roman" w:hAnsi="Times New Roman"/>
          <w:b/>
          <w:sz w:val="20"/>
        </w:rPr>
        <w:t>Company</w:t>
      </w:r>
      <w:r>
        <w:rPr>
          <w:rFonts w:ascii="Times New Roman" w:hAnsi="Times New Roman"/>
          <w:sz w:val="20"/>
        </w:rPr>
        <w:t>”), and U.S. Bank Trust Company, National Association, as trustee (the “</w:t>
      </w:r>
      <w:r>
        <w:rPr>
          <w:rFonts w:ascii="Times New Roman" w:hAnsi="Times New Roman"/>
          <w:b/>
          <w:sz w:val="20"/>
        </w:rPr>
        <w:t>Trustee</w:t>
      </w:r>
      <w:r>
        <w:rPr>
          <w:rFonts w:ascii="Times New Roman" w:hAnsi="Times New Roman"/>
          <w:sz w:val="20"/>
        </w:rPr>
        <w:t xml:space="preserve">”), to the Base Indenture (as defined below). </w:t>
      </w:r>
    </w:p>
    <w:p>
      <w:pPr>
        <w:pStyle w:val="TextBody"/>
        <w:bidi w:val="0"/>
        <w:spacing w:before="240" w:after="0"/>
        <w:jc w:val="left"/>
        <w:rPr>
          <w:rFonts w:ascii="Times New Roman" w:hAnsi="Times New Roman"/>
          <w:sz w:val="20"/>
        </w:rPr>
      </w:pPr>
      <w:r>
        <w:rPr>
          <w:rFonts w:ascii="Times New Roman" w:hAnsi="Times New Roman"/>
          <w:sz w:val="20"/>
        </w:rPr>
        <w:t>This Supplemental Indenture (as defined below) is being executed and delivered pursuant to Sections 2.01 and 9.01(g) of the Base Indenture to establish the terms, and provide for the issuance, of a new series of Securities (as defined in the Base Indenture) constituting the Company’s 1.50% Convertible Senior Notes due 2032 (the “</w:t>
      </w:r>
      <w:r>
        <w:rPr>
          <w:rFonts w:ascii="Times New Roman" w:hAnsi="Times New Roman"/>
          <w:b/>
          <w:sz w:val="20"/>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party to this Supplemental Indenture agrees as follows for the benefit of the other party and for the equal and ratable benefit of the Holders (as defined below) of the Notes.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DEFINITIONS; RULES OF CONSTRUCTION; </w:t>
      </w:r>
    </w:p>
    <w:p>
      <w:pPr>
        <w:pStyle w:val="TextBody"/>
        <w:bidi w:val="0"/>
        <w:spacing w:before="0" w:after="0"/>
        <w:jc w:val="center"/>
        <w:rPr>
          <w:rFonts w:ascii="Times New Roman" w:hAnsi="Times New Roman"/>
          <w:b/>
          <w:sz w:val="20"/>
        </w:rPr>
      </w:pPr>
      <w:r>
        <w:rPr>
          <w:rFonts w:ascii="Times New Roman" w:hAnsi="Times New Roman"/>
          <w:b/>
          <w:sz w:val="20"/>
        </w:rPr>
        <w:t xml:space="preserve">SCOPE AND INTERPRETATION OF BASE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1.01. DEFINITIONS.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last paragraph of </w:t>
      </w:r>
      <w:r>
        <w:rPr>
          <w:rFonts w:ascii="Times New Roman" w:hAnsi="Times New Roman"/>
          <w:b/>
          <w:sz w:val="20"/>
        </w:rPr>
        <w:t>Section</w:t>
      </w:r>
      <w:r>
        <w:rPr>
          <w:rFonts w:ascii="Times New Roman" w:hAnsi="Times New Roman"/>
          <w:sz w:val="20"/>
        </w:rPr>
        <w:t> </w:t>
      </w:r>
      <w:r>
        <w:rPr>
          <w:rFonts w:ascii="Times New Roman" w:hAnsi="Times New Roman"/>
          <w:b/>
          <w:sz w:val="20"/>
        </w:rPr>
        <w:t>1.03</w:t>
      </w:r>
      <w:r>
        <w:rPr>
          <w:rFonts w:ascii="Times New Roman" w:hAnsi="Times New Roman"/>
          <w:sz w:val="20"/>
        </w:rPr>
        <w:t xml:space="preserve">, capitalized terms used in this Supplemental Indenture without definition have the respective meanings ascribed to them in the Base Indenture. For purposes of the Notes, the following additional definitions will apply and supersede any conflicting definitions in the Base Indenture.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has the meaning set forth in Rule 144 as in effect on the Issue Date. </w:t>
      </w:r>
    </w:p>
    <w:p>
      <w:pPr>
        <w:pStyle w:val="TextBody"/>
        <w:bidi w:val="0"/>
        <w:spacing w:before="240" w:after="0"/>
        <w:jc w:val="left"/>
        <w:rPr/>
      </w:pPr>
      <w:r>
        <w:rPr/>
        <w:t>“</w:t>
      </w:r>
      <w:r>
        <w:rPr>
          <w:rFonts w:ascii="Times New Roman" w:hAnsi="Times New Roman"/>
          <w:b/>
          <w:sz w:val="20"/>
        </w:rPr>
        <w:t>Authorized Denomination</w:t>
      </w:r>
      <w:r>
        <w:rPr>
          <w:rFonts w:ascii="Times New Roman" w:hAnsi="Times New Roman"/>
          <w:sz w:val="20"/>
        </w:rPr>
        <w:t xml:space="preserve">” means, with respect to a Note, a principal amount thereof equal to $1,000 or any integral multiple of $1,000 in excess thereof. </w:t>
      </w:r>
    </w:p>
    <w:p>
      <w:pPr>
        <w:pStyle w:val="TextBody"/>
        <w:bidi w:val="0"/>
        <w:spacing w:before="240" w:after="0"/>
        <w:jc w:val="left"/>
        <w:rPr/>
      </w:pPr>
      <w:r>
        <w:rPr/>
        <w:t>“</w:t>
      </w:r>
      <w:r>
        <w:rPr>
          <w:rFonts w:ascii="Times New Roman" w:hAnsi="Times New Roman"/>
          <w:b/>
          <w:sz w:val="20"/>
        </w:rPr>
        <w:t>Bankruptcy Law</w:t>
      </w:r>
      <w:r>
        <w:rPr>
          <w:rFonts w:ascii="Times New Roman" w:hAnsi="Times New Roman"/>
          <w:sz w:val="20"/>
        </w:rPr>
        <w:t xml:space="preserve">” means Title 11, United States Code, or any similar U.S. federal or state or non-U.S. law for the relief of debtors. </w:t>
      </w:r>
    </w:p>
    <w:p>
      <w:pPr>
        <w:pStyle w:val="TextBody"/>
        <w:bidi w:val="0"/>
        <w:spacing w:before="240" w:after="0"/>
        <w:jc w:val="left"/>
        <w:rPr/>
      </w:pPr>
      <w:r>
        <w:rPr/>
        <w:t>“</w:t>
      </w:r>
      <w:r>
        <w:rPr>
          <w:rFonts w:ascii="Times New Roman" w:hAnsi="Times New Roman"/>
          <w:b/>
          <w:sz w:val="20"/>
        </w:rPr>
        <w:t>Base Indenture</w:t>
      </w:r>
      <w:r>
        <w:rPr>
          <w:rFonts w:ascii="Times New Roman" w:hAnsi="Times New Roman"/>
          <w:sz w:val="20"/>
        </w:rPr>
        <w:t xml:space="preserve">” means that certain Indenture, dated as of October 9, 2026, between the Company and the Trustee. </w:t>
      </w:r>
    </w:p>
    <w:p>
      <w:pPr>
        <w:pStyle w:val="TextBody"/>
        <w:bidi w:val="0"/>
        <w:spacing w:before="240" w:after="0"/>
        <w:jc w:val="left"/>
        <w:rPr/>
      </w:pPr>
      <w:r>
        <w:rPr/>
        <w:t>“</w:t>
      </w:r>
      <w:r>
        <w:rPr>
          <w:rFonts w:ascii="Times New Roman" w:hAnsi="Times New Roman"/>
          <w:b/>
          <w:sz w:val="20"/>
        </w:rPr>
        <w:t>Bid Solicitation Agent</w:t>
      </w:r>
      <w:r>
        <w:rPr>
          <w:rFonts w:ascii="Times New Roman" w:hAnsi="Times New Roman"/>
          <w:sz w:val="20"/>
        </w:rPr>
        <w:t xml:space="preserve">” means the Person who is required to obtain bids for the Trading Price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5.01(C)(i)(2)</w:t>
      </w:r>
      <w:r>
        <w:rPr>
          <w:rFonts w:ascii="Times New Roman" w:hAnsi="Times New Roman"/>
          <w:sz w:val="20"/>
        </w:rPr>
        <w:t xml:space="preserve"> and the definition of “Trading Price.” The initial Bid Solicitation Agent on the Issue Date will be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may appoint any other Person (including any of the Company’s Subsidiaries) to be the Bid Solicitation Agent at any time after the Issue Date without prior notice.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or a committee of such board duly authorized to act on behalf of such board.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other than a Saturday, a Sunday or any day on which the Federal Reserve Bank of New York is authorized or required by law or executive order to close or be closed.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Capital Stock</w:t>
      </w:r>
      <w:r>
        <w:rPr>
          <w:rFonts w:ascii="Times New Roman" w:hAnsi="Times New Roman"/>
          <w:sz w:val="20"/>
        </w:rPr>
        <w:t xml:space="preserve">” of any Person means any and all shares of, interests in, rights to purchase, warrants or options for, participations in, or other equivalents of, in each case however designated, the equity of such Person, but excluding any debt securities convertible into, or exchangeable for, such equity. </w:t>
      </w:r>
    </w:p>
    <w:p>
      <w:pPr>
        <w:pStyle w:val="TextBody"/>
        <w:bidi w:val="0"/>
        <w:spacing w:before="240" w:after="0"/>
        <w:jc w:val="left"/>
        <w:rPr/>
      </w:pPr>
      <w:r>
        <w:rPr/>
        <w:t>“</w:t>
      </w:r>
      <w:r>
        <w:rPr>
          <w:rFonts w:ascii="Times New Roman" w:hAnsi="Times New Roman"/>
          <w:b/>
          <w:sz w:val="20"/>
        </w:rPr>
        <w:t>Cleanup Redemption</w:t>
      </w:r>
      <w:r>
        <w:rPr>
          <w:rFonts w:ascii="Times New Roman" w:hAnsi="Times New Roman"/>
          <w:sz w:val="20"/>
        </w:rPr>
        <w:t xml:space="preserve">” means the repurchase of any Note by the Company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Close of Business</w:t>
      </w:r>
      <w:r>
        <w:rPr>
          <w:rFonts w:ascii="Times New Roman" w:hAnsi="Times New Roman"/>
          <w:sz w:val="20"/>
        </w:rPr>
        <w:t xml:space="preserve">” means 5:00 p.m., New York City time.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means the common stock, $0.001 par value per share, of the Company,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Common Equity</w:t>
      </w:r>
      <w:r>
        <w:rPr>
          <w:rFonts w:ascii="Times New Roman" w:hAnsi="Times New Roman"/>
          <w:sz w:val="20"/>
        </w:rPr>
        <w:t xml:space="preserve">”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means the Person named as such in the first paragraph of this Supplemental Indenture and, subject to </w:t>
      </w:r>
      <w:r>
        <w:rPr>
          <w:rFonts w:ascii="Times New Roman" w:hAnsi="Times New Roman"/>
          <w:b/>
          <w:sz w:val="20"/>
        </w:rPr>
        <w:t>Article 6</w:t>
      </w:r>
      <w:r>
        <w:rPr>
          <w:rFonts w:ascii="Times New Roman" w:hAnsi="Times New Roman"/>
          <w:sz w:val="20"/>
        </w:rPr>
        <w:t xml:space="preserve">, its successors and assigns. </w:t>
      </w:r>
    </w:p>
    <w:p>
      <w:pPr>
        <w:pStyle w:val="TextBody"/>
        <w:bidi w:val="0"/>
        <w:spacing w:before="240" w:after="0"/>
        <w:jc w:val="left"/>
        <w:rPr/>
      </w:pPr>
      <w:r>
        <w:rPr/>
        <w:t>“</w:t>
      </w:r>
      <w:r>
        <w:rPr>
          <w:rFonts w:ascii="Times New Roman" w:hAnsi="Times New Roman"/>
          <w:b/>
          <w:sz w:val="20"/>
        </w:rPr>
        <w:t>Company Order</w:t>
      </w:r>
      <w:r>
        <w:rPr>
          <w:rFonts w:ascii="Times New Roman" w:hAnsi="Times New Roman"/>
          <w:sz w:val="20"/>
        </w:rPr>
        <w:t xml:space="preserve">” means a written request or order signed on behalf of the Company by one (1) of its Officers and delivered to the Trustee. </w:t>
      </w:r>
    </w:p>
    <w:p>
      <w:pPr>
        <w:pStyle w:val="TextBody"/>
        <w:bidi w:val="0"/>
        <w:spacing w:before="240" w:after="0"/>
        <w:jc w:val="left"/>
        <w:rPr/>
      </w:pPr>
      <w:r>
        <w:rPr/>
        <w:t>“</w:t>
      </w:r>
      <w:r>
        <w:rPr>
          <w:rFonts w:ascii="Times New Roman" w:hAnsi="Times New Roman"/>
          <w:b/>
          <w:sz w:val="20"/>
        </w:rPr>
        <w:t>Conversion</w:t>
      </w:r>
      <w:r>
        <w:rPr>
          <w:rFonts w:ascii="Times New Roman" w:hAnsi="Times New Roman"/>
          <w:sz w:val="20"/>
        </w:rPr>
        <w:t xml:space="preserve">” means, with respect to any Note, the conversion of such Note pursuant to </w:t>
      </w:r>
      <w:r>
        <w:rPr>
          <w:rFonts w:ascii="Times New Roman" w:hAnsi="Times New Roman"/>
          <w:b/>
          <w:sz w:val="20"/>
        </w:rPr>
        <w:t>Article 5</w:t>
      </w:r>
      <w:r>
        <w:rPr>
          <w:rFonts w:ascii="Times New Roman" w:hAnsi="Times New Roman"/>
          <w:sz w:val="20"/>
        </w:rPr>
        <w:t xml:space="preserve"> into Conversion Consideration. The terms “Convert,” “Converted,” “Convertible,” “Converting” and similar capitalized terms have meanings correlative to the foregoing. </w:t>
      </w:r>
    </w:p>
    <w:p>
      <w:pPr>
        <w:pStyle w:val="TextBody"/>
        <w:bidi w:val="0"/>
        <w:spacing w:before="240" w:after="0"/>
        <w:jc w:val="left"/>
        <w:rPr/>
      </w:pPr>
      <w:r>
        <w:rPr/>
        <w:t>“</w:t>
      </w:r>
      <w:r>
        <w:rPr>
          <w:rFonts w:ascii="Times New Roman" w:hAnsi="Times New Roman"/>
          <w:b/>
          <w:sz w:val="20"/>
        </w:rPr>
        <w:t>Conversion Date</w:t>
      </w:r>
      <w:r>
        <w:rPr>
          <w:rFonts w:ascii="Times New Roman" w:hAnsi="Times New Roman"/>
          <w:sz w:val="20"/>
        </w:rPr>
        <w:t xml:space="preserve">” means, with respect to a Note, the first Business Day on which the requirements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5.02(A)</w:t>
      </w:r>
      <w:r>
        <w:rPr>
          <w:rFonts w:ascii="Times New Roman" w:hAnsi="Times New Roman"/>
          <w:sz w:val="20"/>
        </w:rPr>
        <w:t xml:space="preserve"> to Convert such Note are satisfied,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Conversion Price</w:t>
      </w:r>
      <w:r>
        <w:rPr>
          <w:rFonts w:ascii="Times New Roman" w:hAnsi="Times New Roman"/>
          <w:sz w:val="20"/>
        </w:rPr>
        <w:t xml:space="preserve">” means, as of any time, an amount equal to (A) one thousand dollars ($1,000) </w:t>
      </w:r>
      <w:r>
        <w:rPr>
          <w:rFonts w:ascii="Times New Roman" w:hAnsi="Times New Roman"/>
          <w:i/>
          <w:sz w:val="20"/>
        </w:rPr>
        <w:t>divided by</w:t>
      </w:r>
      <w:r>
        <w:rPr>
          <w:rFonts w:ascii="Times New Roman" w:hAnsi="Times New Roman"/>
          <w:sz w:val="20"/>
        </w:rPr>
        <w:t xml:space="preserve"> (B) the Conversion Rate in effect at such time. </w:t>
      </w:r>
    </w:p>
    <w:p>
      <w:pPr>
        <w:pStyle w:val="TextBody"/>
        <w:bidi w:val="0"/>
        <w:spacing w:before="240" w:after="0"/>
        <w:jc w:val="left"/>
        <w:rPr/>
      </w:pPr>
      <w:r>
        <w:rPr/>
        <w:t>“</w:t>
      </w:r>
      <w:r>
        <w:rPr>
          <w:rFonts w:ascii="Times New Roman" w:hAnsi="Times New Roman"/>
          <w:b/>
          <w:sz w:val="20"/>
        </w:rPr>
        <w:t>Conversion Rate</w:t>
      </w:r>
      <w:r>
        <w:rPr>
          <w:rFonts w:ascii="Times New Roman" w:hAnsi="Times New Roman"/>
          <w:sz w:val="20"/>
        </w:rPr>
        <w:t xml:space="preserve">” initially means 11.1607 shares of Common Stock per $1,000 principal amount of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Conversion Rate is subject to adjustment pursuant to </w:t>
      </w:r>
      <w:r>
        <w:rPr>
          <w:rFonts w:ascii="Times New Roman" w:hAnsi="Times New Roman"/>
          <w:b/>
          <w:sz w:val="20"/>
        </w:rPr>
        <w:t>Article 5</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whenever the Indenture refers to the Conversion Rate as of a particular date without setting forth a particular time on such date, such reference will be deemed to be to the Conversion Rate immediately after the Close of Business on such date. </w:t>
      </w:r>
    </w:p>
    <w:p>
      <w:pPr>
        <w:pStyle w:val="TextBody"/>
        <w:bidi w:val="0"/>
        <w:spacing w:before="240" w:after="0"/>
        <w:jc w:val="left"/>
        <w:rPr/>
      </w:pPr>
      <w:r>
        <w:rPr/>
        <w:t>“</w:t>
      </w:r>
      <w:r>
        <w:rPr>
          <w:rFonts w:ascii="Times New Roman" w:hAnsi="Times New Roman"/>
          <w:b/>
          <w:sz w:val="20"/>
        </w:rPr>
        <w:t>Conversion Share</w:t>
      </w:r>
      <w:r>
        <w:rPr>
          <w:rFonts w:ascii="Times New Roman" w:hAnsi="Times New Roman"/>
          <w:sz w:val="20"/>
        </w:rPr>
        <w:t xml:space="preserve">” means any share of Common Stock issued or issuable upon Conversion of any Note. </w:t>
      </w:r>
    </w:p>
    <w:p>
      <w:pPr>
        <w:pStyle w:val="TextBody"/>
        <w:bidi w:val="0"/>
        <w:spacing w:before="240" w:after="0"/>
        <w:jc w:val="left"/>
        <w:rPr/>
      </w:pPr>
      <w:r>
        <w:rPr/>
        <w:t>“</w:t>
      </w:r>
      <w:r>
        <w:rPr>
          <w:rFonts w:ascii="Times New Roman" w:hAnsi="Times New Roman"/>
          <w:b/>
          <w:sz w:val="20"/>
        </w:rPr>
        <w:t>Daily Cash Amount</w:t>
      </w:r>
      <w:r>
        <w:rPr>
          <w:rFonts w:ascii="Times New Roman" w:hAnsi="Times New Roman"/>
          <w:sz w:val="20"/>
        </w:rPr>
        <w:t xml:space="preserve">” means, with respect to any VWAP Trading Day, the lesser of (A) the applicable Daily Maximum Cash Amount; and (B) the Daily Conversion Value for such VWAP Trading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Daily Conversion Value</w:t>
      </w:r>
      <w:r>
        <w:rPr>
          <w:rFonts w:ascii="Times New Roman" w:hAnsi="Times New Roman"/>
          <w:sz w:val="20"/>
        </w:rPr>
        <w:t xml:space="preserve">” means, with respect to any VWAP Trading Day, one-twentieth (1/20th) of the product of (A) the Conversion Rate on such VWAP Trading Day; and (B) the Daily VWAP per share of Common Stock on such VWAP Trading Day. </w:t>
      </w:r>
    </w:p>
    <w:p>
      <w:pPr>
        <w:pStyle w:val="TextBody"/>
        <w:bidi w:val="0"/>
        <w:spacing w:before="240" w:after="0"/>
        <w:jc w:val="left"/>
        <w:rPr/>
      </w:pPr>
      <w:r>
        <w:rPr/>
        <w:t>“</w:t>
      </w:r>
      <w:r>
        <w:rPr>
          <w:rFonts w:ascii="Times New Roman" w:hAnsi="Times New Roman"/>
          <w:b/>
          <w:sz w:val="20"/>
        </w:rPr>
        <w:t>Daily Maximum Cash Amount</w:t>
      </w:r>
      <w:r>
        <w:rPr>
          <w:rFonts w:ascii="Times New Roman" w:hAnsi="Times New Roman"/>
          <w:sz w:val="20"/>
        </w:rPr>
        <w:t xml:space="preserve">” means, with respect to the Conversion of any Note, the quotient obtained by dividing (A) the Specified Dollar Amount applicable to such Conversion by (B) twenty (20). </w:t>
      </w:r>
    </w:p>
    <w:p>
      <w:pPr>
        <w:pStyle w:val="TextBody"/>
        <w:bidi w:val="0"/>
        <w:spacing w:before="240" w:after="0"/>
        <w:jc w:val="left"/>
        <w:rPr/>
      </w:pPr>
      <w:r>
        <w:rPr/>
        <w:t>“</w:t>
      </w:r>
      <w:r>
        <w:rPr>
          <w:rFonts w:ascii="Times New Roman" w:hAnsi="Times New Roman"/>
          <w:b/>
          <w:sz w:val="20"/>
        </w:rPr>
        <w:t>Daily Share Amount</w:t>
      </w:r>
      <w:r>
        <w:rPr>
          <w:rFonts w:ascii="Times New Roman" w:hAnsi="Times New Roman"/>
          <w:sz w:val="20"/>
        </w:rPr>
        <w:t xml:space="preserve">”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 </w:t>
      </w:r>
    </w:p>
    <w:p>
      <w:pPr>
        <w:pStyle w:val="TextBody"/>
        <w:bidi w:val="0"/>
        <w:spacing w:before="240" w:after="0"/>
        <w:jc w:val="left"/>
        <w:rPr/>
      </w:pPr>
      <w:r>
        <w:rPr/>
        <w:t>“</w:t>
      </w:r>
      <w:r>
        <w:rPr>
          <w:rFonts w:ascii="Times New Roman" w:hAnsi="Times New Roman"/>
          <w:b/>
          <w:sz w:val="20"/>
        </w:rPr>
        <w:t>Daily VWAP</w:t>
      </w:r>
      <w:r>
        <w:rPr>
          <w:rFonts w:ascii="Times New Roman" w:hAnsi="Times New Roman"/>
          <w:sz w:val="20"/>
        </w:rPr>
        <w:t xml:space="preserve">” means, for any VWAP Trading Day, the per share volume-weighted average price of the Common Stock as displayed under the heading “Bloomberg VWAP” on Bloomberg page “PCVX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which may be any of the Underwriters). The Daily VWAP will be determined without regard to after-hours trading or any other trading outside of the regular trading session. </w:t>
      </w:r>
    </w:p>
    <w:p>
      <w:pPr>
        <w:pStyle w:val="TextBody"/>
        <w:bidi w:val="0"/>
        <w:spacing w:before="240" w:after="0"/>
        <w:jc w:val="left"/>
        <w:rPr/>
      </w:pPr>
      <w:r>
        <w:rPr/>
        <w:t>“</w:t>
      </w:r>
      <w:r>
        <w:rPr>
          <w:rFonts w:ascii="Times New Roman" w:hAnsi="Times New Roman"/>
          <w:b/>
          <w:sz w:val="20"/>
        </w:rPr>
        <w:t>Default</w:t>
      </w:r>
      <w:r>
        <w:rPr>
          <w:rFonts w:ascii="Times New Roman" w:hAnsi="Times New Roman"/>
          <w:sz w:val="20"/>
        </w:rPr>
        <w:t xml:space="preserve">” means any event that is (or, after notice, passage of time or both, would be) an Event of Default. </w:t>
      </w:r>
    </w:p>
    <w:p>
      <w:pPr>
        <w:pStyle w:val="TextBody"/>
        <w:bidi w:val="0"/>
        <w:spacing w:before="240" w:after="0"/>
        <w:jc w:val="left"/>
        <w:rPr/>
      </w:pPr>
      <w:r>
        <w:rPr/>
        <w:t>“</w:t>
      </w:r>
      <w:r>
        <w:rPr>
          <w:rFonts w:ascii="Times New Roman" w:hAnsi="Times New Roman"/>
          <w:b/>
          <w:sz w:val="20"/>
        </w:rPr>
        <w:t>Default Settlement Method</w:t>
      </w:r>
      <w:r>
        <w:rPr>
          <w:rFonts w:ascii="Times New Roman" w:hAnsi="Times New Roman"/>
          <w:sz w:val="20"/>
        </w:rPr>
        <w:t xml:space="preserve">” means Combination Settlement with a Specified Dollar Amount of $1,000 per $1,000 principal amount of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(x)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5.03(A)(iii)</w:t>
      </w:r>
      <w:r>
        <w:rPr>
          <w:rFonts w:ascii="Times New Roman" w:hAnsi="Times New Roman"/>
          <w:sz w:val="20"/>
        </w:rPr>
        <w:t xml:space="preserve">, the Company may, from time to time, change the Default Settlement Method, by sending notice of the new Default Settlement Method to the Holders, the Trustee and the Conversion Agent; and (y) the Default Settlement Method will be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5.03(A)(ii)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Depositary</w:t>
      </w:r>
      <w:r>
        <w:rPr>
          <w:rFonts w:ascii="Times New Roman" w:hAnsi="Times New Roman"/>
          <w:sz w:val="20"/>
        </w:rPr>
        <w:t xml:space="preserve">” means The Depository Trust Company or its successor. </w:t>
      </w:r>
    </w:p>
    <w:p>
      <w:pPr>
        <w:pStyle w:val="TextBody"/>
        <w:bidi w:val="0"/>
        <w:spacing w:before="240" w:after="0"/>
        <w:jc w:val="left"/>
        <w:rPr/>
      </w:pPr>
      <w:r>
        <w:rPr/>
        <w:t>“</w:t>
      </w:r>
      <w:r>
        <w:rPr>
          <w:rFonts w:ascii="Times New Roman" w:hAnsi="Times New Roman"/>
          <w:b/>
          <w:sz w:val="20"/>
        </w:rPr>
        <w:t>Depositary Participant</w:t>
      </w:r>
      <w:r>
        <w:rPr>
          <w:rFonts w:ascii="Times New Roman" w:hAnsi="Times New Roman"/>
          <w:sz w:val="20"/>
        </w:rPr>
        <w:t xml:space="preserve">” means any member of, or participant in, the Depositary. </w:t>
      </w:r>
    </w:p>
    <w:p>
      <w:pPr>
        <w:pStyle w:val="TextBody"/>
        <w:bidi w:val="0"/>
        <w:spacing w:before="240" w:after="0"/>
        <w:jc w:val="left"/>
        <w:rPr/>
      </w:pPr>
      <w:r>
        <w:rPr/>
        <w:t>“</w:t>
      </w:r>
      <w:r>
        <w:rPr>
          <w:rFonts w:ascii="Times New Roman" w:hAnsi="Times New Roman"/>
          <w:b/>
          <w:sz w:val="20"/>
        </w:rPr>
        <w:t>Depositary Procedures</w:t>
      </w:r>
      <w:r>
        <w:rPr>
          <w:rFonts w:ascii="Times New Roman" w:hAnsi="Times New Roman"/>
          <w:sz w:val="20"/>
        </w:rPr>
        <w:t xml:space="preserve">” means, with respect to any Conversion, transfer, exchange or other transaction involving a Global Note or any beneficial interest therein, the rules and procedures of the Depositary applicable to such Conversion, transfer, exchange or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Ex-Dividend Date</w:t>
      </w:r>
      <w:r>
        <w:rPr>
          <w:rFonts w:ascii="Times New Roman" w:hAnsi="Times New Roman"/>
          <w:sz w:val="20"/>
        </w:rPr>
        <w:t xml:space="preserve">”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w:t>
      </w:r>
    </w:p>
    <w:p>
      <w:pPr>
        <w:pStyle w:val="TextBody"/>
        <w:bidi w:val="0"/>
        <w:spacing w:before="240" w:after="0"/>
        <w:jc w:val="left"/>
        <w:rPr/>
      </w:pPr>
      <w:r>
        <w:rPr/>
        <w:t>“</w:t>
      </w:r>
      <w:r>
        <w:rPr>
          <w:rFonts w:ascii="Times New Roman" w:hAnsi="Times New Roman"/>
          <w:b/>
          <w:sz w:val="20"/>
        </w:rPr>
        <w:t>Exempted Fundamental Change</w:t>
      </w:r>
      <w:r>
        <w:rPr>
          <w:rFonts w:ascii="Times New Roman" w:hAnsi="Times New Roman"/>
          <w:sz w:val="20"/>
        </w:rPr>
        <w:t xml:space="preserve">” means any Fundamental Change with respect to which,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4.02(I)</w:t>
      </w:r>
      <w:r>
        <w:rPr>
          <w:rFonts w:ascii="Times New Roman" w:hAnsi="Times New Roman"/>
          <w:sz w:val="20"/>
        </w:rPr>
        <w:t xml:space="preserve">, the Company does not offer to repurchase any Notes. </w:t>
      </w:r>
    </w:p>
    <w:p>
      <w:pPr>
        <w:pStyle w:val="TextBody"/>
        <w:bidi w:val="0"/>
        <w:spacing w:before="240" w:after="0"/>
        <w:jc w:val="left"/>
        <w:rPr/>
      </w:pPr>
      <w:r>
        <w:rPr/>
        <w:t>“</w:t>
      </w:r>
      <w:r>
        <w:rPr>
          <w:rFonts w:ascii="Times New Roman" w:hAnsi="Times New Roman"/>
          <w:b/>
          <w:sz w:val="20"/>
        </w:rPr>
        <w:t>Fundamental Change</w:t>
      </w:r>
      <w:r>
        <w:rPr>
          <w:rFonts w:ascii="Times New Roman" w:hAnsi="Times New Roman"/>
          <w:sz w:val="20"/>
        </w:rPr>
        <w:t xml:space="preserve">” means any of the following events: </w:t>
      </w:r>
    </w:p>
    <w:p>
      <w:pPr>
        <w:pStyle w:val="TextBody"/>
        <w:bidi w:val="0"/>
        <w:spacing w:before="240" w:after="0"/>
        <w:jc w:val="left"/>
        <w:rPr>
          <w:rFonts w:ascii="Times New Roman" w:hAnsi="Times New Roman"/>
          <w:sz w:val="20"/>
        </w:rPr>
      </w:pPr>
      <w:r>
        <w:rPr>
          <w:rFonts w:ascii="Times New Roman" w:hAnsi="Times New Roman"/>
          <w:sz w:val="20"/>
        </w:rPr>
        <w:t xml:space="preserve">(A) a “person” or “group” (within the meaning of Section 13(d)(3) of the Exchange Act), other than the Company or its Wholly Owned Subsidiaries, or their respective employee benefit plans, files any report with the SEC indicating that such person or group has become the direct or indirect “beneficial owner” (as defined below) of shares of the Common Stock representing more than fifty percent (50%) of the voting power of all of the Common Stock; </w:t>
      </w:r>
      <w:r>
        <w:rPr>
          <w:rFonts w:ascii="Times New Roman" w:hAnsi="Times New Roman"/>
          <w:i/>
          <w:sz w:val="20"/>
        </w:rPr>
        <w:t>provided, however</w:t>
      </w:r>
      <w:r>
        <w:rPr>
          <w:rFonts w:ascii="Times New Roman" w:hAnsi="Times New Roman"/>
          <w:sz w:val="20"/>
        </w:rPr>
        <w:t xml:space="preserve">, that no “person” or “group” will be deemed to be the beneficial owner of any securities tendered pursuant to a tender or exchange offer made by or on behalf of such “person” or “group” until such tendered securities are accepted for purchase or exchange under such offer; </w:t>
      </w:r>
    </w:p>
    <w:p>
      <w:pPr>
        <w:pStyle w:val="TextBody"/>
        <w:bidi w:val="0"/>
        <w:spacing w:before="240" w:after="0"/>
        <w:jc w:val="left"/>
        <w:rPr>
          <w:rFonts w:ascii="Times New Roman" w:hAnsi="Times New Roman"/>
          <w:sz w:val="20"/>
        </w:rPr>
      </w:pPr>
      <w:r>
        <w:rPr>
          <w:rFonts w:ascii="Times New Roman" w:hAnsi="Times New Roman"/>
          <w:sz w:val="20"/>
        </w:rPr>
        <w:t xml:space="preserve">(B) 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(other than changes resulting solely from a stock split or a stock combination, or a change in par value, of Common Stock);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 -vis each other as immediately before such transaction will be deemed not to be a Fundamental Change pursuant to this </w:t>
      </w:r>
      <w:r>
        <w:rPr>
          <w:rFonts w:ascii="Times New Roman" w:hAnsi="Times New Roman"/>
          <w:b/>
          <w:sz w:val="20"/>
        </w:rPr>
        <w:t>clause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Company’s stockholders approve any plan or proposal for the liquidation or dissolution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(D) the Common Stock (or other common stock or depositary receipts in respect of Common Equity, in each case, into which the Notes become Convertible) ceases to be listed on any of the New York Stock Exchange, the Nasdaq Global Market or the Nasdaq Global Select Market (or any of their respective successors);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transaction or event described in </w:t>
      </w:r>
      <w:r>
        <w:rPr>
          <w:rFonts w:ascii="Times New Roman" w:hAnsi="Times New Roman"/>
          <w:b/>
          <w:sz w:val="20"/>
        </w:rPr>
        <w:t>clause (A)</w:t>
      </w:r>
      <w:r>
        <w:rPr>
          <w:rFonts w:ascii="Times New Roman" w:hAnsi="Times New Roman"/>
          <w:sz w:val="20"/>
        </w:rPr>
        <w:t xml:space="preserve"> or </w:t>
      </w:r>
      <w:r>
        <w:rPr>
          <w:rFonts w:ascii="Times New Roman" w:hAnsi="Times New Roman"/>
          <w:b/>
          <w:sz w:val="20"/>
        </w:rPr>
        <w:t>(B)</w:t>
      </w:r>
      <w:r>
        <w:rPr>
          <w:rFonts w:ascii="Times New Roman" w:hAnsi="Times New Roman"/>
          <w:sz w:val="20"/>
        </w:rPr>
        <w:t xml:space="preserve"> above will not constitute a Fundamental Change if at least ninety percent (90%) of the consideration received or to be received by the holders of Common Stock (excluding cash payments for fractional shares or pursuant to dissenters rights), in connection with such transaction or event, consists of shares of common stock or depositary receipts in respect of Common Equity, in each case, that are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 </w:t>
      </w:r>
    </w:p>
    <w:p>
      <w:pPr>
        <w:pStyle w:val="TextBody"/>
        <w:bidi w:val="0"/>
        <w:spacing w:before="240" w:after="0"/>
        <w:jc w:val="left"/>
        <w:rPr>
          <w:rFonts w:ascii="Times New Roman" w:hAnsi="Times New Roman"/>
          <w:sz w:val="20"/>
        </w:rPr>
      </w:pPr>
      <w:r>
        <w:rPr>
          <w:rFonts w:ascii="Times New Roman" w:hAnsi="Times New Roman"/>
          <w:sz w:val="20"/>
        </w:rPr>
        <w:t xml:space="preserve">If any transaction in which the Company’s Common Stock is replaced by the securities of another entity occurs, following completion of any related Make-Whole Fundamental Change Conversion Period (or, in the case of a transaction that would have been a Fundamental Change or a Make-Whole Fundamental Change but for the proviso to the immediately preceding paragraph, following the effective date of such transaction), references to the Company for purposes of this definition of “Fundamental Change” will instead be references to such other entity.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definition, (x) any transaction or event described in both </w:t>
      </w:r>
      <w:r>
        <w:rPr>
          <w:rFonts w:ascii="Times New Roman" w:hAnsi="Times New Roman"/>
          <w:b/>
          <w:sz w:val="20"/>
        </w:rPr>
        <w:t>clause (A)</w:t>
      </w:r>
      <w:r>
        <w:rPr>
          <w:rFonts w:ascii="Times New Roman" w:hAnsi="Times New Roman"/>
          <w:sz w:val="20"/>
        </w:rPr>
        <w:t xml:space="preserve"> and in </w:t>
      </w:r>
      <w:r>
        <w:rPr>
          <w:rFonts w:ascii="Times New Roman" w:hAnsi="Times New Roman"/>
          <w:b/>
          <w:sz w:val="20"/>
        </w:rPr>
        <w:t>clause (B)(i)</w:t>
      </w:r>
      <w:r>
        <w:rPr>
          <w:rFonts w:ascii="Times New Roman" w:hAnsi="Times New Roman"/>
          <w:sz w:val="20"/>
        </w:rPr>
        <w:t xml:space="preserve"> or </w:t>
      </w:r>
      <w:r>
        <w:rPr>
          <w:rFonts w:ascii="Times New Roman" w:hAnsi="Times New Roman"/>
          <w:b/>
          <w:sz w:val="20"/>
        </w:rPr>
        <w:t>(ii)</w:t>
      </w:r>
      <w:r>
        <w:rPr>
          <w:rFonts w:ascii="Times New Roman" w:hAnsi="Times New Roman"/>
          <w:sz w:val="20"/>
        </w:rPr>
        <w:t xml:space="preserve"> above (without regard to the proviso in </w:t>
      </w:r>
      <w:r>
        <w:rPr>
          <w:rFonts w:ascii="Times New Roman" w:hAnsi="Times New Roman"/>
          <w:b/>
          <w:sz w:val="20"/>
        </w:rPr>
        <w:t>clause (B)</w:t>
      </w:r>
      <w:r>
        <w:rPr>
          <w:rFonts w:ascii="Times New Roman" w:hAnsi="Times New Roman"/>
          <w:sz w:val="20"/>
        </w:rPr>
        <w:t xml:space="preserve">) will be deemed to occur solely pursuant to </w:t>
      </w:r>
      <w:r>
        <w:rPr>
          <w:rFonts w:ascii="Times New Roman" w:hAnsi="Times New Roman"/>
          <w:b/>
          <w:sz w:val="20"/>
        </w:rPr>
        <w:t>clause (B)</w:t>
      </w:r>
      <w:r>
        <w:rPr>
          <w:rFonts w:ascii="Times New Roman" w:hAnsi="Times New Roman"/>
          <w:sz w:val="20"/>
        </w:rPr>
        <w:t> above (subject to such proviso); and (y) whether a Person is a “</w:t>
      </w:r>
      <w:r>
        <w:rPr>
          <w:rFonts w:ascii="Times New Roman" w:hAnsi="Times New Roman"/>
          <w:b/>
          <w:sz w:val="20"/>
        </w:rPr>
        <w:t>beneficial owner</w:t>
      </w:r>
      <w:r>
        <w:rPr>
          <w:rFonts w:ascii="Times New Roman" w:hAnsi="Times New Roman"/>
          <w:sz w:val="20"/>
        </w:rPr>
        <w:t>,” whether shares are “</w:t>
      </w:r>
      <w:r>
        <w:rPr>
          <w:rFonts w:ascii="Times New Roman" w:hAnsi="Times New Roman"/>
          <w:b/>
          <w:sz w:val="20"/>
        </w:rPr>
        <w:t>beneficially owned</w:t>
      </w:r>
      <w:r>
        <w:rPr>
          <w:rFonts w:ascii="Times New Roman" w:hAnsi="Times New Roman"/>
          <w:sz w:val="20"/>
        </w:rPr>
        <w:t xml:space="preserve">,” and percentage beneficial ownership, will be determined in accordance with Rule 13d-3 under the Exchange Act subject to the proviso to </w:t>
      </w:r>
      <w:r>
        <w:rPr>
          <w:rFonts w:ascii="Times New Roman" w:hAnsi="Times New Roman"/>
          <w:b/>
          <w:sz w:val="20"/>
        </w:rPr>
        <w:t>clause (A)</w:t>
      </w:r>
      <w:r>
        <w:rPr>
          <w:rFonts w:ascii="Times New Roman" w:hAnsi="Times New Roman"/>
          <w:sz w:val="20"/>
        </w:rPr>
        <w:t xml:space="preserve"> above. </w:t>
      </w:r>
    </w:p>
    <w:p>
      <w:pPr>
        <w:pStyle w:val="TextBody"/>
        <w:bidi w:val="0"/>
        <w:spacing w:before="240" w:after="0"/>
        <w:jc w:val="left"/>
        <w:rPr/>
      </w:pPr>
      <w:r>
        <w:rPr/>
        <w:t>“</w:t>
      </w:r>
      <w:r>
        <w:rPr>
          <w:rFonts w:ascii="Times New Roman" w:hAnsi="Times New Roman"/>
          <w:b/>
          <w:sz w:val="20"/>
        </w:rPr>
        <w:t>Fundamental Change Repurchase Date</w:t>
      </w:r>
      <w:r>
        <w:rPr>
          <w:rFonts w:ascii="Times New Roman" w:hAnsi="Times New Roman"/>
          <w:sz w:val="20"/>
        </w:rPr>
        <w:t xml:space="preserve">” means the date fixed for the repurchase of any Notes by the Company pursuant to a Repurchase Upon Fundamental Change. </w:t>
      </w:r>
    </w:p>
    <w:p>
      <w:pPr>
        <w:pStyle w:val="TextBody"/>
        <w:bidi w:val="0"/>
        <w:spacing w:before="240" w:after="0"/>
        <w:jc w:val="left"/>
        <w:rPr/>
      </w:pPr>
      <w:r>
        <w:rPr/>
        <w:t>“</w:t>
      </w:r>
      <w:r>
        <w:rPr>
          <w:rFonts w:ascii="Times New Roman" w:hAnsi="Times New Roman"/>
          <w:b/>
          <w:sz w:val="20"/>
        </w:rPr>
        <w:t>Fundamental Change Repurchase Notice</w:t>
      </w:r>
      <w:r>
        <w:rPr>
          <w:rFonts w:ascii="Times New Roman" w:hAnsi="Times New Roman"/>
          <w:sz w:val="20"/>
        </w:rPr>
        <w:t xml:space="preserve">” means a notice (including a notice substantially in the form of the “Fundamental Change Repurchase Notice” set forth in </w:t>
      </w:r>
      <w:r>
        <w:rPr>
          <w:rFonts w:ascii="Times New Roman" w:hAnsi="Times New Roman"/>
          <w:b/>
          <w:sz w:val="20"/>
        </w:rPr>
        <w:t>Exhibit A</w:t>
      </w:r>
      <w:r>
        <w:rPr>
          <w:rFonts w:ascii="Times New Roman" w:hAnsi="Times New Roman"/>
          <w:sz w:val="20"/>
        </w:rPr>
        <w:t xml:space="preserve">) containing the information, or otherwise complying with the requirements,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4.02(F)(i)</w:t>
      </w:r>
      <w:r>
        <w:rPr>
          <w:rFonts w:ascii="Times New Roman" w:hAnsi="Times New Roman"/>
          <w:sz w:val="20"/>
        </w:rPr>
        <w:t xml:space="preserve"> and </w:t>
      </w:r>
      <w:r>
        <w:rPr>
          <w:rFonts w:ascii="Times New Roman" w:hAnsi="Times New Roman"/>
          <w:b/>
          <w:sz w:val="20"/>
        </w:rPr>
        <w:t>Section</w:t>
      </w:r>
      <w:r>
        <w:rPr>
          <w:rFonts w:ascii="Times New Roman" w:hAnsi="Times New Roman"/>
          <w:sz w:val="20"/>
        </w:rPr>
        <w:t> </w:t>
      </w:r>
      <w:r>
        <w:rPr>
          <w:rFonts w:ascii="Times New Roman" w:hAnsi="Times New Roman"/>
          <w:b/>
          <w:sz w:val="20"/>
        </w:rPr>
        <w:t>4.02(F)(ii)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Fundamental Change Repurchase Price</w:t>
      </w:r>
      <w:r>
        <w:rPr>
          <w:rFonts w:ascii="Times New Roman" w:hAnsi="Times New Roman"/>
          <w:sz w:val="20"/>
        </w:rPr>
        <w:t xml:space="preserve">” means the cash price payable by the Company to repurchase any Note upon its Repurchase Upon Fundamental Change, calculated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Global Note</w:t>
      </w:r>
      <w:r>
        <w:rPr>
          <w:rFonts w:ascii="Times New Roman" w:hAnsi="Times New Roman"/>
          <w:sz w:val="20"/>
        </w:rPr>
        <w:t xml:space="preserve">” means a Note that is represented by a certificate substantially in the form set forth in </w:t>
      </w:r>
      <w:r>
        <w:rPr>
          <w:rFonts w:ascii="Times New Roman" w:hAnsi="Times New Roman"/>
          <w:b/>
          <w:sz w:val="20"/>
        </w:rPr>
        <w:t>Exhibit</w:t>
      </w:r>
      <w:r>
        <w:rPr>
          <w:rFonts w:ascii="Times New Roman" w:hAnsi="Times New Roman"/>
          <w:sz w:val="20"/>
        </w:rPr>
        <w:t xml:space="preserve"> </w:t>
      </w:r>
      <w:r>
        <w:rPr>
          <w:rFonts w:ascii="Times New Roman" w:hAnsi="Times New Roman"/>
          <w:b/>
          <w:sz w:val="20"/>
        </w:rPr>
        <w:t>A</w:t>
      </w:r>
      <w:r>
        <w:rPr>
          <w:rFonts w:ascii="Times New Roman" w:hAnsi="Times New Roman"/>
          <w:sz w:val="20"/>
        </w:rPr>
        <w:t xml:space="preserve">, registered in the name of the Depositary or its nominee, duly executed by the Company and authenticated by the Trustee, and deposited with the Trustee, as custodian for the Depositary. </w:t>
      </w:r>
    </w:p>
    <w:p>
      <w:pPr>
        <w:pStyle w:val="TextBody"/>
        <w:bidi w:val="0"/>
        <w:spacing w:before="240" w:after="0"/>
        <w:jc w:val="left"/>
        <w:rPr/>
      </w:pPr>
      <w:r>
        <w:rPr/>
        <w:t>“</w:t>
      </w:r>
      <w:r>
        <w:rPr>
          <w:rFonts w:ascii="Times New Roman" w:hAnsi="Times New Roman"/>
          <w:b/>
          <w:sz w:val="20"/>
        </w:rPr>
        <w:t>Global Note Legend</w:t>
      </w:r>
      <w:r>
        <w:rPr>
          <w:rFonts w:ascii="Times New Roman" w:hAnsi="Times New Roman"/>
          <w:sz w:val="20"/>
        </w:rPr>
        <w:t xml:space="preserve">” means a legend substantially in the form set forth in </w:t>
      </w:r>
      <w:r>
        <w:rPr>
          <w:rFonts w:ascii="Times New Roman" w:hAnsi="Times New Roman"/>
          <w:b/>
          <w:sz w:val="20"/>
        </w:rPr>
        <w:t>Exhibit B-1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means a person in whose name a Note is registered on the Registrar’s books. </w:t>
      </w:r>
    </w:p>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xml:space="preserve">” means the Base Indenture, as amended by this Supplemental Indenture, and as the same may be further amended or supplemented from time to time with respect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Interest Payment Date</w:t>
      </w:r>
      <w:r>
        <w:rPr>
          <w:rFonts w:ascii="Times New Roman" w:hAnsi="Times New Roman"/>
          <w:sz w:val="20"/>
        </w:rPr>
        <w:t xml:space="preserve">” means, with respect to a Note, each April 15 and October 15 of each year, commencing on April 15, 2027 (or commencing on such other date specified in the certificate representing such Note). For the avoidance of doubt, the Maturity Date is an Interest Payment Date. </w:t>
      </w:r>
    </w:p>
    <w:p>
      <w:pPr>
        <w:pStyle w:val="TextBody"/>
        <w:bidi w:val="0"/>
        <w:spacing w:before="240" w:after="0"/>
        <w:jc w:val="left"/>
        <w:rPr/>
      </w:pPr>
      <w:r>
        <w:rPr/>
        <w:t>“</w:t>
      </w:r>
      <w:r>
        <w:rPr>
          <w:rFonts w:ascii="Times New Roman" w:hAnsi="Times New Roman"/>
          <w:b/>
          <w:sz w:val="20"/>
        </w:rPr>
        <w:t>Issue Date</w:t>
      </w:r>
      <w:r>
        <w:rPr>
          <w:rFonts w:ascii="Times New Roman" w:hAnsi="Times New Roman"/>
          <w:sz w:val="20"/>
        </w:rPr>
        <w:t xml:space="preserve">” means October 9, 2026. </w:t>
      </w:r>
    </w:p>
    <w:p>
      <w:pPr>
        <w:pStyle w:val="TextBody"/>
        <w:bidi w:val="0"/>
        <w:spacing w:before="240" w:after="0"/>
        <w:jc w:val="left"/>
        <w:rPr/>
      </w:pPr>
      <w:r>
        <w:rPr/>
        <w:t>“</w:t>
      </w:r>
      <w:r>
        <w:rPr>
          <w:rFonts w:ascii="Times New Roman" w:hAnsi="Times New Roman"/>
          <w:b/>
          <w:sz w:val="20"/>
        </w:rPr>
        <w:t>Last Reported Sale Price</w:t>
      </w:r>
      <w:r>
        <w:rPr>
          <w:rFonts w:ascii="Times New Roman" w:hAnsi="Times New Roman"/>
          <w:sz w:val="20"/>
        </w:rPr>
        <w:t xml:space="preserve">”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which may be any of the Underwriters. Neither the Trustee nor the Conversion Agent will have any duty to determine the Last Reported Sale Price. </w:t>
      </w:r>
    </w:p>
    <w:p>
      <w:pPr>
        <w:pStyle w:val="TextBody"/>
        <w:bidi w:val="0"/>
        <w:spacing w:before="240" w:after="0"/>
        <w:jc w:val="left"/>
        <w:rPr/>
      </w:pPr>
      <w:r>
        <w:rPr/>
        <w:t>“</w:t>
      </w:r>
      <w:r>
        <w:rPr>
          <w:rFonts w:ascii="Times New Roman" w:hAnsi="Times New Roman"/>
          <w:b/>
          <w:sz w:val="20"/>
        </w:rPr>
        <w:t>Make-Whole Fundamental Change</w:t>
      </w:r>
      <w:r>
        <w:rPr>
          <w:rFonts w:ascii="Times New Roman" w:hAnsi="Times New Roman"/>
          <w:sz w:val="20"/>
        </w:rPr>
        <w:t xml:space="preserve">” means (A) a Fundamental Change (determined after giving effect to the proviso immediately after </w:t>
      </w:r>
      <w:r>
        <w:rPr>
          <w:rFonts w:ascii="Times New Roman" w:hAnsi="Times New Roman"/>
          <w:b/>
          <w:sz w:val="20"/>
        </w:rPr>
        <w:t>clause (D)</w:t>
      </w:r>
      <w:r>
        <w:rPr>
          <w:rFonts w:ascii="Times New Roman" w:hAnsi="Times New Roman"/>
          <w:sz w:val="20"/>
        </w:rPr>
        <w:t xml:space="preserve"> of the definition thereof, but without regard to the proviso to </w:t>
      </w:r>
      <w:r>
        <w:rPr>
          <w:rFonts w:ascii="Times New Roman" w:hAnsi="Times New Roman"/>
          <w:b/>
          <w:sz w:val="20"/>
        </w:rPr>
        <w:t>clause (B)(ii)</w:t>
      </w:r>
      <w:r>
        <w:rPr>
          <w:rFonts w:ascii="Times New Roman" w:hAnsi="Times New Roman"/>
          <w:sz w:val="20"/>
        </w:rPr>
        <w:t xml:space="preserve"> of such definition); or (B) the sending of a Redemption Notice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4.03(G)</w:t>
      </w:r>
      <w:r>
        <w:rPr>
          <w:rFonts w:ascii="Times New Roman" w:hAnsi="Times New Roman"/>
          <w:sz w:val="20"/>
        </w:rPr>
        <w:t xml:space="preserve"> with respect to a Provisional Redemption or a Cleanup Redemption;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subject to </w:t>
      </w:r>
      <w:r>
        <w:rPr>
          <w:rFonts w:ascii="Times New Roman" w:hAnsi="Times New Roman"/>
          <w:b/>
          <w:sz w:val="20"/>
        </w:rPr>
        <w:t>Section</w:t>
      </w:r>
      <w:r>
        <w:rPr>
          <w:rFonts w:ascii="Times New Roman" w:hAnsi="Times New Roman"/>
          <w:sz w:val="20"/>
        </w:rPr>
        <w:t> </w:t>
      </w:r>
      <w:r>
        <w:rPr>
          <w:rFonts w:ascii="Times New Roman" w:hAnsi="Times New Roman"/>
          <w:b/>
          <w:sz w:val="20"/>
        </w:rPr>
        <w:t>4.03(J)</w:t>
      </w:r>
      <w:r>
        <w:rPr>
          <w:rFonts w:ascii="Times New Roman" w:hAnsi="Times New Roman"/>
          <w:sz w:val="20"/>
        </w:rPr>
        <w:t xml:space="preserve">, the sending of any such Redemption Notice for a Provisional Redemption will constitute a Make-Whole Fundamental Change only with respect to the Notes called for Redemption pursuant to such Redemption Notice and not with respect to any other Notes. </w:t>
      </w:r>
    </w:p>
    <w:p>
      <w:pPr>
        <w:pStyle w:val="TextBody"/>
        <w:bidi w:val="0"/>
        <w:spacing w:before="240" w:after="0"/>
        <w:jc w:val="left"/>
        <w:rPr/>
      </w:pPr>
      <w:r>
        <w:rPr/>
        <w:t>“</w:t>
      </w:r>
      <w:r>
        <w:rPr>
          <w:rFonts w:ascii="Times New Roman" w:hAnsi="Times New Roman"/>
          <w:b/>
          <w:sz w:val="20"/>
        </w:rPr>
        <w:t>Make-Whole Fundamental Change Conversion Period</w:t>
      </w:r>
      <w:r>
        <w:rPr>
          <w:rFonts w:ascii="Times New Roman" w:hAnsi="Times New Roman"/>
          <w:sz w:val="20"/>
        </w:rPr>
        <w:t xml:space="preserve">” has the following meaning: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 Make-Whole Fundamental Change pursuant to </w:t>
      </w:r>
      <w:r>
        <w:rPr>
          <w:rFonts w:ascii="Times New Roman" w:hAnsi="Times New Roman"/>
          <w:b/>
          <w:sz w:val="20"/>
        </w:rPr>
        <w:t>clause (A)</w:t>
      </w:r>
      <w:r>
        <w:rPr>
          <w:rFonts w:ascii="Times New Roman" w:hAnsi="Times New Roman"/>
          <w:sz w:val="20"/>
        </w:rPr>
        <w:t xml:space="preserve"> of the definition thereof, the period from, and including, the Make-Whole Fundamental Change Effective Date of such Make-Whole Fundamental Change to, and including, the thirty fifth (35th) Trading Day after such Make-Whole Fundamental Change Effective Date (or, if such Make-Whole Fundamental Change also constitutes a Fundamental Change (other than an Exempted Fundamental Change), to, but excluding, the related Fundamental Change Repurchase Date); and </w:t>
      </w:r>
    </w:p>
    <w:p>
      <w:pPr>
        <w:pStyle w:val="TextBody"/>
        <w:bidi w:val="0"/>
        <w:spacing w:before="240" w:after="0"/>
        <w:jc w:val="left"/>
        <w:rPr>
          <w:rFonts w:ascii="Times New Roman" w:hAnsi="Times New Roman"/>
          <w:sz w:val="20"/>
        </w:rPr>
      </w:pPr>
      <w:r>
        <w:rPr>
          <w:rFonts w:ascii="Times New Roman" w:hAnsi="Times New Roman"/>
          <w:sz w:val="20"/>
        </w:rPr>
        <w:t xml:space="preserve">(B) in the case of a Make-Whole Fundamental Change pursuant to </w:t>
      </w:r>
      <w:r>
        <w:rPr>
          <w:rFonts w:ascii="Times New Roman" w:hAnsi="Times New Roman"/>
          <w:b/>
          <w:sz w:val="20"/>
        </w:rPr>
        <w:t>clause (B)</w:t>
      </w:r>
      <w:r>
        <w:rPr>
          <w:rFonts w:ascii="Times New Roman" w:hAnsi="Times New Roman"/>
          <w:sz w:val="20"/>
        </w:rPr>
        <w:t xml:space="preserve"> of the definition thereof, the period from, and including, the Redemption Notice Date for the related Redemption to, and including, the second (2nd) Business Day immediately before the related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Conversion Date for the Conversion of a Note that has been called for Redemption occurs during the Make-Whole Fundamental Change Conversion Period for both a Make-Whole Fundamental Change occurring pursuant to </w:t>
      </w:r>
      <w:r>
        <w:rPr>
          <w:rFonts w:ascii="Times New Roman" w:hAnsi="Times New Roman"/>
          <w:b/>
          <w:sz w:val="20"/>
        </w:rPr>
        <w:t>clause (A)</w:t>
      </w:r>
      <w:r>
        <w:rPr>
          <w:rFonts w:ascii="Times New Roman" w:hAnsi="Times New Roman"/>
          <w:sz w:val="20"/>
        </w:rPr>
        <w:t xml:space="preserve"> of the definition of “Make-Whole Fundamental Change” and a Make-Whole Fundamental Change resulting from such Redemption pursuant to </w:t>
      </w:r>
      <w:r>
        <w:rPr>
          <w:rFonts w:ascii="Times New Roman" w:hAnsi="Times New Roman"/>
          <w:b/>
          <w:sz w:val="20"/>
        </w:rPr>
        <w:t>clause (B)</w:t>
      </w:r>
      <w:r>
        <w:rPr>
          <w:rFonts w:ascii="Times New Roman" w:hAnsi="Times New Roman"/>
          <w:sz w:val="20"/>
        </w:rPr>
        <w:t xml:space="preserve"> of such definition, then, notwithstanding anything to the contrary in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solely for purposes of such Conversion, (x) such Conversion 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 </w:t>
      </w:r>
    </w:p>
    <w:p>
      <w:pPr>
        <w:pStyle w:val="TextBody"/>
        <w:bidi w:val="0"/>
        <w:spacing w:before="240" w:after="0"/>
        <w:jc w:val="left"/>
        <w:rPr/>
      </w:pPr>
      <w:r>
        <w:rPr/>
        <w:t>“</w:t>
      </w:r>
      <w:r>
        <w:rPr>
          <w:rFonts w:ascii="Times New Roman" w:hAnsi="Times New Roman"/>
          <w:b/>
          <w:sz w:val="20"/>
        </w:rPr>
        <w:t>Make-Whole Fundamental Change Effective Date</w:t>
      </w:r>
      <w:r>
        <w:rPr>
          <w:rFonts w:ascii="Times New Roman" w:hAnsi="Times New Roman"/>
          <w:sz w:val="20"/>
        </w:rPr>
        <w:t xml:space="preserve">” means (A) with respect to a Make-Whole Fundamental Change pursuant to </w:t>
      </w:r>
      <w:r>
        <w:rPr>
          <w:rFonts w:ascii="Times New Roman" w:hAnsi="Times New Roman"/>
          <w:b/>
          <w:sz w:val="20"/>
        </w:rPr>
        <w:t>clause (A)</w:t>
      </w:r>
      <w:r>
        <w:rPr>
          <w:rFonts w:ascii="Times New Roman" w:hAnsi="Times New Roman"/>
          <w:sz w:val="20"/>
        </w:rPr>
        <w:t xml:space="preserve"> of the definition thereof, the date on which such Make-Whole Fundamental Change occurs or becomes effective; and (B) with respect to a Make-Whole Fundamental Change pursuant to </w:t>
      </w:r>
      <w:r>
        <w:rPr>
          <w:rFonts w:ascii="Times New Roman" w:hAnsi="Times New Roman"/>
          <w:b/>
          <w:sz w:val="20"/>
        </w:rPr>
        <w:t>clause (B)</w:t>
      </w:r>
      <w:r>
        <w:rPr>
          <w:rFonts w:ascii="Times New Roman" w:hAnsi="Times New Roman"/>
          <w:sz w:val="20"/>
        </w:rPr>
        <w:t xml:space="preserve"> of the definition thereof, the applicable Redemption Notice Date. </w:t>
      </w:r>
    </w:p>
    <w:p>
      <w:pPr>
        <w:pStyle w:val="TextBody"/>
        <w:bidi w:val="0"/>
        <w:spacing w:before="240" w:after="0"/>
        <w:jc w:val="left"/>
        <w:rPr/>
      </w:pPr>
      <w:r>
        <w:rPr/>
        <w:t>“</w:t>
      </w:r>
      <w:r>
        <w:rPr>
          <w:rFonts w:ascii="Times New Roman" w:hAnsi="Times New Roman"/>
          <w:b/>
          <w:sz w:val="20"/>
        </w:rPr>
        <w:t>Market Disruption Event</w:t>
      </w:r>
      <w:r>
        <w:rPr>
          <w:rFonts w:ascii="Times New Roman" w:hAnsi="Times New Roman"/>
          <w:sz w:val="20"/>
        </w:rPr>
        <w:t xml:space="preserve">”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but, in each case, excluding any suspension or limitation on trading imposed solely pursuant to Rule 201 of Regulation SHO under the Exchange Act, as such rule exists as of the date the Notes are first issued) in the Common Stock or in any options contracts or futures contracts relating to the Common Stock. </w:t>
      </w:r>
    </w:p>
    <w:p>
      <w:pPr>
        <w:pStyle w:val="TextBody"/>
        <w:bidi w:val="0"/>
        <w:spacing w:before="240" w:after="0"/>
        <w:jc w:val="left"/>
        <w:rPr/>
      </w:pPr>
      <w:r>
        <w:rPr/>
        <w:t>“</w:t>
      </w:r>
      <w:r>
        <w:rPr>
          <w:rFonts w:ascii="Times New Roman" w:hAnsi="Times New Roman"/>
          <w:b/>
          <w:sz w:val="20"/>
        </w:rPr>
        <w:t>Maturity Date</w:t>
      </w:r>
      <w:r>
        <w:rPr>
          <w:rFonts w:ascii="Times New Roman" w:hAnsi="Times New Roman"/>
          <w:sz w:val="20"/>
        </w:rPr>
        <w:t xml:space="preserve">” means October 15, 2032. </w:t>
      </w:r>
    </w:p>
    <w:p>
      <w:pPr>
        <w:pStyle w:val="TextBody"/>
        <w:bidi w:val="0"/>
        <w:spacing w:before="240" w:after="0"/>
        <w:jc w:val="left"/>
        <w:rPr/>
      </w:pPr>
      <w:r>
        <w:rPr/>
        <w:t>“</w:t>
      </w:r>
      <w:r>
        <w:rPr>
          <w:rFonts w:ascii="Times New Roman" w:hAnsi="Times New Roman"/>
          <w:b/>
          <w:sz w:val="20"/>
        </w:rPr>
        <w:t>Note Agent</w:t>
      </w:r>
      <w:r>
        <w:rPr>
          <w:rFonts w:ascii="Times New Roman" w:hAnsi="Times New Roman"/>
          <w:sz w:val="20"/>
        </w:rPr>
        <w:t xml:space="preserve">” means any Registrar, Paying Agent or Conversion Agent. </w:t>
      </w:r>
    </w:p>
    <w:p>
      <w:pPr>
        <w:pStyle w:val="TextBody"/>
        <w:bidi w:val="0"/>
        <w:spacing w:before="240" w:after="0"/>
        <w:jc w:val="left"/>
        <w:rPr/>
      </w:pPr>
      <w:r>
        <w:rPr/>
        <w:t>“</w:t>
      </w:r>
      <w:r>
        <w:rPr>
          <w:rFonts w:ascii="Times New Roman" w:hAnsi="Times New Roman"/>
          <w:b/>
          <w:sz w:val="20"/>
        </w:rPr>
        <w:t>Note Security</w:t>
      </w:r>
      <w:r>
        <w:rPr>
          <w:rFonts w:ascii="Times New Roman" w:hAnsi="Times New Roman"/>
          <w:sz w:val="20"/>
        </w:rPr>
        <w:t xml:space="preserve">” means any Note or Conversion Share. </w:t>
      </w:r>
    </w:p>
    <w:p>
      <w:pPr>
        <w:pStyle w:val="TextBody"/>
        <w:bidi w:val="0"/>
        <w:spacing w:before="240" w:after="0"/>
        <w:jc w:val="left"/>
        <w:rPr/>
      </w:pPr>
      <w:r>
        <w:rPr/>
        <w:t>“</w:t>
      </w:r>
      <w:r>
        <w:rPr>
          <w:rFonts w:ascii="Times New Roman" w:hAnsi="Times New Roman"/>
          <w:b/>
          <w:sz w:val="20"/>
        </w:rPr>
        <w:t>Notes</w:t>
      </w:r>
      <w:r>
        <w:rPr>
          <w:rFonts w:ascii="Times New Roman" w:hAnsi="Times New Roman"/>
          <w:sz w:val="20"/>
        </w:rPr>
        <w:t xml:space="preserve">” means the 1.50% Convertible Senior Notes due 2032 issued by the Company pursuant to the Indenture. </w:t>
      </w:r>
    </w:p>
    <w:p>
      <w:pPr>
        <w:pStyle w:val="TextBody"/>
        <w:bidi w:val="0"/>
        <w:spacing w:before="240" w:after="0"/>
        <w:jc w:val="left"/>
        <w:rPr/>
      </w:pPr>
      <w:r>
        <w:rPr/>
        <w:t>“</w:t>
      </w:r>
      <w:r>
        <w:rPr>
          <w:rFonts w:ascii="Times New Roman" w:hAnsi="Times New Roman"/>
          <w:b/>
          <w:sz w:val="20"/>
        </w:rPr>
        <w:t>Observation Period</w:t>
      </w:r>
      <w:r>
        <w:rPr>
          <w:rFonts w:ascii="Times New Roman" w:hAnsi="Times New Roman"/>
          <w:sz w:val="20"/>
        </w:rPr>
        <w:t xml:space="preserve">” means, with respect to any Note to be Converted, (A) subject to </w:t>
      </w:r>
      <w:r>
        <w:rPr>
          <w:rFonts w:ascii="Times New Roman" w:hAnsi="Times New Roman"/>
          <w:b/>
          <w:sz w:val="20"/>
        </w:rPr>
        <w:t>clause (B)</w:t>
      </w:r>
      <w:r>
        <w:rPr>
          <w:rFonts w:ascii="Times New Roman" w:hAnsi="Times New Roman"/>
          <w:sz w:val="20"/>
        </w:rPr>
        <w:t xml:space="preserve"> below, if the Conversion Date for such Note occurs on or before July 15, 2032, the twenty (20) consecutive VWAP Trading Days beginning on, and including, the second (2nd) VWAP Trading Day immediately after such Conversion Date; (B) if such Conversion Date occurs on or after the date the Company has sent a Redemption Notice calling all or any Notes for Redemption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4.03(G)</w:t>
      </w:r>
      <w:r>
        <w:rPr>
          <w:rFonts w:ascii="Times New Roman" w:hAnsi="Times New Roman"/>
          <w:sz w:val="20"/>
        </w:rPr>
        <w:t xml:space="preserve"> and on or before the second (2nd) Business Day before the related Redemption Date, the twenty (20) consecutive VWAP Trading Days beginning on, and including, the twenty-first (21st) Scheduled Trading Day immediately before such Redemption Date; and (C) subject to </w:t>
      </w:r>
      <w:r>
        <w:rPr>
          <w:rFonts w:ascii="Times New Roman" w:hAnsi="Times New Roman"/>
          <w:b/>
          <w:sz w:val="20"/>
        </w:rPr>
        <w:t>clause (B)</w:t>
      </w:r>
      <w:r>
        <w:rPr>
          <w:rFonts w:ascii="Times New Roman" w:hAnsi="Times New Roman"/>
          <w:sz w:val="20"/>
        </w:rPr>
        <w:t xml:space="preserve"> above, if such Conversion Date occurs after July 15, 2032, the twenty (20) consecutive VWAP Trading Days beginning on, and including, the twenty-first (21st) Scheduled Trading Day immediately before the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Officer</w:t>
      </w:r>
      <w:r>
        <w:rPr>
          <w:rFonts w:ascii="Times New Roman" w:hAnsi="Times New Roman"/>
          <w:sz w:val="20"/>
        </w:rPr>
        <w:t xml:space="preserve">” means the Chairman of the Board of Directors, the Chief Executive Officer, the President, the Chief Operating Officer, the Chief Financial Officer, the Treasurer, any Assistant Treasurer, the Controller, the Secretary or any Vice-President of the Company.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that is signed on behalf of the Company by one (1) of its Officers and that meets the requirements of </w:t>
      </w:r>
      <w:r>
        <w:rPr>
          <w:rFonts w:ascii="Times New Roman" w:hAnsi="Times New Roman"/>
          <w:b/>
          <w:sz w:val="20"/>
        </w:rPr>
        <w:t>Section</w:t>
      </w:r>
      <w:r>
        <w:rPr>
          <w:rFonts w:ascii="Times New Roman" w:hAnsi="Times New Roman"/>
          <w:sz w:val="20"/>
        </w:rPr>
        <w:t> </w:t>
      </w:r>
      <w:r>
        <w:rPr>
          <w:rFonts w:ascii="Times New Roman" w:hAnsi="Times New Roman"/>
          <w:b/>
          <w:sz w:val="20"/>
        </w:rPr>
        <w:t>11.03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Open of Business</w:t>
      </w:r>
      <w:r>
        <w:rPr>
          <w:rFonts w:ascii="Times New Roman" w:hAnsi="Times New Roman"/>
          <w:sz w:val="20"/>
        </w:rPr>
        <w:t xml:space="preserve">” means 9:00 a.m., New York City time. </w:t>
      </w:r>
    </w:p>
    <w:p>
      <w:pPr>
        <w:pStyle w:val="TextBody"/>
        <w:bidi w:val="0"/>
        <w:spacing w:before="240" w:after="0"/>
        <w:jc w:val="left"/>
        <w:rPr/>
      </w:pPr>
      <w:r>
        <w:rPr/>
        <w:t>“</w:t>
      </w:r>
      <w:r>
        <w:rPr>
          <w:rFonts w:ascii="Times New Roman" w:hAnsi="Times New Roman"/>
          <w:b/>
          <w:sz w:val="20"/>
        </w:rPr>
        <w:t>Opinion of Counsel</w:t>
      </w:r>
      <w:r>
        <w:rPr>
          <w:rFonts w:ascii="Times New Roman" w:hAnsi="Times New Roman"/>
          <w:sz w:val="20"/>
        </w:rPr>
        <w:t xml:space="preserve">” means an opinion, from legal counsel (including an employee of, or counsel to, the Company or any of its Subsidiaries) reasonably acceptable to the Trustee, that meets the requirements of </w:t>
      </w:r>
      <w:r>
        <w:rPr>
          <w:rFonts w:ascii="Times New Roman" w:hAnsi="Times New Roman"/>
          <w:b/>
          <w:sz w:val="20"/>
        </w:rPr>
        <w:t>Section</w:t>
      </w:r>
      <w:r>
        <w:rPr>
          <w:rFonts w:ascii="Times New Roman" w:hAnsi="Times New Roman"/>
          <w:sz w:val="20"/>
        </w:rPr>
        <w:t> </w:t>
      </w:r>
      <w:r>
        <w:rPr>
          <w:rFonts w:ascii="Times New Roman" w:hAnsi="Times New Roman"/>
          <w:b/>
          <w:sz w:val="20"/>
        </w:rPr>
        <w:t>11.03</w:t>
      </w:r>
      <w:r>
        <w:rPr>
          <w:rFonts w:ascii="Times New Roman" w:hAnsi="Times New Roman"/>
          <w:sz w:val="20"/>
        </w:rPr>
        <w:t xml:space="preserve">, subject to customary qualifications and exclusions.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or “</w:t>
      </w:r>
      <w:r>
        <w:rPr>
          <w:rFonts w:ascii="Times New Roman" w:hAnsi="Times New Roman"/>
          <w:b/>
          <w:sz w:val="20"/>
        </w:rPr>
        <w:t>person</w:t>
      </w:r>
      <w:r>
        <w:rPr>
          <w:rFonts w:ascii="Times New Roman" w:hAnsi="Times New Roman"/>
          <w:sz w:val="20"/>
        </w:rPr>
        <w:t xml:space="preserve">”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the Indenture. </w:t>
      </w:r>
    </w:p>
    <w:p>
      <w:pPr>
        <w:pStyle w:val="TextBody"/>
        <w:bidi w:val="0"/>
        <w:spacing w:before="240" w:after="0"/>
        <w:jc w:val="left"/>
        <w:rPr/>
      </w:pPr>
      <w:r>
        <w:rPr/>
        <w:t>“</w:t>
      </w:r>
      <w:r>
        <w:rPr>
          <w:rFonts w:ascii="Times New Roman" w:hAnsi="Times New Roman"/>
          <w:b/>
          <w:sz w:val="20"/>
        </w:rPr>
        <w:t>Physical Note</w:t>
      </w:r>
      <w:r>
        <w:rPr>
          <w:rFonts w:ascii="Times New Roman" w:hAnsi="Times New Roman"/>
          <w:sz w:val="20"/>
        </w:rPr>
        <w:t xml:space="preserve">” means a Note (other than a Global Note) that is represented by a certificate substantially in the form set forth in </w:t>
      </w:r>
      <w:r>
        <w:rPr>
          <w:rFonts w:ascii="Times New Roman" w:hAnsi="Times New Roman"/>
          <w:b/>
          <w:sz w:val="20"/>
        </w:rPr>
        <w:t>Exhibit</w:t>
      </w:r>
      <w:r>
        <w:rPr>
          <w:rFonts w:ascii="Times New Roman" w:hAnsi="Times New Roman"/>
          <w:sz w:val="20"/>
        </w:rPr>
        <w:t xml:space="preserve"> </w:t>
      </w:r>
      <w:r>
        <w:rPr>
          <w:rFonts w:ascii="Times New Roman" w:hAnsi="Times New Roman"/>
          <w:b/>
          <w:sz w:val="20"/>
        </w:rPr>
        <w:t>A</w:t>
      </w:r>
      <w:r>
        <w:rPr>
          <w:rFonts w:ascii="Times New Roman" w:hAnsi="Times New Roman"/>
          <w:sz w:val="20"/>
        </w:rPr>
        <w:t xml:space="preserve">, registered in the name of the Holder of such Note and duly executed by the Company and authenticated by the Trustee. </w:t>
      </w:r>
    </w:p>
    <w:p>
      <w:pPr>
        <w:pStyle w:val="TextBody"/>
        <w:bidi w:val="0"/>
        <w:spacing w:before="240" w:after="0"/>
        <w:jc w:val="left"/>
        <w:rPr/>
      </w:pPr>
      <w:r>
        <w:rPr/>
        <w:t>“</w:t>
      </w:r>
      <w:r>
        <w:rPr>
          <w:rFonts w:ascii="Times New Roman" w:hAnsi="Times New Roman"/>
          <w:b/>
          <w:sz w:val="20"/>
        </w:rPr>
        <w:t>Provisional Redemption</w:t>
      </w:r>
      <w:r>
        <w:rPr>
          <w:rFonts w:ascii="Times New Roman" w:hAnsi="Times New Roman"/>
          <w:sz w:val="20"/>
        </w:rPr>
        <w:t xml:space="preserve">” means the repurchase of any Note by the Company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Qualified Successor Entity</w:t>
      </w:r>
      <w:r>
        <w:rPr>
          <w:rFonts w:ascii="Times New Roman" w:hAnsi="Times New Roman"/>
          <w:sz w:val="20"/>
        </w:rPr>
        <w:t xml:space="preserve">” means, with respect to a Business Combination Event, a corporation;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limited liability company, limited partnership or other similar entity will also constitute a Qualified Successor Entity with respect to such Business Combination Event if either (A) such Business Combination Event is an Exempted Fundamental Change; or (B) both of the following conditions are satisfied: (i) either (1) such limited liability company, limited partnership or other similar entity, as applicable, is treated as a corporation or is a direct or indirect, Wholly Owned Subsidiary of, and disregarded as an entity separate from, a corporation, in each case for U.S. federal income tax purposes; or (2) the Company has received an opinion of a nationally recognized tax counsel to the effect that such Business Combination Event will not be treated as an exchange under Section 1001 of the Internal Revenue Code of 1986, as amended, for Holders or beneficial owners of the Notes; and (ii) either (1) such Business Combination Event constitutes a Common Stock Change Event whose Reference Property consists solely of any combination of cash in U.S. dollars and shares of common stock or other corporate Common Equity interests of an entity that is (a) treated as a corporation for U.S. federal income tax purposes; (b) duly organized and existing under the laws of the United States of America, any State thereof or the District of Columbia; and (c) the direct or indirect parent of such limited liability company, limited partnership or other similar entity; or (2) both of the following conditions are satisfied: (a) such Business Combination Event does not constitute a Common Stock Change Event; and (b) the Company (x) remains an obligor of the Notes following such Business Combination Event; and (y) is the direct or indirect parent of such limited liability company, limited partnership or other similar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Redemption</w:t>
      </w:r>
      <w:r>
        <w:rPr>
          <w:rFonts w:ascii="Times New Roman" w:hAnsi="Times New Roman"/>
          <w:sz w:val="20"/>
        </w:rPr>
        <w:t xml:space="preserve">” means a Provisional Redemption or a Cleanup Redemption. </w:t>
      </w:r>
    </w:p>
    <w:p>
      <w:pPr>
        <w:pStyle w:val="TextBody"/>
        <w:bidi w:val="0"/>
        <w:spacing w:before="240" w:after="0"/>
        <w:jc w:val="left"/>
        <w:rPr/>
      </w:pPr>
      <w:r>
        <w:rPr/>
        <w:t>“</w:t>
      </w:r>
      <w:r>
        <w:rPr>
          <w:rFonts w:ascii="Times New Roman" w:hAnsi="Times New Roman"/>
          <w:b/>
          <w:sz w:val="20"/>
        </w:rPr>
        <w:t>Redemption Date</w:t>
      </w:r>
      <w:r>
        <w:rPr>
          <w:rFonts w:ascii="Times New Roman" w:hAnsi="Times New Roman"/>
          <w:sz w:val="20"/>
        </w:rPr>
        <w:t xml:space="preserve">” means the date fixed,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4.03(E)</w:t>
      </w:r>
      <w:r>
        <w:rPr>
          <w:rFonts w:ascii="Times New Roman" w:hAnsi="Times New Roman"/>
          <w:sz w:val="20"/>
        </w:rPr>
        <w:t xml:space="preserve">, for the settlement of the repurchase of any Notes by the Company pursuant to a Redemption. </w:t>
      </w:r>
    </w:p>
    <w:p>
      <w:pPr>
        <w:pStyle w:val="TextBody"/>
        <w:bidi w:val="0"/>
        <w:spacing w:before="240" w:after="0"/>
        <w:jc w:val="left"/>
        <w:rPr/>
      </w:pPr>
      <w:r>
        <w:rPr/>
        <w:t>“</w:t>
      </w:r>
      <w:r>
        <w:rPr>
          <w:rFonts w:ascii="Times New Roman" w:hAnsi="Times New Roman"/>
          <w:b/>
          <w:sz w:val="20"/>
        </w:rPr>
        <w:t>Redemption Notice Date</w:t>
      </w:r>
      <w:r>
        <w:rPr>
          <w:rFonts w:ascii="Times New Roman" w:hAnsi="Times New Roman"/>
          <w:sz w:val="20"/>
        </w:rPr>
        <w:t xml:space="preserve">” means, with respect to a Redemption, the date on which the Company sends the Redemption Notice for such Redemption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Redemption Price</w:t>
      </w:r>
      <w:r>
        <w:rPr>
          <w:rFonts w:ascii="Times New Roman" w:hAnsi="Times New Roman"/>
          <w:sz w:val="20"/>
        </w:rPr>
        <w:t xml:space="preserve">” means the cash price payable by the Company to redeem any Note upon its Redemption, calculated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Regular Record Date</w:t>
      </w:r>
      <w:r>
        <w:rPr>
          <w:rFonts w:ascii="Times New Roman" w:hAnsi="Times New Roman"/>
          <w:sz w:val="20"/>
        </w:rPr>
        <w:t xml:space="preserve">” has the following meaning with respect to an Interest Payment Date: (A) if such Interest Payment Date occurs on April 15, the immediately preceding April 1; and (B) if such Interest Payment Date occurs on October 15, the immediately preceding October 1. </w:t>
      </w:r>
    </w:p>
    <w:p>
      <w:pPr>
        <w:pStyle w:val="TextBody"/>
        <w:bidi w:val="0"/>
        <w:spacing w:before="240" w:after="0"/>
        <w:jc w:val="left"/>
        <w:rPr/>
      </w:pPr>
      <w:r>
        <w:rPr/>
        <w:t>“</w:t>
      </w:r>
      <w:r>
        <w:rPr>
          <w:rFonts w:ascii="Times New Roman" w:hAnsi="Times New Roman"/>
          <w:b/>
          <w:sz w:val="20"/>
        </w:rPr>
        <w:t>Repurchase Upon Fundamental Change</w:t>
      </w:r>
      <w:r>
        <w:rPr>
          <w:rFonts w:ascii="Times New Roman" w:hAnsi="Times New Roman"/>
          <w:sz w:val="20"/>
        </w:rPr>
        <w:t xml:space="preserve">” means the repurchase of any Note by the Company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means (A) any officer within the corporate trust group of the Trustee (or any successor group of the Trustee) or any other officer of the Trustee customarily performing functions similar to those performed by any of such officers; and (B) with respect to a particular corporate trust matter relating to the Indenture, any other officer to whom such matter is referred because of his or her knowledge of, and familiarity with, the particular subject, and who, in each case, has direct responsibility for the administration of the Indenture.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under the Securities Act (or any successor rule thereto), as the same may be amended from time to time. </w:t>
      </w:r>
    </w:p>
    <w:p>
      <w:pPr>
        <w:pStyle w:val="TextBody"/>
        <w:bidi w:val="0"/>
        <w:spacing w:before="240" w:after="0"/>
        <w:jc w:val="left"/>
        <w:rPr/>
      </w:pPr>
      <w:r>
        <w:rPr/>
        <w:t>“</w:t>
      </w:r>
      <w:r>
        <w:rPr>
          <w:rFonts w:ascii="Times New Roman" w:hAnsi="Times New Roman"/>
          <w:b/>
          <w:sz w:val="20"/>
        </w:rPr>
        <w:t>Scheduled Trading Day</w:t>
      </w:r>
      <w:r>
        <w:rPr>
          <w:rFonts w:ascii="Times New Roman" w:hAnsi="Times New Roman"/>
          <w:sz w:val="20"/>
        </w:rPr>
        <w:t xml:space="preserve">” means any day that is scheduled to be a Trading Day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w:t>
      </w:r>
    </w:p>
    <w:p>
      <w:pPr>
        <w:pStyle w:val="TextBody"/>
        <w:bidi w:val="0"/>
        <w:spacing w:before="240" w:after="0"/>
        <w:jc w:val="left"/>
        <w:rPr/>
      </w:pPr>
      <w:r>
        <w:rPr/>
        <w:t>“</w:t>
      </w:r>
      <w:r>
        <w:rPr>
          <w:rFonts w:ascii="Times New Roman" w:hAnsi="Times New Roman"/>
          <w:b/>
          <w:sz w:val="20"/>
        </w:rPr>
        <w:t>Settlement Method</w:t>
      </w:r>
      <w:r>
        <w:rPr>
          <w:rFonts w:ascii="Times New Roman" w:hAnsi="Times New Roman"/>
          <w:sz w:val="20"/>
        </w:rPr>
        <w:t xml:space="preserve">” means Cash Settlement, Physical Settlement or Combination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Shoe Option</w:t>
      </w:r>
      <w:r>
        <w:rPr>
          <w:rFonts w:ascii="Times New Roman" w:hAnsi="Times New Roman"/>
          <w:sz w:val="20"/>
        </w:rPr>
        <w:t xml:space="preserve">” means the Underwriters’ option to purchase up to seventy-five million dollars ($75,000,000) aggregate principal amount of additional Notes as provided for in the Underwriting Agreement. </w:t>
      </w:r>
    </w:p>
    <w:p>
      <w:pPr>
        <w:pStyle w:val="TextBody"/>
        <w:bidi w:val="0"/>
        <w:spacing w:before="240" w:after="0"/>
        <w:jc w:val="left"/>
        <w:rPr/>
      </w:pPr>
      <w:r>
        <w:rPr/>
        <w:t>“</w:t>
      </w:r>
      <w:r>
        <w:rPr>
          <w:rFonts w:ascii="Times New Roman" w:hAnsi="Times New Roman"/>
          <w:b/>
          <w:sz w:val="20"/>
        </w:rPr>
        <w:t>Significant Subsidiary</w:t>
      </w:r>
      <w:r>
        <w:rPr>
          <w:rFonts w:ascii="Times New Roman" w:hAnsi="Times New Roman"/>
          <w:sz w:val="20"/>
        </w:rPr>
        <w:t xml:space="preserve">” means, with respect to any Person, any Subsidiary of such Person that constitutes a “significant subsidiary” (as defined in Rule 1-02(w) of Regulation S-X under the Exchange Act) of such Person;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 Subsidiary meets the criteria of clause (1)(iii), but not clause (1)(i) or (1)(ii), of the definition of “significant subsidiary” in Rule 1-02(w) (or, if applicable, the respective successor clauses to the aforementioned clauses), then such Subsidiary will be deemed not to be a Significant Subsidiary unless such Subsidiary’s income from continuing operations before income taxes, exclusive of amounts attributable to any non-controlling interests, for the last completed fiscal year before the date of determination exceeds seventy-five million dollars ($75,000,000). </w:t>
      </w:r>
    </w:p>
    <w:p>
      <w:pPr>
        <w:pStyle w:val="TextBody"/>
        <w:bidi w:val="0"/>
        <w:spacing w:before="240" w:after="0"/>
        <w:jc w:val="left"/>
        <w:rPr/>
      </w:pPr>
      <w:r>
        <w:rPr/>
        <w:t>“</w:t>
      </w:r>
      <w:r>
        <w:rPr>
          <w:rFonts w:ascii="Times New Roman" w:hAnsi="Times New Roman"/>
          <w:b/>
          <w:sz w:val="20"/>
        </w:rPr>
        <w:t>Special Interest</w:t>
      </w:r>
      <w:r>
        <w:rPr>
          <w:rFonts w:ascii="Times New Roman" w:hAnsi="Times New Roman"/>
          <w:sz w:val="20"/>
        </w:rPr>
        <w:t xml:space="preserve">” means any interest that accrues on any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Specified Dollar Amount</w:t>
      </w:r>
      <w:r>
        <w:rPr>
          <w:rFonts w:ascii="Times New Roman" w:hAnsi="Times New Roman"/>
          <w:sz w:val="20"/>
        </w:rPr>
        <w:t xml:space="preserve">” means, with respect to the Conversion of a Note to which Combination Settlement applies, the maximum cash amount per $1,000 principal amount of such Note deliverable upon such Conversion (excluding cash in lieu of any fractional share of Common Stock). </w:t>
      </w:r>
    </w:p>
    <w:p>
      <w:pPr>
        <w:pStyle w:val="TextBody"/>
        <w:bidi w:val="0"/>
        <w:spacing w:before="240" w:after="0"/>
        <w:jc w:val="left"/>
        <w:rPr/>
      </w:pPr>
      <w:r>
        <w:rPr/>
        <w:t>“</w:t>
      </w:r>
      <w:r>
        <w:rPr>
          <w:rFonts w:ascii="Times New Roman" w:hAnsi="Times New Roman"/>
          <w:b/>
          <w:sz w:val="20"/>
        </w:rPr>
        <w:t>Stock Price</w:t>
      </w:r>
      <w:r>
        <w:rPr>
          <w:rFonts w:ascii="Times New Roman" w:hAnsi="Times New Roman"/>
          <w:sz w:val="20"/>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Times New Roman" w:hAnsi="Times New Roman"/>
          <w:b/>
          <w:sz w:val="20"/>
        </w:rPr>
        <w:t>clause (B)</w:t>
      </w:r>
      <w:r>
        <w:rPr>
          <w:rFonts w:ascii="Times New Roman" w:hAnsi="Times New Roman"/>
          <w:sz w:val="20"/>
        </w:rPr>
        <w:t xml:space="preserve"> of the definition of “Fundamental Change,” then the Stock Price is the amount of cash paid per share of Common Stock in such Make-Whole Fundamental Change; and (B) in all other cases, the Stock Price is the average of the Last Reported Sale Prices per share of Common Stock for the five (5) consecutive Trading Days ending on, and including, the Trading Day immediately before the Make-Whole Fundamental Change Effective Date of such Make-Whole Fundamental Change.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Supplemental Indenture</w:t>
      </w:r>
      <w:r>
        <w:rPr>
          <w:rFonts w:ascii="Times New Roman" w:hAnsi="Times New Roman"/>
          <w:sz w:val="20"/>
        </w:rPr>
        <w:t xml:space="preserve">” means this First Supplemental Indenture, as amended or supplemented from time to time.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 </w:t>
      </w:r>
    </w:p>
    <w:p>
      <w:pPr>
        <w:pStyle w:val="TextBody"/>
        <w:bidi w:val="0"/>
        <w:spacing w:before="240" w:after="0"/>
        <w:jc w:val="left"/>
        <w:rPr/>
      </w:pPr>
      <w:r>
        <w:rPr/>
        <w:t>“</w:t>
      </w:r>
      <w:r>
        <w:rPr>
          <w:rFonts w:ascii="Times New Roman" w:hAnsi="Times New Roman"/>
          <w:b/>
          <w:sz w:val="20"/>
        </w:rPr>
        <w:t>Trading Price</w:t>
      </w:r>
      <w:r>
        <w:rPr>
          <w:rFonts w:ascii="Times New Roman" w:hAnsi="Times New Roman"/>
          <w:sz w:val="20"/>
        </w:rPr>
        <w:t xml:space="preserve">” of the Notes on any Trading Day means the average of the secondary market bid quotations, expressed as a cash amount per $1,000 principal amount of Notes, obtained by the Bid Solicitation Agent for one million dollars ($1,000,000) (or such lesser amount as may then be outstanding) in principal amount of Notes at approximately 3:30 p.m., New York City time, on such Trading Day from three (3) nationally recognized independent securities dealers selected by the Company, which may include any of the Underwriters;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one million dollars ($1,000,000)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share of Common Stock on such Trading Day and the Conversion Rate on such Trading Day. </w:t>
      </w:r>
    </w:p>
    <w:p>
      <w:pPr>
        <w:pStyle w:val="TextBody"/>
        <w:bidi w:val="0"/>
        <w:spacing w:before="240" w:after="0"/>
        <w:jc w:val="left"/>
        <w:rPr/>
      </w:pPr>
      <w:r>
        <w:rPr/>
        <w:t>“</w:t>
      </w:r>
      <w:r>
        <w:rPr>
          <w:rFonts w:ascii="Times New Roman" w:hAnsi="Times New Roman"/>
          <w:b/>
          <w:sz w:val="20"/>
        </w:rPr>
        <w:t>Trust Indenture Act</w:t>
      </w:r>
      <w:r>
        <w:rPr>
          <w:rFonts w:ascii="Times New Roman" w:hAnsi="Times New Roman"/>
          <w:sz w:val="20"/>
        </w:rPr>
        <w:t xml:space="preserve">” means the U.S. Trust Indenture Act of 1939, as amended. </w:t>
      </w:r>
    </w:p>
    <w:p>
      <w:pPr>
        <w:pStyle w:val="TextBody"/>
        <w:bidi w:val="0"/>
        <w:spacing w:before="240" w:after="0"/>
        <w:jc w:val="left"/>
        <w:rPr/>
      </w:pPr>
      <w:r>
        <w:rPr/>
        <w:t>“</w:t>
      </w:r>
      <w:r>
        <w:rPr>
          <w:rFonts w:ascii="Times New Roman" w:hAnsi="Times New Roman"/>
          <w:b/>
          <w:sz w:val="20"/>
        </w:rPr>
        <w:t>Trustee</w:t>
      </w:r>
      <w:r>
        <w:rPr>
          <w:rFonts w:ascii="Times New Roman" w:hAnsi="Times New Roman"/>
          <w:sz w:val="20"/>
        </w:rPr>
        <w:t xml:space="preserve">” means the Person named as such in the first paragraph of this Supplemental Indenture until a successor replaces it in accordance with the provisions of the Indenture and, thereafter, means such successor. </w:t>
      </w:r>
    </w:p>
    <w:p>
      <w:pPr>
        <w:pStyle w:val="TextBody"/>
        <w:bidi w:val="0"/>
        <w:spacing w:before="240" w:after="0"/>
        <w:jc w:val="left"/>
        <w:rPr/>
      </w:pPr>
      <w:r>
        <w:rPr/>
        <w:t>“</w:t>
      </w:r>
      <w:r>
        <w:rPr>
          <w:rFonts w:ascii="Times New Roman" w:hAnsi="Times New Roman"/>
          <w:b/>
          <w:sz w:val="20"/>
        </w:rPr>
        <w:t>Underwriters</w:t>
      </w:r>
      <w:r>
        <w:rPr>
          <w:rFonts w:ascii="Times New Roman" w:hAnsi="Times New Roman"/>
          <w:sz w:val="20"/>
        </w:rPr>
        <w:t xml:space="preserve">” means the several underwriters listed in Schedule I to the Underwriting Agreement. </w:t>
      </w:r>
    </w:p>
    <w:p>
      <w:pPr>
        <w:pStyle w:val="TextBody"/>
        <w:bidi w:val="0"/>
        <w:spacing w:before="240" w:after="0"/>
        <w:jc w:val="left"/>
        <w:rPr/>
      </w:pPr>
      <w:r>
        <w:rPr/>
        <w:t>“</w:t>
      </w:r>
      <w:r>
        <w:rPr>
          <w:rFonts w:ascii="Times New Roman" w:hAnsi="Times New Roman"/>
          <w:b/>
          <w:sz w:val="20"/>
        </w:rPr>
        <w:t>Underwriting Agreement</w:t>
      </w:r>
      <w:r>
        <w:rPr>
          <w:rFonts w:ascii="Times New Roman" w:hAnsi="Times New Roman"/>
          <w:sz w:val="20"/>
        </w:rPr>
        <w:t xml:space="preserve">” means that certain Underwriting Agreement, dated October 6, 2026, between the Company and the representatives of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VWAP Market Disruption Event</w:t>
      </w:r>
      <w:r>
        <w:rPr>
          <w:rFonts w:ascii="Times New Roman" w:hAnsi="Times New Roman"/>
          <w:sz w:val="20"/>
        </w:rPr>
        <w:t xml:space="preserve">”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but, in each case, excluding any suspension or limitation on trading imposed solely pursuant to Rule 201 of Regulation SHO under the Exchange Act, as such rule exists as of the date the Notes are first issued) in the Common Stock or in any options contracts or futures contracts relating to the Common Stock, and such suspension or limitation occurs or exists at any time before 1:00 p.m., New York City time, on such date. </w:t>
      </w:r>
    </w:p>
    <w:p>
      <w:pPr>
        <w:pStyle w:val="TextBody"/>
        <w:bidi w:val="0"/>
        <w:spacing w:before="240" w:after="0"/>
        <w:jc w:val="left"/>
        <w:rPr/>
      </w:pPr>
      <w:r>
        <w:rPr/>
        <w:t>“</w:t>
      </w:r>
      <w:r>
        <w:rPr>
          <w:rFonts w:ascii="Times New Roman" w:hAnsi="Times New Roman"/>
          <w:b/>
          <w:sz w:val="20"/>
        </w:rPr>
        <w:t>VWAP Trading Day</w:t>
      </w:r>
      <w:r>
        <w:rPr>
          <w:rFonts w:ascii="Times New Roman" w:hAnsi="Times New Roman"/>
          <w:sz w:val="20"/>
        </w:rPr>
        <w:t xml:space="preserve">”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 </w:t>
      </w:r>
    </w:p>
    <w:p>
      <w:pPr>
        <w:pStyle w:val="TextBody"/>
        <w:bidi w:val="0"/>
        <w:spacing w:before="240" w:after="0"/>
        <w:jc w:val="left"/>
        <w:rPr/>
      </w:pPr>
      <w:r>
        <w:rPr/>
        <w:t>“</w:t>
      </w:r>
      <w:r>
        <w:rPr>
          <w:rFonts w:ascii="Times New Roman" w:hAnsi="Times New Roman"/>
          <w:b/>
          <w:sz w:val="20"/>
        </w:rPr>
        <w:t>Wholly Owned Subsidiary</w:t>
      </w:r>
      <w:r>
        <w:rPr>
          <w:rFonts w:ascii="Times New Roman" w:hAnsi="Times New Roman"/>
          <w:sz w:val="20"/>
        </w:rPr>
        <w:t xml:space="preserve">” of a Person means any Subsidiary of such Person all of the outstanding Capital Stock or other ownership interests of which (other than directors’ qualifying shares) are owned by such Person or one or more Wholly Owned Subsidiaries of such Person.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1.02. OTHER DEFINITIONS.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91"/>
        <w:gridCol w:w="133"/>
        <w:gridCol w:w="60"/>
        <w:gridCol w:w="1259"/>
        <w:gridCol w:w="62"/>
      </w:tblGrid>
      <w:tr>
        <w:trPr/>
        <w:tc>
          <w:tcPr>
            <w:tcW w:w="869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69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Term</w:t>
            </w:r>
          </w:p>
        </w:tc>
        <w:tc>
          <w:tcPr>
            <w:tcW w:w="133" w:type="dxa"/>
            <w:tcBorders/>
            <w:vAlign w:val="bottom"/>
          </w:tcPr>
          <w:p>
            <w:pPr>
              <w:pStyle w:val="TableContents"/>
              <w:bidi w:val="0"/>
              <w:spacing w:before="0" w:after="283"/>
              <w:jc w:val="left"/>
              <w:rPr/>
            </w:pPr>
            <w:r>
              <w:rPr/>
              <w:t>  </w:t>
            </w:r>
          </w:p>
        </w:tc>
        <w:tc>
          <w:tcPr>
            <w:tcW w:w="1319" w:type="dxa"/>
            <w:gridSpan w:val="2"/>
            <w:tcBorders>
              <w:bottom w:val="single" w:sz="8" w:space="0" w:color="000000"/>
            </w:tcBorders>
            <w:tcMar>
              <w:bottom w:w="28" w:type="dxa"/>
            </w:tcMar>
            <w:vAlign w:val="bottom"/>
          </w:tcPr>
          <w:p>
            <w:pPr>
              <w:pStyle w:val="TableContents"/>
              <w:bidi w:val="0"/>
              <w:spacing w:before="0" w:after="283"/>
              <w:jc w:val="center"/>
              <w:rPr/>
            </w:pPr>
            <w:r>
              <w:rPr/>
              <w:t>Defined in</w:t>
              <w:br/>
              <w:t>Section</w:t>
            </w:r>
          </w:p>
        </w:tc>
        <w:tc>
          <w:tcPr>
            <w:tcW w:w="62" w:type="dxa"/>
            <w:tcBorders/>
            <w:vAlign w:val="bottom"/>
          </w:tcPr>
          <w:p>
            <w:pPr>
              <w:pStyle w:val="TableContents"/>
              <w:bidi w:val="0"/>
              <w:spacing w:before="0" w:after="283"/>
              <w:jc w:val="left"/>
              <w:rPr/>
            </w:pPr>
            <w:r>
              <w:rPr/>
              <w:t> </w:t>
            </w:r>
          </w:p>
        </w:tc>
      </w:tr>
      <w:tr>
        <w:trPr>
          <w:trHeight w:val="240" w:hRule="atLeast"/>
        </w:trPr>
        <w:tc>
          <w:tcPr>
            <w:tcW w:w="8691" w:type="dxa"/>
            <w:tcBorders/>
            <w:vAlign w:val="center"/>
          </w:tcPr>
          <w:p>
            <w:pPr>
              <w:pStyle w:val="TableContents"/>
              <w:bidi w:val="0"/>
              <w:spacing w:before="0" w:after="283"/>
              <w:jc w:val="left"/>
              <w:rPr>
                <w:sz w:val="4"/>
                <w:szCs w:val="4"/>
              </w:rPr>
            </w:pPr>
            <w:r>
              <w:rPr>
                <w:sz w:val="4"/>
                <w:szCs w:val="4"/>
              </w:rPr>
            </w:r>
          </w:p>
        </w:tc>
        <w:tc>
          <w:tcPr>
            <w:tcW w:w="1514" w:type="dxa"/>
            <w:gridSpan w:val="4"/>
            <w:tcBorders/>
            <w:vAlign w:val="center"/>
          </w:tcPr>
          <w:p>
            <w:pPr>
              <w:pStyle w:val="TableContents"/>
              <w:bidi w:val="0"/>
              <w:spacing w:before="0" w:after="283"/>
              <w:jc w:val="left"/>
              <w:rPr>
                <w:sz w:val="4"/>
                <w:szCs w:val="4"/>
              </w:rPr>
            </w:pPr>
            <w:r>
              <w:rPr>
                <w:sz w:val="4"/>
                <w:szCs w:val="4"/>
              </w:rPr>
            </w:r>
          </w:p>
        </w:tc>
      </w:tr>
      <w:tr>
        <w:trPr/>
        <w:tc>
          <w:tcPr>
            <w:tcW w:w="8691" w:type="dxa"/>
            <w:tcBorders/>
          </w:tcPr>
          <w:p>
            <w:pPr>
              <w:pStyle w:val="TableContents"/>
              <w:bidi w:val="0"/>
              <w:spacing w:before="0" w:after="283"/>
              <w:jc w:val="left"/>
              <w:rPr/>
            </w:pPr>
            <w:r>
              <w:rPr/>
              <w:t>“</w:t>
            </w:r>
            <w:r>
              <w:rPr>
                <w:b/>
              </w:rPr>
              <w:t>Additional Shares</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5.07(A)</w:t>
            </w:r>
          </w:p>
        </w:tc>
        <w:tc>
          <w:tcPr>
            <w:tcW w:w="62" w:type="dxa"/>
            <w:tcBorders/>
            <w:vAlign w:val="bottom"/>
          </w:tcPr>
          <w:p>
            <w:pPr>
              <w:pStyle w:val="TableContents"/>
              <w:bidi w:val="0"/>
              <w:spacing w:before="0" w:after="283"/>
              <w:jc w:val="left"/>
              <w:rPr/>
            </w:pPr>
            <w:r>
              <w:rPr/>
              <w:t> </w:t>
            </w:r>
          </w:p>
        </w:tc>
      </w:tr>
      <w:tr>
        <w:trPr/>
        <w:tc>
          <w:tcPr>
            <w:tcW w:w="8691" w:type="dxa"/>
            <w:tcBorders/>
          </w:tcPr>
          <w:p>
            <w:pPr>
              <w:pStyle w:val="TableContents"/>
              <w:bidi w:val="0"/>
              <w:spacing w:before="0" w:after="283"/>
              <w:jc w:val="left"/>
              <w:rPr/>
            </w:pPr>
            <w:r>
              <w:rPr/>
              <w:t>“</w:t>
            </w:r>
            <w:r>
              <w:rPr>
                <w:b/>
              </w:rPr>
              <w:t>Business Combination Event</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6.01(A)</w:t>
            </w:r>
          </w:p>
        </w:tc>
        <w:tc>
          <w:tcPr>
            <w:tcW w:w="62" w:type="dxa"/>
            <w:tcBorders/>
            <w:vAlign w:val="bottom"/>
          </w:tcPr>
          <w:p>
            <w:pPr>
              <w:pStyle w:val="TableContents"/>
              <w:bidi w:val="0"/>
              <w:spacing w:before="0" w:after="283"/>
              <w:jc w:val="left"/>
              <w:rPr/>
            </w:pPr>
            <w:r>
              <w:rPr/>
              <w:t> </w:t>
            </w:r>
          </w:p>
        </w:tc>
      </w:tr>
      <w:tr>
        <w:trPr/>
        <w:tc>
          <w:tcPr>
            <w:tcW w:w="8691" w:type="dxa"/>
            <w:tcBorders/>
          </w:tcPr>
          <w:p>
            <w:pPr>
              <w:pStyle w:val="TableContents"/>
              <w:bidi w:val="0"/>
              <w:spacing w:before="0" w:after="283"/>
              <w:jc w:val="left"/>
              <w:rPr/>
            </w:pPr>
            <w:r>
              <w:rPr/>
              <w:t>“</w:t>
            </w:r>
            <w:r>
              <w:rPr>
                <w:b/>
              </w:rPr>
              <w:t>Cash Settlement</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5.03(A)</w:t>
            </w:r>
          </w:p>
        </w:tc>
        <w:tc>
          <w:tcPr>
            <w:tcW w:w="62" w:type="dxa"/>
            <w:tcBorders/>
            <w:vAlign w:val="bottom"/>
          </w:tcPr>
          <w:p>
            <w:pPr>
              <w:pStyle w:val="TableContents"/>
              <w:bidi w:val="0"/>
              <w:spacing w:before="0" w:after="283"/>
              <w:jc w:val="left"/>
              <w:rPr/>
            </w:pPr>
            <w:r>
              <w:rPr/>
              <w:t> </w:t>
            </w:r>
          </w:p>
        </w:tc>
      </w:tr>
      <w:tr>
        <w:trPr/>
        <w:tc>
          <w:tcPr>
            <w:tcW w:w="8691" w:type="dxa"/>
            <w:tcBorders/>
          </w:tcPr>
          <w:p>
            <w:pPr>
              <w:pStyle w:val="TableContents"/>
              <w:bidi w:val="0"/>
              <w:spacing w:before="0" w:after="283"/>
              <w:jc w:val="left"/>
              <w:rPr/>
            </w:pPr>
            <w:r>
              <w:rPr/>
              <w:t>“</w:t>
            </w:r>
            <w:r>
              <w:rPr>
                <w:b/>
              </w:rPr>
              <w:t>Combination Settlement</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5.03(A)</w:t>
            </w:r>
          </w:p>
        </w:tc>
        <w:tc>
          <w:tcPr>
            <w:tcW w:w="62" w:type="dxa"/>
            <w:tcBorders/>
            <w:vAlign w:val="bottom"/>
          </w:tcPr>
          <w:p>
            <w:pPr>
              <w:pStyle w:val="TableContents"/>
              <w:bidi w:val="0"/>
              <w:spacing w:before="0" w:after="283"/>
              <w:jc w:val="left"/>
              <w:rPr/>
            </w:pPr>
            <w:r>
              <w:rPr/>
              <w:t> </w:t>
            </w:r>
          </w:p>
        </w:tc>
      </w:tr>
      <w:tr>
        <w:trPr/>
        <w:tc>
          <w:tcPr>
            <w:tcW w:w="8691" w:type="dxa"/>
            <w:tcBorders/>
          </w:tcPr>
          <w:p>
            <w:pPr>
              <w:pStyle w:val="TableContents"/>
              <w:bidi w:val="0"/>
              <w:spacing w:before="0" w:after="283"/>
              <w:jc w:val="left"/>
              <w:rPr/>
            </w:pPr>
            <w:r>
              <w:rPr/>
              <w:t>“</w:t>
            </w:r>
            <w:r>
              <w:rPr>
                <w:b/>
              </w:rPr>
              <w:t>Common Stock Change Event</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5.09(A)</w:t>
            </w:r>
          </w:p>
        </w:tc>
        <w:tc>
          <w:tcPr>
            <w:tcW w:w="62" w:type="dxa"/>
            <w:tcBorders/>
            <w:vAlign w:val="bottom"/>
          </w:tcPr>
          <w:p>
            <w:pPr>
              <w:pStyle w:val="TableContents"/>
              <w:bidi w:val="0"/>
              <w:spacing w:before="0" w:after="283"/>
              <w:jc w:val="left"/>
              <w:rPr/>
            </w:pPr>
            <w:r>
              <w:rPr/>
              <w:t> </w:t>
            </w:r>
          </w:p>
        </w:tc>
      </w:tr>
      <w:tr>
        <w:trPr/>
        <w:tc>
          <w:tcPr>
            <w:tcW w:w="8691" w:type="dxa"/>
            <w:tcBorders/>
          </w:tcPr>
          <w:p>
            <w:pPr>
              <w:pStyle w:val="TableContents"/>
              <w:bidi w:val="0"/>
              <w:spacing w:before="0" w:after="283"/>
              <w:jc w:val="left"/>
              <w:rPr/>
            </w:pPr>
            <w:r>
              <w:rPr/>
              <w:t>“</w:t>
            </w:r>
            <w:r>
              <w:rPr>
                <w:b/>
              </w:rPr>
              <w:t>Conversion Agent</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2.06(A)</w:t>
            </w:r>
          </w:p>
        </w:tc>
        <w:tc>
          <w:tcPr>
            <w:tcW w:w="62" w:type="dxa"/>
            <w:tcBorders/>
            <w:vAlign w:val="bottom"/>
          </w:tcPr>
          <w:p>
            <w:pPr>
              <w:pStyle w:val="TableContents"/>
              <w:bidi w:val="0"/>
              <w:spacing w:before="0" w:after="283"/>
              <w:jc w:val="left"/>
              <w:rPr/>
            </w:pPr>
            <w:r>
              <w:rPr/>
              <w:t> </w:t>
            </w:r>
          </w:p>
        </w:tc>
      </w:tr>
      <w:tr>
        <w:trPr/>
        <w:tc>
          <w:tcPr>
            <w:tcW w:w="8691" w:type="dxa"/>
            <w:tcBorders/>
          </w:tcPr>
          <w:p>
            <w:pPr>
              <w:pStyle w:val="TableContents"/>
              <w:bidi w:val="0"/>
              <w:spacing w:before="0" w:after="283"/>
              <w:jc w:val="left"/>
              <w:rPr/>
            </w:pPr>
            <w:r>
              <w:rPr/>
              <w:t>“</w:t>
            </w:r>
            <w:r>
              <w:rPr>
                <w:b/>
              </w:rPr>
              <w:t>Conversion Consideration</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5.03(B)</w:t>
            </w:r>
          </w:p>
        </w:tc>
        <w:tc>
          <w:tcPr>
            <w:tcW w:w="62" w:type="dxa"/>
            <w:tcBorders/>
            <w:vAlign w:val="bottom"/>
          </w:tcPr>
          <w:p>
            <w:pPr>
              <w:pStyle w:val="TableContents"/>
              <w:bidi w:val="0"/>
              <w:spacing w:before="0" w:after="283"/>
              <w:jc w:val="left"/>
              <w:rPr/>
            </w:pPr>
            <w:r>
              <w:rPr/>
              <w:t> </w:t>
            </w:r>
          </w:p>
        </w:tc>
      </w:tr>
      <w:tr>
        <w:trPr/>
        <w:tc>
          <w:tcPr>
            <w:tcW w:w="8691" w:type="dxa"/>
            <w:tcBorders/>
          </w:tcPr>
          <w:p>
            <w:pPr>
              <w:pStyle w:val="TableContents"/>
              <w:bidi w:val="0"/>
              <w:spacing w:before="0" w:after="283"/>
              <w:jc w:val="left"/>
              <w:rPr/>
            </w:pPr>
            <w:r>
              <w:rPr/>
              <w:t>“</w:t>
            </w:r>
            <w:r>
              <w:rPr>
                <w:b/>
              </w:rPr>
              <w:t>Default Interest</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2.05(B)</w:t>
            </w:r>
          </w:p>
        </w:tc>
        <w:tc>
          <w:tcPr>
            <w:tcW w:w="62" w:type="dxa"/>
            <w:tcBorders/>
            <w:vAlign w:val="bottom"/>
          </w:tcPr>
          <w:p>
            <w:pPr>
              <w:pStyle w:val="TableContents"/>
              <w:bidi w:val="0"/>
              <w:spacing w:before="0" w:after="283"/>
              <w:jc w:val="left"/>
              <w:rPr/>
            </w:pPr>
            <w:r>
              <w:rPr/>
              <w:t> </w:t>
            </w:r>
          </w:p>
        </w:tc>
      </w:tr>
      <w:tr>
        <w:trPr/>
        <w:tc>
          <w:tcPr>
            <w:tcW w:w="8691" w:type="dxa"/>
            <w:tcBorders/>
          </w:tcPr>
          <w:p>
            <w:pPr>
              <w:pStyle w:val="TableContents"/>
              <w:bidi w:val="0"/>
              <w:spacing w:before="0" w:after="283"/>
              <w:jc w:val="left"/>
              <w:rPr/>
            </w:pPr>
            <w:r>
              <w:rPr/>
              <w:t>“</w:t>
            </w:r>
            <w:r>
              <w:rPr>
                <w:b/>
              </w:rPr>
              <w:t>Defaulted Amount</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2.05(B)</w:t>
            </w:r>
          </w:p>
        </w:tc>
        <w:tc>
          <w:tcPr>
            <w:tcW w:w="62" w:type="dxa"/>
            <w:tcBorders/>
            <w:vAlign w:val="bottom"/>
          </w:tcPr>
          <w:p>
            <w:pPr>
              <w:pStyle w:val="TableContents"/>
              <w:bidi w:val="0"/>
              <w:spacing w:before="0" w:after="283"/>
              <w:jc w:val="left"/>
              <w:rPr/>
            </w:pPr>
            <w:r>
              <w:rPr/>
              <w:t> </w:t>
            </w:r>
          </w:p>
        </w:tc>
      </w:tr>
      <w:tr>
        <w:trPr/>
        <w:tc>
          <w:tcPr>
            <w:tcW w:w="8691" w:type="dxa"/>
            <w:tcBorders/>
          </w:tcPr>
          <w:p>
            <w:pPr>
              <w:pStyle w:val="TableContents"/>
              <w:bidi w:val="0"/>
              <w:spacing w:before="0" w:after="283"/>
              <w:jc w:val="left"/>
              <w:rPr/>
            </w:pPr>
            <w:r>
              <w:rPr/>
              <w:t>“</w:t>
            </w:r>
            <w:r>
              <w:rPr>
                <w:b/>
              </w:rPr>
              <w:t>Event of Default</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7.01(A)</w:t>
            </w:r>
          </w:p>
        </w:tc>
        <w:tc>
          <w:tcPr>
            <w:tcW w:w="62" w:type="dxa"/>
            <w:tcBorders/>
            <w:vAlign w:val="bottom"/>
          </w:tcPr>
          <w:p>
            <w:pPr>
              <w:pStyle w:val="TableContents"/>
              <w:bidi w:val="0"/>
              <w:spacing w:before="0" w:after="283"/>
              <w:jc w:val="left"/>
              <w:rPr/>
            </w:pPr>
            <w:r>
              <w:rPr/>
              <w:t> </w:t>
            </w:r>
          </w:p>
        </w:tc>
      </w:tr>
      <w:tr>
        <w:trPr/>
        <w:tc>
          <w:tcPr>
            <w:tcW w:w="8691" w:type="dxa"/>
            <w:tcBorders/>
          </w:tcPr>
          <w:p>
            <w:pPr>
              <w:pStyle w:val="TableContents"/>
              <w:bidi w:val="0"/>
              <w:spacing w:before="0" w:after="283"/>
              <w:jc w:val="left"/>
              <w:rPr/>
            </w:pPr>
            <w:r>
              <w:rPr/>
              <w:t>“</w:t>
            </w:r>
            <w:r>
              <w:rPr>
                <w:b/>
              </w:rPr>
              <w:t>Expiration Date</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5.05(A)(v)</w:t>
            </w:r>
          </w:p>
        </w:tc>
        <w:tc>
          <w:tcPr>
            <w:tcW w:w="62" w:type="dxa"/>
            <w:tcBorders/>
            <w:vAlign w:val="bottom"/>
          </w:tcPr>
          <w:p>
            <w:pPr>
              <w:pStyle w:val="TableContents"/>
              <w:bidi w:val="0"/>
              <w:spacing w:before="0" w:after="283"/>
              <w:jc w:val="left"/>
              <w:rPr/>
            </w:pPr>
            <w:r>
              <w:rPr/>
              <w:t> </w:t>
            </w:r>
          </w:p>
        </w:tc>
      </w:tr>
      <w:tr>
        <w:trPr/>
        <w:tc>
          <w:tcPr>
            <w:tcW w:w="8691" w:type="dxa"/>
            <w:tcBorders/>
          </w:tcPr>
          <w:p>
            <w:pPr>
              <w:pStyle w:val="TableContents"/>
              <w:bidi w:val="0"/>
              <w:spacing w:before="0" w:after="283"/>
              <w:jc w:val="left"/>
              <w:rPr/>
            </w:pPr>
            <w:r>
              <w:rPr/>
              <w:t>“</w:t>
            </w:r>
            <w:r>
              <w:rPr>
                <w:b/>
              </w:rPr>
              <w:t>Expiration Time</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5.05(A)(v)</w:t>
            </w:r>
          </w:p>
        </w:tc>
        <w:tc>
          <w:tcPr>
            <w:tcW w:w="62" w:type="dxa"/>
            <w:tcBorders/>
            <w:vAlign w:val="bottom"/>
          </w:tcPr>
          <w:p>
            <w:pPr>
              <w:pStyle w:val="TableContents"/>
              <w:bidi w:val="0"/>
              <w:spacing w:before="0" w:after="283"/>
              <w:jc w:val="left"/>
              <w:rPr/>
            </w:pPr>
            <w:r>
              <w:rPr/>
              <w:t> </w:t>
            </w:r>
          </w:p>
        </w:tc>
      </w:tr>
      <w:tr>
        <w:trPr/>
        <w:tc>
          <w:tcPr>
            <w:tcW w:w="8691" w:type="dxa"/>
            <w:tcBorders/>
          </w:tcPr>
          <w:p>
            <w:pPr>
              <w:pStyle w:val="TableContents"/>
              <w:bidi w:val="0"/>
              <w:spacing w:before="0" w:after="283"/>
              <w:jc w:val="left"/>
              <w:rPr/>
            </w:pPr>
            <w:r>
              <w:rPr/>
              <w:t>“</w:t>
            </w:r>
            <w:r>
              <w:rPr>
                <w:b/>
              </w:rPr>
              <w:t>Fundamental Change Notice</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4.02(E)</w:t>
            </w:r>
          </w:p>
        </w:tc>
        <w:tc>
          <w:tcPr>
            <w:tcW w:w="62" w:type="dxa"/>
            <w:tcBorders/>
            <w:vAlign w:val="bottom"/>
          </w:tcPr>
          <w:p>
            <w:pPr>
              <w:pStyle w:val="TableContents"/>
              <w:bidi w:val="0"/>
              <w:spacing w:before="0" w:after="283"/>
              <w:jc w:val="left"/>
              <w:rPr/>
            </w:pPr>
            <w:r>
              <w:rPr/>
              <w:t> </w:t>
            </w:r>
          </w:p>
        </w:tc>
      </w:tr>
      <w:tr>
        <w:trPr/>
        <w:tc>
          <w:tcPr>
            <w:tcW w:w="8691" w:type="dxa"/>
            <w:tcBorders/>
          </w:tcPr>
          <w:p>
            <w:pPr>
              <w:pStyle w:val="TableContents"/>
              <w:bidi w:val="0"/>
              <w:spacing w:before="0" w:after="283"/>
              <w:jc w:val="left"/>
              <w:rPr/>
            </w:pPr>
            <w:r>
              <w:rPr/>
              <w:t>“</w:t>
            </w:r>
            <w:r>
              <w:rPr>
                <w:b/>
              </w:rPr>
              <w:t>Fundamental Change Repurchase Right</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4.02(A)</w:t>
            </w:r>
          </w:p>
        </w:tc>
        <w:tc>
          <w:tcPr>
            <w:tcW w:w="62" w:type="dxa"/>
            <w:tcBorders/>
            <w:vAlign w:val="bottom"/>
          </w:tcPr>
          <w:p>
            <w:pPr>
              <w:pStyle w:val="TableContents"/>
              <w:bidi w:val="0"/>
              <w:spacing w:before="0" w:after="283"/>
              <w:jc w:val="left"/>
              <w:rPr/>
            </w:pPr>
            <w:r>
              <w:rPr/>
              <w:t> </w:t>
            </w:r>
          </w:p>
        </w:tc>
      </w:tr>
      <w:tr>
        <w:trPr/>
        <w:tc>
          <w:tcPr>
            <w:tcW w:w="8691" w:type="dxa"/>
            <w:tcBorders/>
          </w:tcPr>
          <w:p>
            <w:pPr>
              <w:pStyle w:val="TableContents"/>
              <w:bidi w:val="0"/>
              <w:spacing w:before="0" w:after="283"/>
              <w:jc w:val="left"/>
              <w:rPr/>
            </w:pPr>
            <w:r>
              <w:rPr/>
              <w:t>“</w:t>
            </w:r>
            <w:r>
              <w:rPr>
                <w:b/>
              </w:rPr>
              <w:t>Initial Notes</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2.03(A)</w:t>
            </w:r>
          </w:p>
        </w:tc>
        <w:tc>
          <w:tcPr>
            <w:tcW w:w="62" w:type="dxa"/>
            <w:tcBorders/>
            <w:vAlign w:val="bottom"/>
          </w:tcPr>
          <w:p>
            <w:pPr>
              <w:pStyle w:val="TableContents"/>
              <w:bidi w:val="0"/>
              <w:spacing w:before="0" w:after="283"/>
              <w:jc w:val="left"/>
              <w:rPr/>
            </w:pPr>
            <w:r>
              <w:rPr/>
              <w:t> </w:t>
            </w:r>
          </w:p>
        </w:tc>
      </w:tr>
      <w:tr>
        <w:trPr/>
        <w:tc>
          <w:tcPr>
            <w:tcW w:w="8691" w:type="dxa"/>
            <w:tcBorders/>
          </w:tcPr>
          <w:p>
            <w:pPr>
              <w:pStyle w:val="TableContents"/>
              <w:bidi w:val="0"/>
              <w:spacing w:before="0" w:after="283"/>
              <w:jc w:val="left"/>
              <w:rPr/>
            </w:pPr>
            <w:r>
              <w:rPr/>
              <w:t>“</w:t>
            </w:r>
            <w:r>
              <w:rPr>
                <w:b/>
              </w:rPr>
              <w:t>Measurement Period</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5.01(C)(i)(2)</w:t>
            </w:r>
          </w:p>
        </w:tc>
        <w:tc>
          <w:tcPr>
            <w:tcW w:w="62" w:type="dxa"/>
            <w:tcBorders/>
            <w:vAlign w:val="bottom"/>
          </w:tcPr>
          <w:p>
            <w:pPr>
              <w:pStyle w:val="TableContents"/>
              <w:bidi w:val="0"/>
              <w:spacing w:before="0" w:after="283"/>
              <w:jc w:val="left"/>
              <w:rPr/>
            </w:pPr>
            <w:r>
              <w:rPr/>
              <w:t> </w:t>
            </w:r>
          </w:p>
        </w:tc>
      </w:tr>
      <w:tr>
        <w:trPr/>
        <w:tc>
          <w:tcPr>
            <w:tcW w:w="8691" w:type="dxa"/>
            <w:tcBorders/>
          </w:tcPr>
          <w:p>
            <w:pPr>
              <w:pStyle w:val="TableContents"/>
              <w:bidi w:val="0"/>
              <w:spacing w:before="0" w:after="283"/>
              <w:jc w:val="left"/>
              <w:rPr/>
            </w:pPr>
            <w:r>
              <w:rPr/>
              <w:t>“</w:t>
            </w:r>
            <w:r>
              <w:rPr>
                <w:b/>
              </w:rPr>
              <w:t>Paying Agent</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2.06(A)</w:t>
            </w:r>
          </w:p>
        </w:tc>
        <w:tc>
          <w:tcPr>
            <w:tcW w:w="62" w:type="dxa"/>
            <w:tcBorders/>
            <w:vAlign w:val="bottom"/>
          </w:tcPr>
          <w:p>
            <w:pPr>
              <w:pStyle w:val="TableContents"/>
              <w:bidi w:val="0"/>
              <w:spacing w:before="0" w:after="283"/>
              <w:jc w:val="left"/>
              <w:rPr/>
            </w:pPr>
            <w:r>
              <w:rPr/>
              <w:t> </w:t>
            </w:r>
          </w:p>
        </w:tc>
      </w:tr>
      <w:tr>
        <w:trPr/>
        <w:tc>
          <w:tcPr>
            <w:tcW w:w="8691" w:type="dxa"/>
            <w:tcBorders/>
          </w:tcPr>
          <w:p>
            <w:pPr>
              <w:pStyle w:val="TableContents"/>
              <w:bidi w:val="0"/>
              <w:spacing w:before="0" w:after="283"/>
              <w:jc w:val="left"/>
              <w:rPr/>
            </w:pPr>
            <w:r>
              <w:rPr/>
              <w:t>“</w:t>
            </w:r>
            <w:r>
              <w:rPr>
                <w:b/>
              </w:rPr>
              <w:t>Physical Settlement</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5.03(A)</w:t>
            </w:r>
          </w:p>
        </w:tc>
        <w:tc>
          <w:tcPr>
            <w:tcW w:w="62" w:type="dxa"/>
            <w:tcBorders/>
            <w:vAlign w:val="bottom"/>
          </w:tcPr>
          <w:p>
            <w:pPr>
              <w:pStyle w:val="TableContents"/>
              <w:bidi w:val="0"/>
              <w:spacing w:before="0" w:after="283"/>
              <w:jc w:val="left"/>
              <w:rPr/>
            </w:pPr>
            <w:r>
              <w:rPr/>
              <w:t> </w:t>
            </w:r>
          </w:p>
        </w:tc>
      </w:tr>
      <w:tr>
        <w:trPr/>
        <w:tc>
          <w:tcPr>
            <w:tcW w:w="8691" w:type="dxa"/>
            <w:tcBorders/>
          </w:tcPr>
          <w:p>
            <w:pPr>
              <w:pStyle w:val="TableContents"/>
              <w:bidi w:val="0"/>
              <w:spacing w:before="0" w:after="283"/>
              <w:jc w:val="left"/>
              <w:rPr/>
            </w:pPr>
            <w:r>
              <w:rPr/>
              <w:t>“</w:t>
            </w:r>
            <w:r>
              <w:rPr>
                <w:b/>
              </w:rPr>
              <w:t>Redemption Notice</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4.03(G)</w:t>
            </w:r>
          </w:p>
        </w:tc>
        <w:tc>
          <w:tcPr>
            <w:tcW w:w="62" w:type="dxa"/>
            <w:tcBorders/>
            <w:vAlign w:val="bottom"/>
          </w:tcPr>
          <w:p>
            <w:pPr>
              <w:pStyle w:val="TableContents"/>
              <w:bidi w:val="0"/>
              <w:spacing w:before="0" w:after="283"/>
              <w:jc w:val="left"/>
              <w:rPr/>
            </w:pPr>
            <w:r>
              <w:rPr/>
              <w:t> </w:t>
            </w:r>
          </w:p>
        </w:tc>
      </w:tr>
      <w:tr>
        <w:trPr/>
        <w:tc>
          <w:tcPr>
            <w:tcW w:w="8691" w:type="dxa"/>
            <w:tcBorders/>
          </w:tcPr>
          <w:p>
            <w:pPr>
              <w:pStyle w:val="TableContents"/>
              <w:bidi w:val="0"/>
              <w:spacing w:before="0" w:after="283"/>
              <w:jc w:val="left"/>
              <w:rPr/>
            </w:pPr>
            <w:r>
              <w:rPr/>
              <w:t>“</w:t>
            </w:r>
            <w:r>
              <w:rPr>
                <w:b/>
              </w:rPr>
              <w:t>Reference Property</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5.09(A)</w:t>
            </w:r>
          </w:p>
        </w:tc>
        <w:tc>
          <w:tcPr>
            <w:tcW w:w="62" w:type="dxa"/>
            <w:tcBorders/>
            <w:vAlign w:val="bottom"/>
          </w:tcPr>
          <w:p>
            <w:pPr>
              <w:pStyle w:val="TableContents"/>
              <w:bidi w:val="0"/>
              <w:spacing w:before="0" w:after="283"/>
              <w:jc w:val="left"/>
              <w:rPr/>
            </w:pPr>
            <w:r>
              <w:rPr/>
              <w:t> </w:t>
            </w:r>
          </w:p>
        </w:tc>
      </w:tr>
      <w:tr>
        <w:trPr/>
        <w:tc>
          <w:tcPr>
            <w:tcW w:w="8691" w:type="dxa"/>
            <w:tcBorders/>
          </w:tcPr>
          <w:p>
            <w:pPr>
              <w:pStyle w:val="TableContents"/>
              <w:bidi w:val="0"/>
              <w:spacing w:before="0" w:after="283"/>
              <w:jc w:val="left"/>
              <w:rPr/>
            </w:pPr>
            <w:r>
              <w:rPr/>
              <w:t>“</w:t>
            </w:r>
            <w:r>
              <w:rPr>
                <w:b/>
              </w:rPr>
              <w:t>Reference Property Unit</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5.09(A)</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559"/>
        <w:gridCol w:w="133"/>
        <w:gridCol w:w="60"/>
        <w:gridCol w:w="1391"/>
        <w:gridCol w:w="62"/>
      </w:tblGrid>
      <w:tr>
        <w:trPr/>
        <w:tc>
          <w:tcPr>
            <w:tcW w:w="855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559" w:type="dxa"/>
            <w:tcBorders/>
          </w:tcPr>
          <w:p>
            <w:pPr>
              <w:pStyle w:val="TableContents"/>
              <w:bidi w:val="0"/>
              <w:spacing w:before="0" w:after="283"/>
              <w:jc w:val="left"/>
              <w:rPr/>
            </w:pPr>
            <w:r>
              <w:rPr/>
              <w:t>“</w:t>
            </w:r>
            <w:r>
              <w:rPr>
                <w:b/>
              </w:rPr>
              <w:t>Register</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b/>
              </w:rPr>
            </w:pPr>
            <w:r>
              <w:rPr>
                <w:b/>
              </w:rPr>
              <w:t>2.06(B)</w:t>
            </w:r>
          </w:p>
        </w:tc>
        <w:tc>
          <w:tcPr>
            <w:tcW w:w="62" w:type="dxa"/>
            <w:tcBorders/>
            <w:vAlign w:val="bottom"/>
          </w:tcPr>
          <w:p>
            <w:pPr>
              <w:pStyle w:val="TableContents"/>
              <w:bidi w:val="0"/>
              <w:spacing w:before="0" w:after="283"/>
              <w:jc w:val="left"/>
              <w:rPr/>
            </w:pPr>
            <w:r>
              <w:rPr/>
              <w:t> </w:t>
            </w:r>
          </w:p>
        </w:tc>
      </w:tr>
      <w:tr>
        <w:trPr/>
        <w:tc>
          <w:tcPr>
            <w:tcW w:w="8559" w:type="dxa"/>
            <w:tcBorders/>
          </w:tcPr>
          <w:p>
            <w:pPr>
              <w:pStyle w:val="TableContents"/>
              <w:bidi w:val="0"/>
              <w:spacing w:before="0" w:after="283"/>
              <w:jc w:val="left"/>
              <w:rPr/>
            </w:pPr>
            <w:r>
              <w:rPr/>
              <w:t>“</w:t>
            </w:r>
            <w:r>
              <w:rPr>
                <w:b/>
              </w:rPr>
              <w:t>Registrar</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b/>
              </w:rPr>
            </w:pPr>
            <w:r>
              <w:rPr>
                <w:b/>
              </w:rPr>
              <w:t>2.06(A)</w:t>
            </w:r>
          </w:p>
        </w:tc>
        <w:tc>
          <w:tcPr>
            <w:tcW w:w="62" w:type="dxa"/>
            <w:tcBorders/>
            <w:vAlign w:val="bottom"/>
          </w:tcPr>
          <w:p>
            <w:pPr>
              <w:pStyle w:val="TableContents"/>
              <w:bidi w:val="0"/>
              <w:spacing w:before="0" w:after="283"/>
              <w:jc w:val="left"/>
              <w:rPr/>
            </w:pPr>
            <w:r>
              <w:rPr/>
              <w:t> </w:t>
            </w:r>
          </w:p>
        </w:tc>
      </w:tr>
      <w:tr>
        <w:trPr/>
        <w:tc>
          <w:tcPr>
            <w:tcW w:w="8559" w:type="dxa"/>
            <w:tcBorders/>
          </w:tcPr>
          <w:p>
            <w:pPr>
              <w:pStyle w:val="TableContents"/>
              <w:bidi w:val="0"/>
              <w:spacing w:before="0" w:after="283"/>
              <w:jc w:val="left"/>
              <w:rPr/>
            </w:pPr>
            <w:r>
              <w:rPr/>
              <w:t>“</w:t>
            </w:r>
            <w:r>
              <w:rPr>
                <w:b/>
              </w:rPr>
              <w:t>Reporting Event of Default</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b/>
              </w:rPr>
            </w:pPr>
            <w:r>
              <w:rPr>
                <w:b/>
              </w:rPr>
              <w:t>7.03(A)</w:t>
            </w:r>
          </w:p>
        </w:tc>
        <w:tc>
          <w:tcPr>
            <w:tcW w:w="62" w:type="dxa"/>
            <w:tcBorders/>
            <w:vAlign w:val="bottom"/>
          </w:tcPr>
          <w:p>
            <w:pPr>
              <w:pStyle w:val="TableContents"/>
              <w:bidi w:val="0"/>
              <w:spacing w:before="0" w:after="283"/>
              <w:jc w:val="left"/>
              <w:rPr/>
            </w:pPr>
            <w:r>
              <w:rPr/>
              <w:t> </w:t>
            </w:r>
          </w:p>
        </w:tc>
      </w:tr>
      <w:tr>
        <w:trPr/>
        <w:tc>
          <w:tcPr>
            <w:tcW w:w="8559" w:type="dxa"/>
            <w:tcBorders/>
          </w:tcPr>
          <w:p>
            <w:pPr>
              <w:pStyle w:val="TableContents"/>
              <w:bidi w:val="0"/>
              <w:spacing w:before="0" w:after="283"/>
              <w:jc w:val="left"/>
              <w:rPr/>
            </w:pPr>
            <w:r>
              <w:rPr/>
              <w:t>“</w:t>
            </w:r>
            <w:r>
              <w:rPr>
                <w:b/>
              </w:rPr>
              <w:t>Specified Courts</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b/>
              </w:rPr>
            </w:pPr>
            <w:r>
              <w:rPr>
                <w:b/>
              </w:rPr>
              <w:t>11.07</w:t>
            </w:r>
          </w:p>
        </w:tc>
        <w:tc>
          <w:tcPr>
            <w:tcW w:w="62" w:type="dxa"/>
            <w:tcBorders/>
            <w:vAlign w:val="bottom"/>
          </w:tcPr>
          <w:p>
            <w:pPr>
              <w:pStyle w:val="TableContents"/>
              <w:bidi w:val="0"/>
              <w:spacing w:before="0" w:after="283"/>
              <w:jc w:val="left"/>
              <w:rPr/>
            </w:pPr>
            <w:r>
              <w:rPr/>
              <w:t> </w:t>
            </w:r>
          </w:p>
        </w:tc>
      </w:tr>
      <w:tr>
        <w:trPr/>
        <w:tc>
          <w:tcPr>
            <w:tcW w:w="8559" w:type="dxa"/>
            <w:tcBorders/>
          </w:tcPr>
          <w:p>
            <w:pPr>
              <w:pStyle w:val="TableContents"/>
              <w:bidi w:val="0"/>
              <w:spacing w:before="0" w:after="283"/>
              <w:jc w:val="left"/>
              <w:rPr/>
            </w:pPr>
            <w:r>
              <w:rPr/>
              <w:t>“</w:t>
            </w:r>
            <w:r>
              <w:rPr>
                <w:b/>
              </w:rPr>
              <w:t>Spin-Off</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b/>
              </w:rPr>
            </w:pPr>
            <w:r>
              <w:rPr>
                <w:b/>
              </w:rPr>
              <w:t>5.05(A)(iii)(2)</w:t>
            </w:r>
          </w:p>
        </w:tc>
        <w:tc>
          <w:tcPr>
            <w:tcW w:w="62" w:type="dxa"/>
            <w:tcBorders/>
            <w:vAlign w:val="bottom"/>
          </w:tcPr>
          <w:p>
            <w:pPr>
              <w:pStyle w:val="TableContents"/>
              <w:bidi w:val="0"/>
              <w:spacing w:before="0" w:after="283"/>
              <w:jc w:val="left"/>
              <w:rPr/>
            </w:pPr>
            <w:r>
              <w:rPr/>
              <w:t> </w:t>
            </w:r>
          </w:p>
        </w:tc>
      </w:tr>
      <w:tr>
        <w:trPr/>
        <w:tc>
          <w:tcPr>
            <w:tcW w:w="8559" w:type="dxa"/>
            <w:tcBorders/>
          </w:tcPr>
          <w:p>
            <w:pPr>
              <w:pStyle w:val="TableContents"/>
              <w:bidi w:val="0"/>
              <w:spacing w:before="0" w:after="283"/>
              <w:jc w:val="left"/>
              <w:rPr/>
            </w:pPr>
            <w:r>
              <w:rPr/>
              <w:t>“</w:t>
            </w:r>
            <w:r>
              <w:rPr>
                <w:b/>
              </w:rPr>
              <w:t>Spin-Off Valuation Period</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b/>
              </w:rPr>
            </w:pPr>
            <w:r>
              <w:rPr>
                <w:b/>
              </w:rPr>
              <w:t>5.05(A)(iii)(2)</w:t>
            </w:r>
          </w:p>
        </w:tc>
        <w:tc>
          <w:tcPr>
            <w:tcW w:w="62" w:type="dxa"/>
            <w:tcBorders/>
            <w:vAlign w:val="bottom"/>
          </w:tcPr>
          <w:p>
            <w:pPr>
              <w:pStyle w:val="TableContents"/>
              <w:bidi w:val="0"/>
              <w:spacing w:before="0" w:after="283"/>
              <w:jc w:val="left"/>
              <w:rPr/>
            </w:pPr>
            <w:r>
              <w:rPr/>
              <w:t> </w:t>
            </w:r>
          </w:p>
        </w:tc>
      </w:tr>
      <w:tr>
        <w:trPr/>
        <w:tc>
          <w:tcPr>
            <w:tcW w:w="8559" w:type="dxa"/>
            <w:tcBorders/>
          </w:tcPr>
          <w:p>
            <w:pPr>
              <w:pStyle w:val="TableContents"/>
              <w:bidi w:val="0"/>
              <w:spacing w:before="0" w:after="283"/>
              <w:jc w:val="left"/>
              <w:rPr/>
            </w:pPr>
            <w:r>
              <w:rPr/>
              <w:t>“</w:t>
            </w:r>
            <w:r>
              <w:rPr>
                <w:b/>
              </w:rPr>
              <w:t>Stated Interest</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b/>
              </w:rPr>
            </w:pPr>
            <w:r>
              <w:rPr>
                <w:b/>
              </w:rPr>
              <w:t>2.05(A)</w:t>
            </w:r>
          </w:p>
        </w:tc>
        <w:tc>
          <w:tcPr>
            <w:tcW w:w="62" w:type="dxa"/>
            <w:tcBorders/>
            <w:vAlign w:val="bottom"/>
          </w:tcPr>
          <w:p>
            <w:pPr>
              <w:pStyle w:val="TableContents"/>
              <w:bidi w:val="0"/>
              <w:spacing w:before="0" w:after="283"/>
              <w:jc w:val="left"/>
              <w:rPr/>
            </w:pPr>
            <w:r>
              <w:rPr/>
              <w:t> </w:t>
            </w:r>
          </w:p>
        </w:tc>
      </w:tr>
      <w:tr>
        <w:trPr/>
        <w:tc>
          <w:tcPr>
            <w:tcW w:w="8559" w:type="dxa"/>
            <w:tcBorders/>
          </w:tcPr>
          <w:p>
            <w:pPr>
              <w:pStyle w:val="TableContents"/>
              <w:bidi w:val="0"/>
              <w:spacing w:before="0" w:after="283"/>
              <w:jc w:val="left"/>
              <w:rPr/>
            </w:pPr>
            <w:r>
              <w:rPr/>
              <w:t>“</w:t>
            </w:r>
            <w:r>
              <w:rPr>
                <w:b/>
              </w:rPr>
              <w:t>Successor Entity</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b/>
              </w:rPr>
            </w:pPr>
            <w:r>
              <w:rPr>
                <w:b/>
              </w:rPr>
              <w:t>6.01(A)</w:t>
            </w:r>
          </w:p>
        </w:tc>
        <w:tc>
          <w:tcPr>
            <w:tcW w:w="62" w:type="dxa"/>
            <w:tcBorders/>
            <w:vAlign w:val="bottom"/>
          </w:tcPr>
          <w:p>
            <w:pPr>
              <w:pStyle w:val="TableContents"/>
              <w:bidi w:val="0"/>
              <w:spacing w:before="0" w:after="283"/>
              <w:jc w:val="left"/>
              <w:rPr/>
            </w:pPr>
            <w:r>
              <w:rPr/>
              <w:t> </w:t>
            </w:r>
          </w:p>
        </w:tc>
      </w:tr>
      <w:tr>
        <w:trPr/>
        <w:tc>
          <w:tcPr>
            <w:tcW w:w="8559" w:type="dxa"/>
            <w:tcBorders/>
          </w:tcPr>
          <w:p>
            <w:pPr>
              <w:pStyle w:val="TableContents"/>
              <w:bidi w:val="0"/>
              <w:spacing w:before="0" w:after="283"/>
              <w:jc w:val="left"/>
              <w:rPr/>
            </w:pPr>
            <w:r>
              <w:rPr/>
              <w:t>“</w:t>
            </w:r>
            <w:r>
              <w:rPr>
                <w:b/>
              </w:rPr>
              <w:t>Successor Person</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b/>
              </w:rPr>
            </w:pPr>
            <w:r>
              <w:rPr>
                <w:b/>
              </w:rPr>
              <w:t>5.09(A)</w:t>
            </w:r>
          </w:p>
        </w:tc>
        <w:tc>
          <w:tcPr>
            <w:tcW w:w="62" w:type="dxa"/>
            <w:tcBorders/>
            <w:vAlign w:val="bottom"/>
          </w:tcPr>
          <w:p>
            <w:pPr>
              <w:pStyle w:val="TableContents"/>
              <w:bidi w:val="0"/>
              <w:spacing w:before="0" w:after="283"/>
              <w:jc w:val="left"/>
              <w:rPr/>
            </w:pPr>
            <w:r>
              <w:rPr/>
              <w:t> </w:t>
            </w:r>
          </w:p>
        </w:tc>
      </w:tr>
      <w:tr>
        <w:trPr/>
        <w:tc>
          <w:tcPr>
            <w:tcW w:w="8559" w:type="dxa"/>
            <w:tcBorders/>
          </w:tcPr>
          <w:p>
            <w:pPr>
              <w:pStyle w:val="TableContents"/>
              <w:bidi w:val="0"/>
              <w:spacing w:before="0" w:after="283"/>
              <w:jc w:val="left"/>
              <w:rPr/>
            </w:pPr>
            <w:r>
              <w:rPr/>
              <w:t>“</w:t>
            </w:r>
            <w:r>
              <w:rPr>
                <w:b/>
              </w:rPr>
              <w:t>Tender/Exchange Offer Valuation Period</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b/>
              </w:rPr>
            </w:pPr>
            <w:r>
              <w:rPr>
                <w:b/>
              </w:rPr>
              <w:t>5.05(A)(v)</w:t>
            </w:r>
          </w:p>
        </w:tc>
        <w:tc>
          <w:tcPr>
            <w:tcW w:w="62" w:type="dxa"/>
            <w:tcBorders/>
            <w:vAlign w:val="bottom"/>
          </w:tcPr>
          <w:p>
            <w:pPr>
              <w:pStyle w:val="TableContents"/>
              <w:bidi w:val="0"/>
              <w:spacing w:before="0" w:after="283"/>
              <w:jc w:val="left"/>
              <w:rPr/>
            </w:pPr>
            <w:r>
              <w:rPr/>
              <w:t> </w:t>
            </w:r>
          </w:p>
        </w:tc>
      </w:tr>
      <w:tr>
        <w:trPr/>
        <w:tc>
          <w:tcPr>
            <w:tcW w:w="8559" w:type="dxa"/>
            <w:tcBorders/>
          </w:tcPr>
          <w:p>
            <w:pPr>
              <w:pStyle w:val="TableContents"/>
              <w:bidi w:val="0"/>
              <w:spacing w:before="0" w:after="283"/>
              <w:jc w:val="left"/>
              <w:rPr/>
            </w:pPr>
            <w:r>
              <w:rPr/>
              <w:t>“</w:t>
            </w:r>
            <w:r>
              <w:rPr>
                <w:b/>
              </w:rPr>
              <w:t>Trading Price Condition</w:t>
            </w:r>
            <w:r>
              <w:rPr/>
              <w: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b/>
              </w:rPr>
            </w:pPr>
            <w:r>
              <w:rPr>
                <w:b/>
              </w:rPr>
              <w:t>5.01(C)(i)(2)</w:t>
            </w:r>
          </w:p>
        </w:tc>
        <w:tc>
          <w:tcPr>
            <w:tcW w:w="62"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Section 1.03. RULES OF CONSTRUCTION.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(A) “or”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(B) “including” means “including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(C) “will” expresses a command; </w:t>
      </w:r>
    </w:p>
    <w:p>
      <w:pPr>
        <w:pStyle w:val="TextBody"/>
        <w:bidi w:val="0"/>
        <w:spacing w:before="240" w:after="0"/>
        <w:jc w:val="left"/>
        <w:rPr>
          <w:rFonts w:ascii="Times New Roman" w:hAnsi="Times New Roman"/>
          <w:sz w:val="20"/>
        </w:rPr>
      </w:pPr>
      <w:r>
        <w:rPr>
          <w:rFonts w:ascii="Times New Roman" w:hAnsi="Times New Roman"/>
          <w:sz w:val="20"/>
        </w:rPr>
        <w:t xml:space="preserve">(D) the “average” of a set of numerical values refers to the arithmetic average of such numerical values; </w:t>
      </w:r>
    </w:p>
    <w:p>
      <w:pPr>
        <w:pStyle w:val="TextBody"/>
        <w:bidi w:val="0"/>
        <w:spacing w:before="240" w:after="0"/>
        <w:jc w:val="left"/>
        <w:rPr>
          <w:rFonts w:ascii="Times New Roman" w:hAnsi="Times New Roman"/>
          <w:sz w:val="20"/>
        </w:rPr>
      </w:pPr>
      <w:r>
        <w:rPr>
          <w:rFonts w:ascii="Times New Roman" w:hAnsi="Times New Roman"/>
          <w:sz w:val="20"/>
        </w:rPr>
        <w:t xml:space="preserve">(E) 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 </w:t>
      </w:r>
    </w:p>
    <w:p>
      <w:pPr>
        <w:pStyle w:val="TextBody"/>
        <w:bidi w:val="0"/>
        <w:spacing w:before="240" w:after="0"/>
        <w:jc w:val="left"/>
        <w:rPr>
          <w:rFonts w:ascii="Times New Roman" w:hAnsi="Times New Roman"/>
          <w:sz w:val="20"/>
        </w:rPr>
      </w:pPr>
      <w:r>
        <w:rPr>
          <w:rFonts w:ascii="Times New Roman" w:hAnsi="Times New Roman"/>
          <w:sz w:val="20"/>
        </w:rPr>
        <w:t xml:space="preserve">(F) words in the singular include the plural and in the plural include the singular, unless the context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(G) “herein,” “hereof” and other words of similar import refer to this Supplemental Indenture as a whole and not to any particular Article, Section or other subdivision of this Supplemental Indenture, unless the context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(H) each Article, Section, clause or paragraph reference in this Supplemental Indenture that is in bolded typeface refers to the referenced Article, Section, clause or paragraph, as applicable, of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(I) references to currency mean the lawful currency of the United States of America, unless the context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(J) the exhibits, schedules and other attachments to this Supplemental Indenture are deemed to form part of the Indenture; and </w:t>
      </w:r>
    </w:p>
    <w:p>
      <w:pPr>
        <w:pStyle w:val="TextBody"/>
        <w:bidi w:val="0"/>
        <w:spacing w:before="240" w:after="0"/>
        <w:jc w:val="left"/>
        <w:rPr>
          <w:rFonts w:ascii="Times New Roman" w:hAnsi="Times New Roman"/>
          <w:sz w:val="20"/>
        </w:rPr>
      </w:pPr>
      <w:r>
        <w:rPr>
          <w:rFonts w:ascii="Times New Roman" w:hAnsi="Times New Roman"/>
          <w:sz w:val="20"/>
        </w:rPr>
        <w:t>(K) the term “</w:t>
      </w:r>
      <w:r>
        <w:rPr>
          <w:rFonts w:ascii="Times New Roman" w:hAnsi="Times New Roman"/>
          <w:b/>
          <w:sz w:val="20"/>
        </w:rPr>
        <w:t>interest</w:t>
      </w:r>
      <w:r>
        <w:rPr>
          <w:rFonts w:ascii="Times New Roman" w:hAnsi="Times New Roman"/>
          <w:sz w:val="20"/>
        </w:rPr>
        <w:t xml:space="preserve">,” when used with respect to a Note, includes any Default Interest and Special Interest, unless the context requires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the Indenture, the following terms of the Trust Indenture Act have the following meanings: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pPr>
            <w:r>
              <w:rPr/>
              <w:t>“</w:t>
            </w:r>
            <w:r>
              <w:rPr>
                <w:rFonts w:ascii="Times New Roman" w:hAnsi="Times New Roman"/>
                <w:b/>
                <w:sz w:val="20"/>
              </w:rPr>
              <w:t>Commission</w:t>
            </w:r>
            <w:r>
              <w:rPr>
                <w:rFonts w:ascii="Times New Roman" w:hAnsi="Times New Roman"/>
                <w:sz w:val="20"/>
              </w:rPr>
              <w:t xml:space="preserve">” means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pPr>
            <w:r>
              <w:rPr/>
              <w:t>“</w:t>
            </w:r>
            <w:r>
              <w:rPr>
                <w:rFonts w:ascii="Times New Roman" w:hAnsi="Times New Roman"/>
                <w:b/>
                <w:sz w:val="20"/>
              </w:rPr>
              <w:t>indenture securities</w:t>
            </w:r>
            <w:r>
              <w:rPr>
                <w:rFonts w:ascii="Times New Roman" w:hAnsi="Times New Roman"/>
                <w:sz w:val="20"/>
              </w:rPr>
              <w:t xml:space="preserve">” means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pPr>
            <w:r>
              <w:rPr/>
              <w:t>“</w:t>
            </w:r>
            <w:r>
              <w:rPr>
                <w:rFonts w:ascii="Times New Roman" w:hAnsi="Times New Roman"/>
                <w:b/>
                <w:sz w:val="20"/>
              </w:rPr>
              <w:t>indenture security holder</w:t>
            </w:r>
            <w:r>
              <w:rPr>
                <w:rFonts w:ascii="Times New Roman" w:hAnsi="Times New Roman"/>
                <w:sz w:val="20"/>
              </w:rPr>
              <w:t xml:space="preserve">” means a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pPr>
            <w:r>
              <w:rPr/>
              <w:t>“</w:t>
            </w:r>
            <w:r>
              <w:rPr>
                <w:rFonts w:ascii="Times New Roman" w:hAnsi="Times New Roman"/>
                <w:b/>
                <w:sz w:val="20"/>
              </w:rPr>
              <w:t>indenture to be qualified</w:t>
            </w:r>
            <w:r>
              <w:rPr>
                <w:rFonts w:ascii="Times New Roman" w:hAnsi="Times New Roman"/>
                <w:sz w:val="20"/>
              </w:rPr>
              <w:t xml:space="preserve">” means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pPr>
            <w:r>
              <w:rPr/>
              <w:t>“</w:t>
            </w:r>
            <w:r>
              <w:rPr>
                <w:rFonts w:ascii="Times New Roman" w:hAnsi="Times New Roman"/>
                <w:b/>
                <w:sz w:val="20"/>
              </w:rPr>
              <w:t>indenture trustee</w:t>
            </w:r>
            <w:r>
              <w:rPr>
                <w:rFonts w:ascii="Times New Roman" w:hAnsi="Times New Roman"/>
                <w:sz w:val="20"/>
              </w:rPr>
              <w:t>” or “</w:t>
            </w:r>
            <w:r>
              <w:rPr>
                <w:rFonts w:ascii="Times New Roman" w:hAnsi="Times New Roman"/>
                <w:b/>
                <w:sz w:val="20"/>
              </w:rPr>
              <w:t>institutional trustee</w:t>
            </w:r>
            <w:r>
              <w:rPr>
                <w:rFonts w:ascii="Times New Roman" w:hAnsi="Times New Roman"/>
                <w:sz w:val="20"/>
              </w:rPr>
              <w:t xml:space="preserve">” means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pPr>
            <w:r>
              <w:rPr/>
              <w:t>“</w:t>
            </w:r>
            <w:r>
              <w:rPr>
                <w:rFonts w:ascii="Times New Roman" w:hAnsi="Times New Roman"/>
                <w:b/>
                <w:sz w:val="20"/>
              </w:rPr>
              <w:t>obligor</w:t>
            </w:r>
            <w:r>
              <w:rPr>
                <w:rFonts w:ascii="Times New Roman" w:hAnsi="Times New Roman"/>
                <w:sz w:val="20"/>
              </w:rPr>
              <w:t xml:space="preserve">” on the indenture securities means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other terms used in the Indenture that are defined by the Trust Indenture Act (including by reference to another statute) or the related rules of the SEC, and not defined in the Indenture, have the respective meanings so defined by the Trust Indenture Act or such rules.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1.04. INTERPRETATION; SCOPE oF SUPPLEMENTAL INDENTURE; SUPERSESSION OF BASE INDENTURE.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The amendments to the Base Indenture made by this Supplemental Indenture will apply solely with respect to the Notes and not with respect to any other class or series of Securities. For purposes of the Notes, if any provision of this Supplemental Indenture conflicts with any provision of the Base Indenture, then this Supplemental Indenture will control to the extent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Applicability of Base Indenture</w:t>
      </w:r>
      <w:r>
        <w:rPr>
          <w:rFonts w:ascii="Times New Roman" w:hAnsi="Times New Roman"/>
          <w:sz w:val="20"/>
        </w:rPr>
        <w:t xml:space="preserve">. Without limiting </w:t>
      </w:r>
      <w:r>
        <w:rPr>
          <w:rFonts w:ascii="Times New Roman" w:hAnsi="Times New Roman"/>
          <w:b/>
          <w:sz w:val="20"/>
        </w:rPr>
        <w:t>Section</w:t>
      </w:r>
      <w:r>
        <w:rPr>
          <w:rFonts w:ascii="Times New Roman" w:hAnsi="Times New Roman"/>
          <w:sz w:val="20"/>
        </w:rPr>
        <w:t> </w:t>
      </w:r>
      <w:r>
        <w:rPr>
          <w:rFonts w:ascii="Times New Roman" w:hAnsi="Times New Roman"/>
          <w:b/>
          <w:sz w:val="20"/>
        </w:rPr>
        <w:t>1.04(A)</w:t>
      </w:r>
      <w:r>
        <w:rPr>
          <w:rFonts w:ascii="Times New Roman" w:hAnsi="Times New Roman"/>
          <w:sz w:val="20"/>
        </w:rPr>
        <w:t xml:space="preserve">, for purposes of the Notes: </w:t>
      </w:r>
    </w:p>
    <w:p>
      <w:pPr>
        <w:pStyle w:val="TextBody"/>
        <w:bidi w:val="0"/>
        <w:spacing w:before="120" w:after="0"/>
        <w:jc w:val="left"/>
        <w:rPr>
          <w:rFonts w:ascii="Times New Roman" w:hAnsi="Times New Roman"/>
          <w:sz w:val="20"/>
        </w:rPr>
      </w:pPr>
      <w:r>
        <w:rPr>
          <w:rFonts w:ascii="Times New Roman" w:hAnsi="Times New Roman"/>
          <w:sz w:val="20"/>
        </w:rPr>
        <w:t xml:space="preserve">(i) Sections 3.04, 3.05 and 3.06 of the Base Indenture will not apply to the Notes; </w:t>
      </w:r>
    </w:p>
    <w:p>
      <w:pPr>
        <w:pStyle w:val="TextBody"/>
        <w:bidi w:val="0"/>
        <w:spacing w:before="120" w:after="0"/>
        <w:jc w:val="left"/>
        <w:rPr>
          <w:rFonts w:ascii="Times New Roman" w:hAnsi="Times New Roman"/>
          <w:sz w:val="20"/>
        </w:rPr>
      </w:pPr>
      <w:r>
        <w:rPr>
          <w:rFonts w:ascii="Times New Roman" w:hAnsi="Times New Roman"/>
          <w:sz w:val="20"/>
        </w:rPr>
        <w:t xml:space="preserve">(ii) Sections 2.04 and 2.10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2.02(A)</w:t>
      </w:r>
      <w:r>
        <w:rPr>
          <w:rFonts w:ascii="Times New Roman" w:hAnsi="Times New Roman"/>
          <w:sz w:val="20"/>
        </w:rPr>
        <w:t xml:space="preserve"> and </w:t>
      </w:r>
      <w:r>
        <w:rPr>
          <w:rFonts w:ascii="Times New Roman" w:hAnsi="Times New Roman"/>
          <w:b/>
          <w:sz w:val="20"/>
        </w:rPr>
        <w:t>Section</w:t>
      </w:r>
      <w:r>
        <w:rPr>
          <w:rFonts w:ascii="Times New Roman" w:hAnsi="Times New Roman"/>
          <w:sz w:val="20"/>
        </w:rPr>
        <w:t> </w:t>
      </w:r>
      <w:r>
        <w:rPr>
          <w:rFonts w:ascii="Times New Roman" w:hAnsi="Times New Roman"/>
          <w:b/>
          <w:sz w:val="20"/>
        </w:rPr>
        <w:t>2.02(B)</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(iii) Sections 4.02 and 4.03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2.06</w:t>
      </w:r>
      <w:r>
        <w:rPr>
          <w:rFonts w:ascii="Times New Roman" w:hAnsi="Times New Roman"/>
          <w:sz w:val="20"/>
        </w:rPr>
        <w:t xml:space="preserve"> and </w:t>
      </w:r>
      <w:r>
        <w:rPr>
          <w:rFonts w:ascii="Times New Roman" w:hAnsi="Times New Roman"/>
          <w:b/>
          <w:sz w:val="20"/>
        </w:rPr>
        <w:t>Section</w:t>
      </w:r>
      <w:r>
        <w:rPr>
          <w:rFonts w:ascii="Times New Roman" w:hAnsi="Times New Roman"/>
          <w:sz w:val="20"/>
        </w:rPr>
        <w:t> </w:t>
      </w:r>
      <w:r>
        <w:rPr>
          <w:rFonts w:ascii="Times New Roman" w:hAnsi="Times New Roman"/>
          <w:b/>
          <w:sz w:val="20"/>
        </w:rPr>
        <w:t>2.07</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(iv) Sections 5.01 and 5.02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2.08</w:t>
      </w:r>
      <w:r>
        <w:rPr>
          <w:rFonts w:ascii="Times New Roman" w:hAnsi="Times New Roman"/>
          <w:sz w:val="20"/>
        </w:rPr>
        <w:t xml:space="preserve"> of this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Section 2.05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and </w:t>
      </w:r>
      <w:r>
        <w:rPr>
          <w:rFonts w:ascii="Times New Roman" w:hAnsi="Times New Roman"/>
          <w:b/>
          <w:sz w:val="20"/>
        </w:rPr>
        <w:t>Section</w:t>
      </w:r>
      <w:r>
        <w:rPr>
          <w:rFonts w:ascii="Times New Roman" w:hAnsi="Times New Roman"/>
          <w:sz w:val="20"/>
        </w:rPr>
        <w:t> </w:t>
      </w:r>
      <w:r>
        <w:rPr>
          <w:rFonts w:ascii="Times New Roman" w:hAnsi="Times New Roman"/>
          <w:b/>
          <w:sz w:val="20"/>
        </w:rPr>
        <w:t>2.11</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(vi) Section 2.07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(vii) Section 2.08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(viii) Section 8.04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2.15</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(ix) Section 2.06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2.16</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 the applicable provisions of Section 2.03 of the Base Indenture relating to “Defaulted Interest” (as defined in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2.05(B)</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(xi) Section 2.11 of the Base Indenture will not apply to the Notes and will instead be deemed to be replaced with the corresponding provisions in </w:t>
      </w:r>
      <w:r>
        <w:rPr>
          <w:rFonts w:ascii="Times New Roman" w:hAnsi="Times New Roman"/>
          <w:b/>
          <w:sz w:val="20"/>
        </w:rPr>
        <w:t>Article 2</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(xii) Section 2.12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2.19</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(xiii) Section 4.01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3.01</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(xiv) Section 5.03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3.02</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(xv) Section 13.12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3.03</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(xvi) Sections 3.01, 3.02 and 3.03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(xvii) Article 10 of the Base Indenture will not apply to the Notes and will instead be deemed to be replaced with </w:t>
      </w:r>
      <w:r>
        <w:rPr>
          <w:rFonts w:ascii="Times New Roman" w:hAnsi="Times New Roman"/>
          <w:b/>
          <w:sz w:val="20"/>
        </w:rPr>
        <w:t>Article 6</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(xviii) Article 6 of the Base Indenture will not apply to the Notes and will instead be deemed to be replaced with </w:t>
      </w:r>
      <w:r>
        <w:rPr>
          <w:rFonts w:ascii="Times New Roman" w:hAnsi="Times New Roman"/>
          <w:b/>
          <w:sz w:val="20"/>
        </w:rPr>
        <w:t>Article 7</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(xix) Article 9 of the Base Indenture will not apply to the Notes and will instead be deemed to be replaced with </w:t>
      </w:r>
      <w:r>
        <w:rPr>
          <w:rFonts w:ascii="Times New Roman" w:hAnsi="Times New Roman"/>
          <w:b/>
          <w:sz w:val="20"/>
        </w:rPr>
        <w:t>Article 8</w:t>
      </w:r>
      <w:r>
        <w:rPr>
          <w:rFonts w:ascii="Times New Roman" w:hAnsi="Times New Roman"/>
          <w:sz w:val="20"/>
        </w:rPr>
        <w:t xml:space="preserve"> of this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 Article 11 of the Base Indenture will not apply to the Notes and will instead be deemed to be replaced with </w:t>
      </w:r>
      <w:r>
        <w:rPr>
          <w:rFonts w:ascii="Times New Roman" w:hAnsi="Times New Roman"/>
          <w:b/>
          <w:sz w:val="20"/>
        </w:rPr>
        <w:t>Article 9</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(xxi) Article 7 and Sections 4.04 and 5.04 of the Base Indenture will not apply to the Notes and will instead be deemed to be replaced with </w:t>
      </w:r>
      <w:r>
        <w:rPr>
          <w:rFonts w:ascii="Times New Roman" w:hAnsi="Times New Roman"/>
          <w:b/>
          <w:sz w:val="20"/>
        </w:rPr>
        <w:t>Article 10</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(xxii) Section 13.09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11.17</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(xxiii) Section 13.04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11.01</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(xxiv) Section 13.07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11.02</w:t>
      </w:r>
      <w:r>
        <w:rPr>
          <w:rFonts w:ascii="Times New Roman" w:hAnsi="Times New Roman"/>
          <w:sz w:val="20"/>
        </w:rPr>
        <w:t xml:space="preserve"> and </w:t>
      </w:r>
      <w:r>
        <w:rPr>
          <w:rFonts w:ascii="Times New Roman" w:hAnsi="Times New Roman"/>
          <w:b/>
          <w:sz w:val="20"/>
        </w:rPr>
        <w:t>Section</w:t>
      </w:r>
      <w:r>
        <w:rPr>
          <w:rFonts w:ascii="Times New Roman" w:hAnsi="Times New Roman"/>
          <w:sz w:val="20"/>
        </w:rPr>
        <w:t> </w:t>
      </w:r>
      <w:r>
        <w:rPr>
          <w:rFonts w:ascii="Times New Roman" w:hAnsi="Times New Roman"/>
          <w:b/>
          <w:sz w:val="20"/>
        </w:rPr>
        <w:t>11.03</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(xxv) Section 13.05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11.06</w:t>
      </w:r>
      <w:r>
        <w:rPr>
          <w:rFonts w:ascii="Times New Roman" w:hAnsi="Times New Roman"/>
          <w:sz w:val="20"/>
        </w:rPr>
        <w:t xml:space="preserve"> and </w:t>
      </w:r>
      <w:r>
        <w:rPr>
          <w:rFonts w:ascii="Times New Roman" w:hAnsi="Times New Roman"/>
          <w:b/>
          <w:sz w:val="20"/>
        </w:rPr>
        <w:t>Section</w:t>
      </w:r>
      <w:r>
        <w:rPr>
          <w:rFonts w:ascii="Times New Roman" w:hAnsi="Times New Roman"/>
          <w:sz w:val="20"/>
        </w:rPr>
        <w:t> </w:t>
      </w:r>
      <w:r>
        <w:rPr>
          <w:rFonts w:ascii="Times New Roman" w:hAnsi="Times New Roman"/>
          <w:b/>
          <w:sz w:val="20"/>
        </w:rPr>
        <w:t>11.07</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(xxvi) Section 13.10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11.14</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(xxvii) Section 13.08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2.05(C)</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(xxviii) Article 12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11.05</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(xxix) Section 13.01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11.09</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(xxx) Section 13.11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11.13</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(xxxi) Section 13.15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11.15</w:t>
      </w:r>
      <w:r>
        <w:rPr>
          <w:rFonts w:ascii="Times New Roman" w:hAnsi="Times New Roman"/>
          <w:sz w:val="20"/>
        </w:rPr>
        <w:t xml:space="preserve">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(xxxii) Section 13.14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11.10</w:t>
      </w:r>
      <w:r>
        <w:rPr>
          <w:rFonts w:ascii="Times New Roman" w:hAnsi="Times New Roman"/>
          <w:sz w:val="20"/>
        </w:rPr>
        <w:t xml:space="preserve"> of this Supplemental Indenture; and </w:t>
      </w:r>
    </w:p>
    <w:p>
      <w:pPr>
        <w:pStyle w:val="TextBody"/>
        <w:bidi w:val="0"/>
        <w:spacing w:before="120" w:after="0"/>
        <w:jc w:val="left"/>
        <w:rPr>
          <w:rFonts w:ascii="Times New Roman" w:hAnsi="Times New Roman"/>
          <w:sz w:val="20"/>
        </w:rPr>
      </w:pPr>
      <w:r>
        <w:rPr>
          <w:rFonts w:ascii="Times New Roman" w:hAnsi="Times New Roman"/>
          <w:sz w:val="20"/>
        </w:rPr>
        <w:t xml:space="preserve">(xxxiii) Section 13.13 of the Base Indenture will not apply to the Notes and will instead be deemed to be replaced with </w:t>
      </w:r>
      <w:r>
        <w:rPr>
          <w:rFonts w:ascii="Times New Roman" w:hAnsi="Times New Roman"/>
          <w:b/>
          <w:sz w:val="20"/>
        </w:rPr>
        <w:t>Section</w:t>
      </w:r>
      <w:r>
        <w:rPr>
          <w:rFonts w:ascii="Times New Roman" w:hAnsi="Times New Roman"/>
          <w:sz w:val="20"/>
        </w:rPr>
        <w:t> </w:t>
      </w:r>
      <w:r>
        <w:rPr>
          <w:rFonts w:ascii="Times New Roman" w:hAnsi="Times New Roman"/>
          <w:b/>
          <w:sz w:val="20"/>
        </w:rPr>
        <w:t>11.11</w:t>
      </w:r>
      <w:r>
        <w:rPr>
          <w:rFonts w:ascii="Times New Roman" w:hAnsi="Times New Roman"/>
          <w:sz w:val="20"/>
        </w:rPr>
        <w:t xml:space="preserve"> of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Each reference in the Base Indenture to any Articles or Sections (or part of any Articles or Sections) of the Base Indenture referred to in the preceding </w:t>
      </w:r>
      <w:r>
        <w:rPr>
          <w:rFonts w:ascii="Times New Roman" w:hAnsi="Times New Roman"/>
          <w:b/>
          <w:sz w:val="20"/>
        </w:rPr>
        <w:t>clauses</w:t>
      </w:r>
      <w:r>
        <w:rPr>
          <w:rFonts w:ascii="Times New Roman" w:hAnsi="Times New Roman"/>
          <w:sz w:val="20"/>
        </w:rPr>
        <w:t xml:space="preserve"> of this </w:t>
      </w:r>
      <w:r>
        <w:rPr>
          <w:rFonts w:ascii="Times New Roman" w:hAnsi="Times New Roman"/>
          <w:b/>
          <w:sz w:val="20"/>
        </w:rPr>
        <w:t>Section</w:t>
      </w:r>
      <w:r>
        <w:rPr>
          <w:rFonts w:ascii="Times New Roman" w:hAnsi="Times New Roman"/>
          <w:sz w:val="20"/>
        </w:rPr>
        <w:t> </w:t>
      </w:r>
      <w:r>
        <w:rPr>
          <w:rFonts w:ascii="Times New Roman" w:hAnsi="Times New Roman"/>
          <w:b/>
          <w:sz w:val="20"/>
        </w:rPr>
        <w:t>1.04(B)</w:t>
      </w:r>
      <w:r>
        <w:rPr>
          <w:rFonts w:ascii="Times New Roman" w:hAnsi="Times New Roman"/>
          <w:sz w:val="20"/>
        </w:rPr>
        <w:t xml:space="preserve"> will, for purposes of the Notes, be deemed instead to be a reference to the respective Articles and Sections (or corresponding part of the respective Articles or Sections) referred to in the preceding </w:t>
      </w:r>
      <w:r>
        <w:rPr>
          <w:rFonts w:ascii="Times New Roman" w:hAnsi="Times New Roman"/>
          <w:b/>
          <w:sz w:val="20"/>
        </w:rPr>
        <w:t>clauses</w:t>
      </w:r>
      <w:r>
        <w:rPr>
          <w:rFonts w:ascii="Times New Roman" w:hAnsi="Times New Roman"/>
          <w:sz w:val="20"/>
        </w:rPr>
        <w:t xml:space="preserve"> of this </w:t>
      </w:r>
      <w:r>
        <w:rPr>
          <w:rFonts w:ascii="Times New Roman" w:hAnsi="Times New Roman"/>
          <w:b/>
          <w:sz w:val="20"/>
        </w:rPr>
        <w:t>Section</w:t>
      </w:r>
      <w:r>
        <w:rPr>
          <w:rFonts w:ascii="Times New Roman" w:hAnsi="Times New Roman"/>
          <w:sz w:val="20"/>
        </w:rPr>
        <w:t> </w:t>
      </w:r>
      <w:r>
        <w:rPr>
          <w:rFonts w:ascii="Times New Roman" w:hAnsi="Times New Roman"/>
          <w:b/>
          <w:sz w:val="20"/>
        </w:rPr>
        <w:t>1.04(B)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2.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2.01. FORM, DATING AND DENOMINATIONS. </w:t>
      </w:r>
    </w:p>
    <w:p>
      <w:pPr>
        <w:pStyle w:val="TextBody"/>
        <w:bidi w:val="0"/>
        <w:spacing w:before="120" w:after="0"/>
        <w:jc w:val="left"/>
        <w:rPr>
          <w:rFonts w:ascii="Times New Roman" w:hAnsi="Times New Roman"/>
          <w:sz w:val="20"/>
        </w:rPr>
      </w:pPr>
      <w:r>
        <w:rPr>
          <w:rFonts w:ascii="Times New Roman" w:hAnsi="Times New Roman"/>
          <w:sz w:val="20"/>
        </w:rPr>
        <w:t xml:space="preserve">The Notes and the Trustee’s certificate of authentication will be substantially in the form set forth in </w:t>
      </w:r>
      <w:r>
        <w:rPr>
          <w:rFonts w:ascii="Times New Roman" w:hAnsi="Times New Roman"/>
          <w:b/>
          <w:sz w:val="20"/>
        </w:rPr>
        <w:t>Exhibit A</w:t>
      </w:r>
      <w:r>
        <w:rPr>
          <w:rFonts w:ascii="Times New Roman" w:hAnsi="Times New Roman"/>
          <w:sz w:val="20"/>
        </w:rPr>
        <w:t xml:space="preserve">. The Notes will bear the legends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and may bear notations, legends or endorsements required by law, stock exchange rule or usage or the Depositary. Each Note will be dated as of the date of its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issuable only in registered form without interest coupons and only in Authorized Denominations. </w:t>
      </w:r>
    </w:p>
    <w:p>
      <w:pPr>
        <w:pStyle w:val="TextBody"/>
        <w:bidi w:val="0"/>
        <w:spacing w:before="240" w:after="0"/>
        <w:jc w:val="left"/>
        <w:rPr>
          <w:rFonts w:ascii="Times New Roman" w:hAnsi="Times New Roman"/>
          <w:sz w:val="20"/>
        </w:rPr>
      </w:pPr>
      <w:r>
        <w:rPr>
          <w:rFonts w:ascii="Times New Roman" w:hAnsi="Times New Roman"/>
          <w:sz w:val="20"/>
        </w:rPr>
        <w:t xml:space="preserve">Each certificate representing a Note will bear a unique registration number that is not affixed to any other certificate representing another outstanding Note. </w:t>
      </w:r>
    </w:p>
    <w:p>
      <w:pPr>
        <w:pStyle w:val="TextBody"/>
        <w:bidi w:val="0"/>
        <w:spacing w:before="240" w:after="0"/>
        <w:jc w:val="left"/>
        <w:rPr>
          <w:rFonts w:ascii="Times New Roman" w:hAnsi="Times New Roman"/>
          <w:sz w:val="20"/>
        </w:rPr>
      </w:pPr>
      <w:r>
        <w:rPr>
          <w:rFonts w:ascii="Times New Roman" w:hAnsi="Times New Roman"/>
          <w:sz w:val="20"/>
        </w:rPr>
        <w:t xml:space="preserve">The terms contained in the Notes constitute part of the Indenture, and, to the extent applicable, the Company and the Trustee, by their execution and delivery of this Supplemental Indenture, agree to such terms and to be bound thereby;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extent that any provision of any Note conflicts with the provisions of the Indenture, the provisions of the Indenture will control for purposes of the Indenture and such Note.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2.02. EXECUTION, AUTHENTICATION AND DELIVERY.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Due Execution by the Company</w:t>
      </w:r>
      <w:r>
        <w:rPr>
          <w:rFonts w:ascii="Times New Roman" w:hAnsi="Times New Roman"/>
          <w:sz w:val="20"/>
        </w:rPr>
        <w:t xml:space="preserve">. At least one (1) duly authorized Officer will sign the Notes on behalf of the Company by manual, electronic or facsimile signature. A Note’s validity will not be affected by the failure of any Officer whose signature is on any Note to hold, at the time such Note is authenticated, the same or any other office at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Authentication by the Trustee and Delivery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 Note will be valid until it is authenticated by the Trustee. A Note will be deemed to be duly authenticated only when an authorized signatory of the Trustee (or a duly appointed authenticating agent) manually signs the certificate of authentication of such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2.02(A)</w:t>
      </w:r>
      <w:r>
        <w:rPr>
          <w:rFonts w:ascii="Times New Roman" w:hAnsi="Times New Roman"/>
          <w:sz w:val="20"/>
        </w:rPr>
        <w:t xml:space="preserve">; and (3) the Company delivers a Company Order to the Trustee that (a) requests the Trustee to authenticate such Note; and (b) sets forth 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may appoint an authenticating agent acceptable to the Company to authenticate Notes. A duly appointed authenticating agent may authenticate Notes whenever the Trustee may do so under the Indenture, and a Note authenticated as provided in the Indenture by such an agent will be deemed, for purposes of the Indenture, to be authenticated by the Trustee. Each duly appointed authenticating agent will have the same rights to deal with the Company as the Trustee would have if it were performing the duties that the authenticating agent was validly appointed to undertake.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2.03. INITIAL NOTES AND ADDITIONAL NOTES.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Initial Notes</w:t>
      </w:r>
      <w:r>
        <w:rPr>
          <w:rFonts w:ascii="Times New Roman" w:hAnsi="Times New Roman"/>
          <w:sz w:val="20"/>
        </w:rPr>
        <w:t xml:space="preserve">. On the Issue Date, there will be originally issued five hundred and seventy five million dollars ($575,000,000) aggregate principal amount of Notes, subject to the provisions of the Indenture (including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Notes issued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2.03(A)</w:t>
      </w:r>
      <w:r>
        <w:rPr>
          <w:rFonts w:ascii="Times New Roman" w:hAnsi="Times New Roman"/>
          <w:sz w:val="20"/>
        </w:rPr>
        <w:t>, and any Notes issued in exchange therefor or in substitution thereof, are referred to in the Indenture as the “</w:t>
      </w:r>
      <w:r>
        <w:rPr>
          <w:rFonts w:ascii="Times New Roman" w:hAnsi="Times New Roman"/>
          <w:b/>
          <w:sz w:val="20"/>
        </w:rPr>
        <w:t>Initial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Additional Notes</w:t>
      </w:r>
      <w:r>
        <w:rPr>
          <w:rFonts w:ascii="Times New Roman" w:hAnsi="Times New Roman"/>
          <w:sz w:val="20"/>
        </w:rPr>
        <w:t xml:space="preserve">. Without the consent of any Holder, the Company may, subject to the provisions of the Indenture (including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originally issue additional Notes with the same terms as the Initial Notes (except, to the extent applicable, with respect to the date as of which interest begins to accrue on such additional Notes and the first Interest Payment Date of such additional Notes), which additional Notes will, subject to the foregoing, be considered to be part of the same series of, and rank equally and ratably with all other, Notes issued under the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any such additional Notes (and any Notes that are resold after such Notes have been purchased or otherwise acquired by the Company or its Subsidiaries) are not fungible with other Notes issued under the Indenture for purposes of federal income tax or federal securities laws or, if applicable, the Depositary Procedures, then such additional or resold Notes will be identified by a separate CUSIP number or by no CUSIP number.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2.04. METHOD OF PAYMENT.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Global Notes</w:t>
      </w:r>
      <w:r>
        <w:rPr>
          <w:rFonts w:ascii="Times New Roman" w:hAnsi="Times New Roman"/>
          <w:sz w:val="20"/>
        </w:rPr>
        <w:t xml:space="preserve">. The Company will pay, or cause the Paying Agent to pay, the principal (whether due upon maturity on the Maturity Date, Redemption on a Redemption Date or repurchase on a Fundamental Change Repurchase Date or otherwise) of, interest on, and any cash Conversion Consideration for, any Global Note to the Depositary by wire transfer of immediately available funds no later than the time the same is due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Physical Notes</w:t>
      </w:r>
      <w:r>
        <w:rPr>
          <w:rFonts w:ascii="Times New Roman" w:hAnsi="Times New Roman"/>
          <w:sz w:val="20"/>
        </w:rPr>
        <w:t xml:space="preserve">. The Company will pay, or cause the Paying Agent to pay, the principal (whether due upon maturity on the Maturity Date, Redemption on a Redemption Date or repurchase on a Fundamental Change Repurchase Date or otherwise) of, interest on, and any cash Conversion Consideration for, any Physical Note no later than the time the same is due as provided in the Indenture as follows: (i) if the principal amount of such Physical Note is at least five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any interest due on an Interest Payment Date, the immediately preceding Regular Record Date; (y) with respect to any cash Conversion Consideration, the relevant Conversion Date; and (z) with respect to any other payment, the date that is fifteen (15) calendar days immediately before the date such payment is due.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2.05. ACCRUAL OF INTEREST; DEFAULTED AMOUNTS; WHEN PAYMENT DATE IS NOT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Accrual of Interest</w:t>
      </w:r>
      <w:r>
        <w:rPr>
          <w:rFonts w:ascii="Times New Roman" w:hAnsi="Times New Roman"/>
          <w:sz w:val="20"/>
        </w:rPr>
        <w:t>. Each Note will accrue interest at a rate per annum equal to 1.50% (the “</w:t>
      </w:r>
      <w:r>
        <w:rPr>
          <w:rFonts w:ascii="Times New Roman" w:hAnsi="Times New Roman"/>
          <w:b/>
          <w:sz w:val="20"/>
        </w:rPr>
        <w:t>Stated Interest</w:t>
      </w:r>
      <w:r>
        <w:rPr>
          <w:rFonts w:ascii="Times New Roman" w:hAnsi="Times New Roman"/>
          <w:sz w:val="20"/>
        </w:rPr>
        <w:t xml:space="preserve">”), plus any Default Interest and Special Interest that may accrue pursuant to </w:t>
      </w:r>
      <w:r>
        <w:rPr>
          <w:rFonts w:ascii="Times New Roman" w:hAnsi="Times New Roman"/>
          <w:b/>
          <w:sz w:val="20"/>
        </w:rPr>
        <w:t>Sections 2.05(B)</w:t>
      </w:r>
      <w:r>
        <w:rPr>
          <w:rFonts w:ascii="Times New Roman" w:hAnsi="Times New Roman"/>
          <w:sz w:val="20"/>
        </w:rPr>
        <w:t xml:space="preserve"> and </w:t>
      </w:r>
      <w:r>
        <w:rPr>
          <w:rFonts w:ascii="Times New Roman" w:hAnsi="Times New Roman"/>
          <w:b/>
          <w:sz w:val="20"/>
        </w:rPr>
        <w:t>7.03</w:t>
      </w:r>
      <w:r>
        <w:rPr>
          <w:rFonts w:ascii="Times New Roman" w:hAnsi="Times New Roman"/>
          <w:sz w:val="20"/>
        </w:rPr>
        <w:t xml:space="preserve">, respectively. Stated Interest on each Note will (i) 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Times New Roman" w:hAnsi="Times New Roman"/>
          <w:b/>
          <w:sz w:val="20"/>
        </w:rPr>
        <w:t>Sections</w:t>
      </w:r>
      <w:r>
        <w:rPr>
          <w:rFonts w:ascii="Times New Roman" w:hAnsi="Times New Roman"/>
          <w:sz w:val="20"/>
        </w:rPr>
        <w:t xml:space="preserve"> </w:t>
      </w:r>
      <w:r>
        <w:rPr>
          <w:rFonts w:ascii="Times New Roman" w:hAnsi="Times New Roman"/>
          <w:b/>
          <w:sz w:val="20"/>
        </w:rPr>
        <w:t>4.02(D)</w:t>
      </w:r>
      <w:r>
        <w:rPr>
          <w:rFonts w:ascii="Times New Roman" w:hAnsi="Times New Roman"/>
          <w:sz w:val="20"/>
        </w:rPr>
        <w:t xml:space="preserve">, </w:t>
      </w:r>
      <w:r>
        <w:rPr>
          <w:rFonts w:ascii="Times New Roman" w:hAnsi="Times New Roman"/>
          <w:b/>
          <w:sz w:val="20"/>
        </w:rPr>
        <w:t>4.03(F)</w:t>
      </w:r>
      <w:r>
        <w:rPr>
          <w:rFonts w:ascii="Times New Roman" w:hAnsi="Times New Roman"/>
          <w:sz w:val="20"/>
        </w:rPr>
        <w:t xml:space="preserve"> and </w:t>
      </w:r>
      <w:r>
        <w:rPr>
          <w:rFonts w:ascii="Times New Roman" w:hAnsi="Times New Roman"/>
          <w:b/>
          <w:sz w:val="20"/>
        </w:rPr>
        <w:t>5.02(D)</w:t>
      </w:r>
      <w:r>
        <w:rPr>
          <w:rFonts w:ascii="Times New Roman" w:hAnsi="Times New Roman"/>
          <w:sz w:val="20"/>
        </w:rPr>
        <w:t xml:space="preserve"> (but without duplication of any payment of interest), payable semi-annually in arrears on each Interest Payment Date, beginning on the first Interest Payment Date set forth in the certificate representing such Note, to the Holder of such Note as of the Close of Business on the immediately preceding Regular Record Date. Stated Interest, and, if applicable, Special Interest, on the Notes will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Defaulted Amounts</w:t>
      </w:r>
      <w:r>
        <w:rPr>
          <w:rFonts w:ascii="Times New Roman" w:hAnsi="Times New Roman"/>
          <w:sz w:val="20"/>
        </w:rPr>
        <w:t>. If the Company fails to pay any cash amount (a “</w:t>
      </w:r>
      <w:r>
        <w:rPr>
          <w:rFonts w:ascii="Times New Roman" w:hAnsi="Times New Roman"/>
          <w:b/>
          <w:sz w:val="20"/>
        </w:rPr>
        <w:t>Defaulted Amount</w:t>
      </w:r>
      <w:r>
        <w:rPr>
          <w:rFonts w:ascii="Times New Roman" w:hAnsi="Times New Roman"/>
          <w:sz w:val="20"/>
        </w:rPr>
        <w:t>”) payable on a Note on or before the due date therefor as provided in the Indenture, then, regardless of whether such failure constitutes an Event of Default, (i) such Defaulted Amount will forthwith cease to be payable to the Holder of such Note otherwise entitled to such payment; (ii) to the extent lawful, interest (“</w:t>
      </w:r>
      <w:r>
        <w:rPr>
          <w:rFonts w:ascii="Times New Roman" w:hAnsi="Times New Roman"/>
          <w:b/>
          <w:sz w:val="20"/>
        </w:rPr>
        <w:t>Default Interest</w:t>
      </w:r>
      <w:r>
        <w:rPr>
          <w:rFonts w:ascii="Times New Roman" w:hAnsi="Times New Roman"/>
          <w:sz w:val="20"/>
        </w:rPr>
        <w:t xml:space="preserve">”) will accrue on such Defaulted Amount at a rate per annum equal to the rate per annum at which Stated Interest accrues, from, and including, such due date to, but excluding, the date of payment of such Defaulted Amount and Default Interest; and (iii) such Defaulted Amount and Default Interest will be paid, at the Company’s election, as provided in </w:t>
      </w:r>
      <w:r>
        <w:rPr>
          <w:rFonts w:ascii="Times New Roman" w:hAnsi="Times New Roman"/>
          <w:b/>
          <w:sz w:val="20"/>
        </w:rPr>
        <w:t>clause (i)</w:t>
      </w:r>
      <w:r>
        <w:rPr>
          <w:rFonts w:ascii="Times New Roman" w:hAnsi="Times New Roman"/>
          <w:sz w:val="20"/>
        </w:rPr>
        <w:t xml:space="preserve"> or </w:t>
      </w:r>
      <w:r>
        <w:rPr>
          <w:rFonts w:ascii="Times New Roman" w:hAnsi="Times New Roman"/>
          <w:b/>
          <w:sz w:val="20"/>
        </w:rPr>
        <w:t>(ii)</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Payment of Default Amounts on a Special Payment Date</w:t>
      </w:r>
      <w:r>
        <w:rPr>
          <w:rFonts w:ascii="Times New Roman" w:hAnsi="Times New Roman"/>
          <w:sz w:val="20"/>
        </w:rPr>
        <w:t xml:space="preserve">. The Company will have the right to pay such Defaulted Amount and Default Interest on a payment date selected by the Company to the Holder of such Note as of the Close of Business on a special record date selected by the Company, </w:t>
      </w:r>
      <w:r>
        <w:rPr>
          <w:rFonts w:ascii="Times New Roman" w:hAnsi="Times New Roman"/>
          <w:i/>
          <w:sz w:val="20"/>
        </w:rPr>
        <w:t>provided</w:t>
      </w:r>
      <w:r>
        <w:rPr>
          <w:rFonts w:ascii="Times New Roman" w:hAnsi="Times New Roman"/>
          <w:sz w:val="20"/>
        </w:rPr>
        <w:t xml:space="preserve"> that (1) such special record date is no more than fifteen (15), nor less than ten (10), calendar days before such payment date; and (2) at least fifteen (15) calendar days before such special record date, the Company sends notice to the Trustee and the Holders that states such special record date, such payment date and the amount of such Defaulted Amount and Default Interest to be paid on such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Payment of Default Amount in Any Other Lawful Manner</w:t>
      </w:r>
      <w:r>
        <w:rPr>
          <w:rFonts w:ascii="Times New Roman" w:hAnsi="Times New Roman"/>
          <w:sz w:val="20"/>
        </w:rPr>
        <w:t xml:space="preserve">. If not paid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2.05(B)(i)</w:t>
      </w:r>
      <w:r>
        <w:rPr>
          <w:rFonts w:ascii="Times New Roman" w:hAnsi="Times New Roman"/>
          <w:sz w:val="20"/>
        </w:rPr>
        <w:t xml:space="preserve">, such Defaulted Amount and Default Interest will be paid by the Company in any other lawful manner.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2.05(B)</w:t>
      </w:r>
      <w:r>
        <w:rPr>
          <w:rFonts w:ascii="Times New Roman" w:hAnsi="Times New Roman"/>
          <w:sz w:val="20"/>
        </w:rPr>
        <w:t xml:space="preserve">, a Default in the payment or delivery of any Conversion Consideration when due will be cured upon the payment or delivery of the same (together, if applicable in the case of any cash Conversion Consideration, with Default Interest thereon) to the Person to whom such Conversion Consideration is payable or deliverable (determined in accordance with </w:t>
      </w:r>
      <w:r>
        <w:rPr>
          <w:rFonts w:ascii="Times New Roman" w:hAnsi="Times New Roman"/>
          <w:b/>
          <w:sz w:val="20"/>
        </w:rPr>
        <w:t>Article 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Delay of Payment When Payment Date Is Not a Business Day</w:t>
      </w:r>
      <w:r>
        <w:rPr>
          <w:rFonts w:ascii="Times New Roman" w:hAnsi="Times New Roman"/>
          <w:sz w:val="20"/>
        </w:rPr>
        <w:t xml:space="preserve">. If the due date for a payment on a Note as provided in the Indenture is not a Business Day, then, notwithstanding anything to the contrary in the Indenture or the Notes, such payment may be made on the immediately following Business Day with the same force and effect as if such payment were made on such due date (and, for the avoidance of doubt,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Special Provision for Global Notes</w:t>
      </w:r>
      <w:r>
        <w:rPr>
          <w:rFonts w:ascii="Times New Roman" w:hAnsi="Times New Roman"/>
          <w:sz w:val="20"/>
        </w:rPr>
        <w:t xml:space="preserve">. If the first date on which any Special Interest begins to accrue on a Global Note is on or after the fifth (5th) Business Day before a Regular Record Date and before the next Interest Payment Date, then, notwithstanding anything to the contrary in the Indenture or the Notes, the amount thereof accruing in respect of the period from, and including, such first date to, but excluding, such Interest Payment Date will not be payable on such Interest Payment Date but will instead be deemed to accrue (without duplication) entirely on such Interest Payment Date and be payable on the immediately succeeding Interest Payment Date (and, for the avoidance of doubt, no interest will accrue as a result of the related delay).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2.06. REGISTRAR, PAYING AGENT AND CONVERSION AGENT.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The Company will maintain (i) an office or agency in the continental United States where Notes may be presented for registration of transfer or for exchange (the “</w:t>
      </w:r>
      <w:r>
        <w:rPr>
          <w:rFonts w:ascii="Times New Roman" w:hAnsi="Times New Roman"/>
          <w:b/>
          <w:sz w:val="20"/>
        </w:rPr>
        <w:t>Registrar</w:t>
      </w:r>
      <w:r>
        <w:rPr>
          <w:rFonts w:ascii="Times New Roman" w:hAnsi="Times New Roman"/>
          <w:sz w:val="20"/>
        </w:rPr>
        <w:t>”); (ii) an office or agency in the continental United States where Notes may be presented for payment (the “</w:t>
      </w:r>
      <w:r>
        <w:rPr>
          <w:rFonts w:ascii="Times New Roman" w:hAnsi="Times New Roman"/>
          <w:b/>
          <w:sz w:val="20"/>
        </w:rPr>
        <w:t>Paying Agent</w:t>
      </w:r>
      <w:r>
        <w:rPr>
          <w:rFonts w:ascii="Times New Roman" w:hAnsi="Times New Roman"/>
          <w:sz w:val="20"/>
        </w:rPr>
        <w:t>”); and (iii) an office or agency in the continental United States where Notes may be presented for Conversion (the “</w:t>
      </w:r>
      <w:r>
        <w:rPr>
          <w:rFonts w:ascii="Times New Roman" w:hAnsi="Times New Roman"/>
          <w:b/>
          <w:sz w:val="20"/>
        </w:rPr>
        <w:t>Conversion Agent</w:t>
      </w:r>
      <w:r>
        <w:rPr>
          <w:rFonts w:ascii="Times New Roman" w:hAnsi="Times New Roman"/>
          <w:sz w:val="20"/>
        </w:rPr>
        <w:t xml:space="preserve">”). If the Company fails to maintain a Registrar, Paying Agent or Conversion Agent, then the Trustee will act as such and will receive compensation therefor in accordance with the Indenture and any other agreement between the Trustee and the Company. For the avoidance of doubt, the Company or any of its Subsidiaries may act as Registrar, Paying Agent or Conversion Agent.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2.06(A)</w:t>
      </w:r>
      <w:r>
        <w:rPr>
          <w:rFonts w:ascii="Times New Roman" w:hAnsi="Times New Roman"/>
          <w:sz w:val="20"/>
        </w:rPr>
        <w:t xml:space="preserve">, each of the Registrar, Paying Agent and Conversion Agent with respect to any Global Note must at all times be a Person that is eligible to act in that capacity under the Depositary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Duties of the Registrar</w:t>
      </w:r>
      <w:r>
        <w:rPr>
          <w:rFonts w:ascii="Times New Roman" w:hAnsi="Times New Roman"/>
          <w:sz w:val="20"/>
        </w:rPr>
        <w:t>. The Registrar will keep a record (the “</w:t>
      </w:r>
      <w:r>
        <w:rPr>
          <w:rFonts w:ascii="Times New Roman" w:hAnsi="Times New Roman"/>
          <w:b/>
          <w:sz w:val="20"/>
        </w:rPr>
        <w:t>Register</w:t>
      </w:r>
      <w:r>
        <w:rPr>
          <w:rFonts w:ascii="Times New Roman" w:hAnsi="Times New Roman"/>
          <w:sz w:val="20"/>
        </w:rPr>
        <w:t xml:space="preserve">”) of the names and addresses of the Holders, the Notes held by each Holder and the transfer, exchange, repurchase, Redemption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Co-Agents; Company’s Right to Appoint Successor Registrars, Paying Agents and Conversion Agents</w:t>
      </w:r>
      <w:r>
        <w:rPr>
          <w:rFonts w:ascii="Times New Roman" w:hAnsi="Times New Roman"/>
          <w:sz w:val="20"/>
        </w:rPr>
        <w:t xml:space="preserve">. The Company may appoint one or more co-Registrars, co-Paying Agents and co-Conversion Agents, each of whom will be deemed to be a Registrar, Paying Agent or Conversion Agent, as applicable, under the Indenture. Subject to </w:t>
      </w:r>
      <w:r>
        <w:rPr>
          <w:rFonts w:ascii="Times New Roman" w:hAnsi="Times New Roman"/>
          <w:b/>
          <w:sz w:val="20"/>
        </w:rPr>
        <w:t>Section</w:t>
      </w:r>
      <w:r>
        <w:rPr>
          <w:rFonts w:ascii="Times New Roman" w:hAnsi="Times New Roman"/>
          <w:sz w:val="20"/>
        </w:rPr>
        <w:t> </w:t>
      </w:r>
      <w:r>
        <w:rPr>
          <w:rFonts w:ascii="Times New Roman" w:hAnsi="Times New Roman"/>
          <w:b/>
          <w:sz w:val="20"/>
        </w:rPr>
        <w:t>2.06(A)</w:t>
      </w:r>
      <w:r>
        <w:rPr>
          <w:rFonts w:ascii="Times New Roman" w:hAnsi="Times New Roman"/>
          <w:sz w:val="20"/>
        </w:rPr>
        <w:t xml:space="preserve">,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the Indenture and will enter into an appropriate agency agreement with each such Note Agent, which agreement will implement the provisions of the Indenture that relate to such Note Agent.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Initial Appointments</w:t>
      </w:r>
      <w:r>
        <w:rPr>
          <w:rFonts w:ascii="Times New Roman" w:hAnsi="Times New Roman"/>
          <w:sz w:val="20"/>
        </w:rPr>
        <w:t xml:space="preserve">. The Company appoints the Trustee as, and designates its corporate trust office identified in </w:t>
      </w:r>
      <w:r>
        <w:rPr>
          <w:rFonts w:ascii="Times New Roman" w:hAnsi="Times New Roman"/>
          <w:b/>
          <w:sz w:val="20"/>
        </w:rPr>
        <w:t>Section</w:t>
      </w:r>
      <w:r>
        <w:rPr>
          <w:rFonts w:ascii="Times New Roman" w:hAnsi="Times New Roman"/>
          <w:sz w:val="20"/>
        </w:rPr>
        <w:t> </w:t>
      </w:r>
      <w:r>
        <w:rPr>
          <w:rFonts w:ascii="Times New Roman" w:hAnsi="Times New Roman"/>
          <w:b/>
          <w:sz w:val="20"/>
        </w:rPr>
        <w:t>11.01</w:t>
      </w:r>
      <w:r>
        <w:rPr>
          <w:rFonts w:ascii="Times New Roman" w:hAnsi="Times New Roman"/>
          <w:sz w:val="20"/>
        </w:rPr>
        <w:t xml:space="preserve"> (as the same exists on the Issue Date) in the continental United States as the office for, the initial Paying Agent, the initial Registrar and the initial Conversion Agent.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2.07. PAYING AGENT AND CONVERSION AGENT TO HOLD PROPERTY IN TRUST.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the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 w:hAnsi="Times New Roman"/>
          <w:b/>
          <w:sz w:val="20"/>
        </w:rPr>
        <w:t>clause</w:t>
      </w:r>
      <w:r>
        <w:rPr>
          <w:rFonts w:ascii="Times New Roman" w:hAnsi="Times New Roman"/>
          <w:sz w:val="20"/>
        </w:rPr>
        <w:t xml:space="preserve"> </w:t>
      </w:r>
      <w:r>
        <w:rPr>
          <w:rFonts w:ascii="Times New Roman" w:hAnsi="Times New Roman"/>
          <w:b/>
          <w:sz w:val="20"/>
        </w:rPr>
        <w:t>(viii)</w:t>
      </w:r>
      <w:r>
        <w:rPr>
          <w:rFonts w:ascii="Times New Roman" w:hAnsi="Times New Roman"/>
          <w:sz w:val="20"/>
        </w:rPr>
        <w:t xml:space="preserve"> or </w:t>
      </w:r>
      <w:r>
        <w:rPr>
          <w:rFonts w:ascii="Times New Roman" w:hAnsi="Times New Roman"/>
          <w:b/>
          <w:sz w:val="20"/>
        </w:rPr>
        <w:t>(ix)</w:t>
      </w:r>
      <w:r>
        <w:rPr>
          <w:rFonts w:ascii="Times New Roman" w:hAnsi="Times New Roman"/>
          <w:sz w:val="20"/>
        </w:rPr>
        <w:t xml:space="preserve"> of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with respect to the Company (or with respect to any Subsidiary of the Company acting as Paying Agent or Conversion Agent), the Trustee will serve as the Paying Agent or Conversion Agent, as applicable, for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2.08. HOLDER LISTS.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is not the Registrar, then the Company will furnish to the Trustee, no later than seven (7) Business Days before each Interest Payment Date, and at such other times as the Trustee may request, a list, in such form and as of such date or time as the Trustee may reasonably require, of the names and addresses of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2.09. LEGENDS.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Global Note Legend</w:t>
      </w:r>
      <w:r>
        <w:rPr>
          <w:rFonts w:ascii="Times New Roman" w:hAnsi="Times New Roman"/>
          <w:sz w:val="20"/>
        </w:rPr>
        <w:t xml:space="preserve">. Each Global Note will bear the Global Note Legend (or any similar legend, not inconsistent with the Indenture, required by the Depositary for such Global Note).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Other Legends</w:t>
      </w:r>
      <w:r>
        <w:rPr>
          <w:rFonts w:ascii="Times New Roman" w:hAnsi="Times New Roman"/>
          <w:sz w:val="20"/>
        </w:rPr>
        <w:t xml:space="preserve">. A Note may bear any other legend or text, not inconsistent with the Indenture, as may be required by applicable law or by any securities exchange or automated quotation system on which such Note is traded or quoted.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Acknowledgment and Agreement by the Holders</w:t>
      </w:r>
      <w:r>
        <w:rPr>
          <w:rFonts w:ascii="Times New Roman" w:hAnsi="Times New Roman"/>
          <w:sz w:val="20"/>
        </w:rPr>
        <w:t xml:space="preserve">. A Holder’s acceptance of any Note bearing any legend required by this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will constitute such Holder’s acknowledgment of, and agreement to comply with, the restrictions set forth in such legend.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2.10. TRANSFERS AND EXCHANGES; CERTAIN TRANSFER RESTRICTIONS.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Provisions Applicable to All Transfers and Exchanges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Generally</w:t>
      </w:r>
      <w:r>
        <w:rPr>
          <w:rFonts w:ascii="Times New Roman" w:hAnsi="Times New Roman"/>
          <w:sz w:val="20"/>
        </w:rPr>
        <w:t xml:space="preserve">. Subject to this </w:t>
      </w: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Physical Notes and beneficial interests in Global Notes may be transferred or exchanged from time to time and the Registrar will record each such transfer or exchange in the Register.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Transferred and Exchanged Notes Remain Valid Obligations of the Company</w:t>
      </w:r>
      <w:r>
        <w:rPr>
          <w:rFonts w:ascii="Times New Roman" w:hAnsi="Times New Roman"/>
          <w:sz w:val="20"/>
        </w:rPr>
        <w:t xml:space="preserve">. Each Note issued upon transfer or exchange of any other Note (such other Note being referred to as the “old Note” 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2.10(A)(ii)</w:t>
      </w:r>
      <w:r>
        <w:rPr>
          <w:rFonts w:ascii="Times New Roman" w:hAnsi="Times New Roman"/>
          <w:sz w:val="20"/>
        </w:rPr>
        <w:t xml:space="preserve">) or portion thereof in accordance with the Indenture will be the valid obligation of the Company, evidencing the same indebtedness, and entitled to the same benefits under the Indenture, as such old Note or portion thereof,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No Services Charge; Transfer Taxes</w:t>
      </w:r>
      <w:r>
        <w:rPr>
          <w:rFonts w:ascii="Times New Roman" w:hAnsi="Times New Roman"/>
          <w:sz w:val="20"/>
        </w:rPr>
        <w:t xml:space="preserve">. The Company, the Trustee and the Note Agents will not impose any service charge on any Holder for any transfer, exchange or Conversion of Notes, but the Company,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2.11</w:t>
      </w:r>
      <w:r>
        <w:rPr>
          <w:rFonts w:ascii="Times New Roman" w:hAnsi="Times New Roman"/>
          <w:sz w:val="20"/>
        </w:rPr>
        <w:t xml:space="preserve">, </w:t>
      </w:r>
      <w:r>
        <w:rPr>
          <w:rFonts w:ascii="Times New Roman" w:hAnsi="Times New Roman"/>
          <w:b/>
          <w:sz w:val="20"/>
        </w:rPr>
        <w:t>2.16</w:t>
      </w:r>
      <w:r>
        <w:rPr>
          <w:rFonts w:ascii="Times New Roman" w:hAnsi="Times New Roman"/>
          <w:sz w:val="20"/>
        </w:rPr>
        <w:t xml:space="preserve"> or </w:t>
      </w:r>
      <w:r>
        <w:rPr>
          <w:rFonts w:ascii="Times New Roman" w:hAnsi="Times New Roman"/>
          <w:b/>
          <w:sz w:val="20"/>
        </w:rPr>
        <w:t>8.05</w:t>
      </w:r>
      <w:r>
        <w:rPr>
          <w:rFonts w:ascii="Times New Roman" w:hAnsi="Times New Roman"/>
          <w:sz w:val="20"/>
        </w:rPr>
        <w:t xml:space="preserve"> not involving any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Transfers and Exchanges Must Be in Authorized Denominations</w:t>
      </w:r>
      <w:r>
        <w:rPr>
          <w:rFonts w:ascii="Times New Roman" w:hAnsi="Times New Roman"/>
          <w:sz w:val="20"/>
        </w:rPr>
        <w:t xml:space="preserve">. Notwithstanding anything to the contrary in the Indenture or the Notes, a Note may not be transferred or exchanged in part unless the portion to be so transferred or exchanged is in an Authorized Denomination.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Trustee’s Disclaimer</w:t>
      </w:r>
      <w:r>
        <w:rPr>
          <w:rFonts w:ascii="Times New Roman" w:hAnsi="Times New Roman"/>
          <w:sz w:val="20"/>
        </w:rPr>
        <w:t xml:space="preserve">. The Trustee will have no obligation or duty to monitor, determine or inquire as to compliance with any transfer restrictions imposed under the Indenture or applicable law with respect to any Note Security, other than to require the delivery of such certificates or other documentation or evidence as expressly required by the Indenture and to examine the same to determine substantial compliance as to form with the requirements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Legends</w:t>
      </w:r>
      <w:r>
        <w:rPr>
          <w:rFonts w:ascii="Times New Roman" w:hAnsi="Times New Roman"/>
          <w:sz w:val="20"/>
        </w:rPr>
        <w:t xml:space="preserve">. Each Note issued upon transfer of, or in exchange for, another Note will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i/>
          <w:sz w:val="20"/>
        </w:rPr>
        <w:t>Settlement of Transfers and Exchanges</w:t>
      </w:r>
      <w:r>
        <w:rPr>
          <w:rFonts w:ascii="Times New Roman" w:hAnsi="Times New Roman"/>
          <w:sz w:val="20"/>
        </w:rPr>
        <w:t xml:space="preserve">. Upon satisfaction of the requirements of the Indenture to effect a transfer or exchange of any Note, the Company will cause such transfer or exchange to be effected as soon as reasonably practicable but in no event later than the second (2nd) Business Day after the date of such satisfaction.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Transfers and Exchanges of Global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Certain Restrictions</w:t>
      </w:r>
      <w:r>
        <w:rPr>
          <w:rFonts w:ascii="Times New Roman" w:hAnsi="Times New Roman"/>
          <w:sz w:val="20"/>
        </w:rPr>
        <w:t xml:space="preserve">. Subject to the immediately following sentence, no Global Note may be transferred or exchanged in whole 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Global Note will be exchanged, pursuant to customary procedures, for one or more Physical Notes if: </w:t>
      </w:r>
    </w:p>
    <w:p>
      <w:pPr>
        <w:pStyle w:val="TextBody"/>
        <w:bidi w:val="0"/>
        <w:spacing w:before="120" w:after="0"/>
        <w:jc w:val="left"/>
        <w:rPr>
          <w:rFonts w:ascii="Times New Roman" w:hAnsi="Times New Roman"/>
          <w:sz w:val="20"/>
        </w:rPr>
      </w:pPr>
      <w:r>
        <w:rPr>
          <w:rFonts w:ascii="Times New Roman" w:hAnsi="Times New Roman"/>
          <w:sz w:val="20"/>
        </w:rPr>
        <w:t xml:space="preserve">(1) (x)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 </w:t>
      </w:r>
    </w:p>
    <w:p>
      <w:pPr>
        <w:pStyle w:val="TextBody"/>
        <w:bidi w:val="0"/>
        <w:spacing w:before="120" w:after="0"/>
        <w:jc w:val="left"/>
        <w:rPr>
          <w:rFonts w:ascii="Times New Roman" w:hAnsi="Times New Roman"/>
          <w:sz w:val="20"/>
        </w:rPr>
      </w:pPr>
      <w:r>
        <w:rPr>
          <w:rFonts w:ascii="Times New Roman" w:hAnsi="Times New Roman"/>
          <w:sz w:val="20"/>
        </w:rPr>
        <w:t xml:space="preserve">(2) 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 </w:t>
      </w:r>
    </w:p>
    <w:p>
      <w:pPr>
        <w:pStyle w:val="TextBody"/>
        <w:bidi w:val="0"/>
        <w:spacing w:before="120" w:after="0"/>
        <w:jc w:val="left"/>
        <w:rPr>
          <w:rFonts w:ascii="Times New Roman" w:hAnsi="Times New Roman"/>
          <w:sz w:val="20"/>
        </w:rPr>
      </w:pPr>
      <w:r>
        <w:rPr>
          <w:rFonts w:ascii="Times New Roman" w:hAnsi="Times New Roman"/>
          <w:sz w:val="20"/>
        </w:rPr>
        <w:t xml:space="preserve">(3) the Company, in its sole discretion, permits the exchange of any beneficial interest in such Global Note for one or more Physical Notes at the request of the owner of such beneficial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Effecting Transfers and Exchanges</w:t>
      </w:r>
      <w:r>
        <w:rPr>
          <w:rFonts w:ascii="Times New Roman" w:hAnsi="Times New Roman"/>
          <w:sz w:val="20"/>
        </w:rPr>
        <w:t xml:space="preserve">. Upon satisfaction of the requirements of the Indenture to effect a transfer or exchange of any Global Note (or any portion thereof): </w:t>
      </w:r>
    </w:p>
    <w:p>
      <w:pPr>
        <w:pStyle w:val="TextBody"/>
        <w:bidi w:val="0"/>
        <w:spacing w:before="120" w:after="0"/>
        <w:jc w:val="left"/>
        <w:rPr>
          <w:rFonts w:ascii="Times New Roman" w:hAnsi="Times New Roman"/>
          <w:sz w:val="20"/>
        </w:rPr>
      </w:pPr>
      <w:r>
        <w:rPr>
          <w:rFonts w:ascii="Times New Roman" w:hAnsi="Times New Roman"/>
          <w:sz w:val="20"/>
        </w:rPr>
        <w:t xml:space="preserve">(1) 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then the Company may (but is not required to) instruct the Trustee to cancel such Global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if required to effect such transfer or exchange, then the Trustee will reflect any resulting increase of the principal amount of any other Global Note by notation on the “Schedule of Exchanges of Interests in the Global Note” forming part of such other Global Note; </w:t>
      </w:r>
    </w:p>
    <w:p>
      <w:pPr>
        <w:pStyle w:val="TextBody"/>
        <w:bidi w:val="0"/>
        <w:spacing w:before="120" w:after="0"/>
        <w:jc w:val="left"/>
        <w:rPr>
          <w:rFonts w:ascii="Times New Roman" w:hAnsi="Times New Roman"/>
          <w:sz w:val="20"/>
        </w:rPr>
      </w:pPr>
      <w:r>
        <w:rPr>
          <w:rFonts w:ascii="Times New Roman" w:hAnsi="Times New Roman"/>
          <w:sz w:val="20"/>
        </w:rPr>
        <w:t xml:space="preserve">(3) if required to effect such transfer or exchange, then the Company will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a new Global Note bearing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(4) if such Global Note (or such portion thereof), or any beneficial interest therein, is to be exchanged for one or more Physical Notes, then the Company will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Physical Notes that (x) are in Authorized Denominations and have an aggregate principal amount equal to the principal amount of such Global Note to be so exchanged; (y) are registered in such name(s) as the Depositary specifies (or as otherwise determined pursuant to customary procedures); and (z)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Compliance with Depositary Procedures</w:t>
      </w:r>
      <w:r>
        <w:rPr>
          <w:rFonts w:ascii="Times New Roman" w:hAnsi="Times New Roman"/>
          <w:sz w:val="20"/>
        </w:rPr>
        <w:t xml:space="preserve">. Each transfer or exchange of a beneficial interest in any Global Note will be made in accordance with the Depositary Procedures.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Transfers and Exchanges of Physical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Requirements for Transfers and Exchanges</w:t>
      </w:r>
      <w:r>
        <w:rPr>
          <w:rFonts w:ascii="Times New Roman" w:hAnsi="Times New Roman"/>
          <w:sz w:val="20"/>
        </w:rPr>
        <w:t xml:space="preserve">. Subject to this </w:t>
      </w: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a Holder of a Physical Note may (x) transfer such Physical 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effect any such transfer or exchange, such Holder must surrender such Physical Note to be transferred or exchanged to the office of the Registrar, together with any endorsements or transfer instruments reasonably required by the Company, the Trustee or the Registrar.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Effecting Transfers and Exchanges</w:t>
      </w:r>
      <w:r>
        <w:rPr>
          <w:rFonts w:ascii="Times New Roman" w:hAnsi="Times New Roman"/>
          <w:sz w:val="20"/>
        </w:rPr>
        <w:t xml:space="preserve">. Upon the satisfaction of the requirements of the Indenture to effect a transfer or exchange of any Physical Note (such Physical Note being referred to as the “old Physical Note” 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2.10(C)(ii)</w:t>
      </w:r>
      <w:r>
        <w:rPr>
          <w:rFonts w:ascii="Times New Roman" w:hAnsi="Times New Roman"/>
          <w:sz w:val="20"/>
        </w:rPr>
        <w:t xml:space="preserve">) of a Holder (or any portion of such old Physical Note in an Authorized Denomination): </w:t>
      </w:r>
    </w:p>
    <w:p>
      <w:pPr>
        <w:pStyle w:val="TextBody"/>
        <w:bidi w:val="0"/>
        <w:spacing w:before="120" w:after="0"/>
        <w:jc w:val="left"/>
        <w:rPr>
          <w:rFonts w:ascii="Times New Roman" w:hAnsi="Times New Roman"/>
          <w:sz w:val="20"/>
        </w:rPr>
      </w:pPr>
      <w:r>
        <w:rPr>
          <w:rFonts w:ascii="Times New Roman" w:hAnsi="Times New Roman"/>
          <w:sz w:val="20"/>
        </w:rPr>
        <w:t xml:space="preserve">(1) such old Physical Note will be promptly cancelled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if such old Physical Note is to be so transferred or exchanged only in part, then the Company will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transfer: </w:t>
      </w:r>
    </w:p>
    <w:p>
      <w:pPr>
        <w:pStyle w:val="TextBody"/>
        <w:bidi w:val="0"/>
        <w:spacing w:before="120" w:after="0"/>
        <w:jc w:val="left"/>
        <w:rPr>
          <w:rFonts w:ascii="Times New Roman" w:hAnsi="Times New Roman"/>
          <w:sz w:val="20"/>
        </w:rPr>
      </w:pPr>
      <w:r>
        <w:rPr>
          <w:rFonts w:ascii="Times New Roman" w:hAnsi="Times New Roman"/>
          <w:sz w:val="20"/>
        </w:rPr>
        <w:t xml:space="preserve">(a) 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transfer cannot be so effected by notation on one or more existing Global Notes (whether because no Global Notes bearing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Global Notes that (x) are in Authorized Denominations and have an aggregate principal amount equal to the principal amount that is to be so transferred but that is not effected by notation as provided above; and (y)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(b) 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in the case of an exchange, the Company will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Transfers of Notes Subject to Redemption, Repurchase or Conversion</w:t>
      </w:r>
      <w:r>
        <w:rPr>
          <w:rFonts w:ascii="Times New Roman" w:hAnsi="Times New Roman"/>
          <w:sz w:val="20"/>
        </w:rPr>
        <w:t xml:space="preserve">. Notwithstanding anything to the contrary in the Indenture or the Notes, the Company, the Trustee and the Registrar will not be required to register the transfer of or exchange any Note that (i) has been surrendered for Conversion, except to the extent that any portion of such Note is not subject to Conversion; (ii) is subject to a Fundamental Change Repurchase Notice validly delivered, and not withdrawn,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4.02(F)</w:t>
      </w:r>
      <w:r>
        <w:rPr>
          <w:rFonts w:ascii="Times New Roman" w:hAnsi="Times New Roman"/>
          <w:sz w:val="20"/>
        </w:rPr>
        <w:t xml:space="preserve">, except to the extent that any portion of such Note is not subject to such notice or the Company fails to pay the applicable Fundamental Change Repurchase Price when due; or (iii) has been selected for Redemption pursuant to a Redemption Notice, except to the extent that any portion of such Note is not subject to Redemption or the Company fails to pay the applicable Redemption Price when due.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2.11. EXCHANGE AND CANCELLATION OF NOTES TO BE CONVERTED OR TO BE REPURCHASED PURSUANT TO A REPURCHASE UPON FUNDAMENTAL CHANGE OR REDEMPTION.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Partial Conversions of Physical Notes and Partial Repurchases of Physical Notes Pursuant to a Repurchase Upon Fundamental Change</w:t>
      </w:r>
      <w:r>
        <w:rPr>
          <w:rFonts w:ascii="Times New Roman" w:hAnsi="Times New Roman"/>
          <w:sz w:val="20"/>
        </w:rPr>
        <w:t xml:space="preserve"> </w:t>
      </w:r>
      <w:r>
        <w:rPr>
          <w:rFonts w:ascii="Times New Roman" w:hAnsi="Times New Roman"/>
          <w:i/>
          <w:sz w:val="20"/>
        </w:rPr>
        <w:t>or Redemption</w:t>
      </w:r>
      <w:r>
        <w:rPr>
          <w:rFonts w:ascii="Times New Roman" w:hAnsi="Times New Roman"/>
          <w:sz w:val="20"/>
        </w:rPr>
        <w:t xml:space="preserve">. If only a portion of a Physical Note of a Holder is to be Converted pursuant to </w:t>
      </w:r>
      <w:r>
        <w:rPr>
          <w:rFonts w:ascii="Times New Roman" w:hAnsi="Times New Roman"/>
          <w:b/>
          <w:sz w:val="20"/>
        </w:rPr>
        <w:t>Article 5</w:t>
      </w:r>
      <w:r>
        <w:rPr>
          <w:rFonts w:ascii="Times New Roman" w:hAnsi="Times New Roman"/>
          <w:sz w:val="20"/>
        </w:rPr>
        <w:t xml:space="preserve"> or repurchased pursuant to a Repurchase Upon Fundamental Change or Redemption, then, as soon as reasonably practicable after such Physical Note is surrendered for such Conversion or repurchase, as applicable, the Company will cause such Physical Note to be exchanged, pursuant and subject to </w:t>
      </w:r>
      <w:r>
        <w:rPr>
          <w:rFonts w:ascii="Times New Roman" w:hAnsi="Times New Roman"/>
          <w:b/>
          <w:sz w:val="20"/>
        </w:rPr>
        <w:t>Section</w:t>
      </w:r>
      <w:r>
        <w:rPr>
          <w:rFonts w:ascii="Times New Roman" w:hAnsi="Times New Roman"/>
          <w:sz w:val="20"/>
        </w:rPr>
        <w:t> </w:t>
      </w:r>
      <w:r>
        <w:rPr>
          <w:rFonts w:ascii="Times New Roman" w:hAnsi="Times New Roman"/>
          <w:b/>
          <w:sz w:val="20"/>
        </w:rPr>
        <w:t>2.10(C)</w:t>
      </w:r>
      <w:r>
        <w:rPr>
          <w:rFonts w:ascii="Times New Roman" w:hAnsi="Times New Roman"/>
          <w:sz w:val="20"/>
        </w:rPr>
        <w:t xml:space="preserve">, for (i) one or more Physical Notes that are in Authorized Denominations and have an aggregate principal amount equal to the principal amount of such Physical Note that is not to be so Converted or repurchased, as applicable, and deliver such Physical Note(s) to such Holder; and (ii) a Physical Note having a principal amount equal to the principal amount to be so Converted or repurchased, as applicable, which Physical Note will be Converted or repurchased, as applicable, pursuant to the terms of the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Physical Note referred to in this </w:t>
      </w:r>
      <w:r>
        <w:rPr>
          <w:rFonts w:ascii="Times New Roman" w:hAnsi="Times New Roman"/>
          <w:b/>
          <w:sz w:val="20"/>
        </w:rPr>
        <w:t>clause (ii)</w:t>
      </w:r>
      <w:r>
        <w:rPr>
          <w:rFonts w:ascii="Times New Roman" w:hAnsi="Times New Roman"/>
          <w:sz w:val="20"/>
        </w:rPr>
        <w:t xml:space="preserve"> need not be issued at any time after which such principal amount subject to such Conversion or repurchase, as applicable, is deemed to cease to be outstanding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Cancellation of Notes that Are Converted and Notes that Are Repurchased Pursuant to a Repurchase Upon Fundamental Change</w:t>
      </w:r>
      <w:r>
        <w:rPr>
          <w:rFonts w:ascii="Times New Roman" w:hAnsi="Times New Roman"/>
          <w:sz w:val="20"/>
        </w:rPr>
        <w:t xml:space="preserve"> </w:t>
      </w:r>
      <w:r>
        <w:rPr>
          <w:rFonts w:ascii="Times New Roman" w:hAnsi="Times New Roman"/>
          <w:i/>
          <w:sz w:val="20"/>
        </w:rPr>
        <w:t>or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Physical Notes</w:t>
      </w:r>
      <w:r>
        <w:rPr>
          <w:rFonts w:ascii="Times New Roman" w:hAnsi="Times New Roman"/>
          <w:sz w:val="20"/>
        </w:rPr>
        <w:t xml:space="preserve">. If a Physical Note (or any portion thereof that has not theretofore been exchanged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2.11(A)</w:t>
      </w:r>
      <w:r>
        <w:rPr>
          <w:rFonts w:ascii="Times New Roman" w:hAnsi="Times New Roman"/>
          <w:sz w:val="20"/>
        </w:rPr>
        <w:t xml:space="preserve">) of a Holder is to be Converted pursuant to </w:t>
      </w:r>
      <w:r>
        <w:rPr>
          <w:rFonts w:ascii="Times New Roman" w:hAnsi="Times New Roman"/>
          <w:b/>
          <w:sz w:val="20"/>
        </w:rPr>
        <w:t>Article 5</w:t>
      </w:r>
      <w:r>
        <w:rPr>
          <w:rFonts w:ascii="Times New Roman" w:hAnsi="Times New Roman"/>
          <w:sz w:val="20"/>
        </w:rPr>
        <w:t xml:space="preserve"> or repurchased pursuant to a Repurchase Upon Fundamental Change or Redemption, then, promptly after the later of the time such Physical Note (or such portion) is deemed to cease to be outstanding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and the time such Physical Note is surrendered for such Conversion or repurchase, as applicable, (1) such Physical Note will be cancelled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and (2) in the case of a partial Conversion or repurchase, as applicable, the Company will issue, execute and deliver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Holder,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Physical Notes that (x) are in Authorized Denominations and have an aggregate principal amount equal to the principal amount of such Physical Note that is not to be so Converted or repurchased, as applicable; (y) are registered in the name of such Holder; and (z)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Global Notes</w:t>
      </w:r>
      <w:r>
        <w:rPr>
          <w:rFonts w:ascii="Times New Roman" w:hAnsi="Times New Roman"/>
          <w:sz w:val="20"/>
        </w:rPr>
        <w:t xml:space="preserve">. If a Global Note (or any portion thereof) is to be Converted pursuant to </w:t>
      </w:r>
      <w:r>
        <w:rPr>
          <w:rFonts w:ascii="Times New Roman" w:hAnsi="Times New Roman"/>
          <w:b/>
          <w:sz w:val="20"/>
        </w:rPr>
        <w:t>Article 5</w:t>
      </w:r>
      <w:r>
        <w:rPr>
          <w:rFonts w:ascii="Times New Roman" w:hAnsi="Times New Roman"/>
          <w:sz w:val="20"/>
        </w:rPr>
        <w:t xml:space="preserve"> or repurchased pursuant to a Repurchase Upon Fundamental Change or Redemption, then, promptly after the time such Note (or such portion) is deemed to cease to be outstanding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the Trustee will reflect a decrease of the principal amount of such Global Note in an amount equal to the principal amount of such Global Note to be so Converted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2.12. REPLACEMENT NOTES. </w:t>
      </w:r>
    </w:p>
    <w:p>
      <w:pPr>
        <w:pStyle w:val="TextBody"/>
        <w:bidi w:val="0"/>
        <w:spacing w:before="120" w:after="0"/>
        <w:jc w:val="left"/>
        <w:rPr>
          <w:rFonts w:ascii="Times New Roman" w:hAnsi="Times New Roman"/>
          <w:sz w:val="20"/>
        </w:rPr>
      </w:pPr>
      <w:r>
        <w:rPr>
          <w:rFonts w:ascii="Times New Roman" w:hAnsi="Times New Roman"/>
          <w:sz w:val="20"/>
        </w:rPr>
        <w:t xml:space="preserve">If a Holder of any Note claims that such Note has been mutilated, lost, destroyed or wrongfully taken, then the Company will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a replacement Note upon surrender to the Trustee of such mutilated Note, or upon delivery to the Trustee of evidence of such loss, destruction or wrongful taking reasonably satisfactory to the Trustee and the Company. The Company may charge the Holder of a Note for the Company’s and the Trustee’s expenses in replacing such Note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In addition, in the case of a lost, destroyed or wrongfully taken Note, the Company and the Trustee may require the Holder thereof to provide such security or indemnity that is satisfactory to the Company and the Trustee to protect the Company and the Trustee from any loss that any of them may suffer if such Note is replaced. </w:t>
      </w:r>
    </w:p>
    <w:p>
      <w:pPr>
        <w:pStyle w:val="TextBody"/>
        <w:bidi w:val="0"/>
        <w:spacing w:before="240" w:after="0"/>
        <w:jc w:val="left"/>
        <w:rPr>
          <w:rFonts w:ascii="Times New Roman" w:hAnsi="Times New Roman"/>
          <w:sz w:val="20"/>
        </w:rPr>
      </w:pPr>
      <w:r>
        <w:rPr>
          <w:rFonts w:ascii="Times New Roman" w:hAnsi="Times New Roman"/>
          <w:sz w:val="20"/>
        </w:rPr>
        <w:t xml:space="preserve">Every replacement Note issued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will be an additional obligation of the Company and will be entitled to all of the benefits of the Indenture equally and ratably with all other Notes issued under the Indenture, regardless of whether the related lost, destroyed or wrongfully taken Note is at any time enforceable by any Person.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2.13. REGISTERED HOLDERS; CERTAIN RIGHTS WITH RESPECT TO GLOBAL NOTES. </w:t>
      </w:r>
    </w:p>
    <w:p>
      <w:pPr>
        <w:pStyle w:val="TextBody"/>
        <w:bidi w:val="0"/>
        <w:spacing w:before="120" w:after="0"/>
        <w:jc w:val="left"/>
        <w:rPr>
          <w:rFonts w:ascii="Times New Roman" w:hAnsi="Times New Roman"/>
          <w:sz w:val="20"/>
        </w:rPr>
      </w:pPr>
      <w:r>
        <w:rPr>
          <w:rFonts w:ascii="Times New Roman" w:hAnsi="Times New Roman"/>
          <w:sz w:val="20"/>
        </w:rPr>
        <w:t xml:space="preserve">Only the Holder of a Note will have rights under the Indenture as the owner of such Note. Without limiting the generality of the foregoing, Depositary Participants will have no rights as such under the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the Indenture or the Notes; and (B) the Company and the Trustee, and their respective agents, may give effect to any written certification, proxy or other authorization furnished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2.14. CANCELLATION.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in accordance with its customary procedures. Without limiting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2.03(B)</w:t>
      </w:r>
      <w:r>
        <w:rPr>
          <w:rFonts w:ascii="Times New Roman" w:hAnsi="Times New Roman"/>
          <w:sz w:val="20"/>
        </w:rPr>
        <w:t xml:space="preserve">, the Company may not originally issue new Notes to replace Notes that it has paid or that have been cancelled upon transfer, exchange, payment or Conversion.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2.15. NOTES HELD BY THE COMPANY OR ITS AFFILIATES. </w:t>
      </w:r>
    </w:p>
    <w:p>
      <w:pPr>
        <w:pStyle w:val="TextBody"/>
        <w:bidi w:val="0"/>
        <w:spacing w:before="120" w:after="0"/>
        <w:jc w:val="left"/>
        <w:rPr>
          <w:rFonts w:ascii="Times New Roman" w:hAnsi="Times New Roman"/>
          <w:sz w:val="20"/>
        </w:rPr>
      </w:pPr>
      <w:r>
        <w:rPr>
          <w:rFonts w:ascii="Times New Roman" w:hAnsi="Times New Roman"/>
          <w:sz w:val="20"/>
        </w:rPr>
        <w:t xml:space="preserve">Without limiting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in determining whether the Holders of the required aggregate principal amount of Notes have concurred in any direction, waiver or consent, Notes owned by the Company or any of its Affiliates will be deemed not to be outstanding;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for purposes of determining whether the Trustee is protected in relying on any such direction, waiver or consent, only Notes that a Responsible Officer of the Trustee knows are so owned will be so disregarded.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2.16. TEMPORARY NOTES. </w:t>
      </w:r>
    </w:p>
    <w:p>
      <w:pPr>
        <w:pStyle w:val="TextBody"/>
        <w:bidi w:val="0"/>
        <w:spacing w:before="120" w:after="0"/>
        <w:jc w:val="left"/>
        <w:rPr>
          <w:rFonts w:ascii="Times New Roman" w:hAnsi="Times New Roman"/>
          <w:sz w:val="20"/>
        </w:rPr>
      </w:pPr>
      <w:r>
        <w:rPr>
          <w:rFonts w:ascii="Times New Roman" w:hAnsi="Times New Roman"/>
          <w:sz w:val="20"/>
        </w:rPr>
        <w:t xml:space="preserve">Until definitive Notes are ready for delivery, the Company may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definitive Notes in exchange for temporary Notes. Until so exchanged, each temporary Note will in all respects be entitled to the same benefits under the Indenture as definitive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2.17. OUTSTANDING NOTES.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The Notes that are outstanding at any time will be deemed to be those Notes that, at such time, have been duly executed and authenticated, excluding those Notes (or portions thereof) that have theretofore been (i) cancelled by the Trustee or delivered to the Trustee for cancellation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(ii) assigned a principal amount of zero by notation on the “Schedule of Exchanges of Interests in the Global Note” forming part of the Global Note representing such Note (if such Note is represented by a Global Note); (iii) paid in full (including upon Conversion) in accordance with the Indenture; or (iv) deemed to cease to be outstanding to the extent provided in, and subject to, </w:t>
      </w:r>
      <w:r>
        <w:rPr>
          <w:rFonts w:ascii="Times New Roman" w:hAnsi="Times New Roman"/>
          <w:b/>
          <w:sz w:val="20"/>
        </w:rPr>
        <w:t>clause (B)</w:t>
      </w:r>
      <w:r>
        <w:rPr>
          <w:rFonts w:ascii="Times New Roman" w:hAnsi="Times New Roman"/>
          <w:sz w:val="20"/>
        </w:rPr>
        <w:t xml:space="preserve">, </w:t>
      </w:r>
      <w:r>
        <w:rPr>
          <w:rFonts w:ascii="Times New Roman" w:hAnsi="Times New Roman"/>
          <w:b/>
          <w:sz w:val="20"/>
        </w:rPr>
        <w:t>(C)</w:t>
      </w:r>
      <w:r>
        <w:rPr>
          <w:rFonts w:ascii="Times New Roman" w:hAnsi="Times New Roman"/>
          <w:sz w:val="20"/>
        </w:rPr>
        <w:t xml:space="preserve"> or </w:t>
      </w:r>
      <w:r>
        <w:rPr>
          <w:rFonts w:ascii="Times New Roman" w:hAnsi="Times New Roman"/>
          <w:b/>
          <w:sz w:val="20"/>
        </w:rPr>
        <w:t>(D)</w:t>
      </w:r>
      <w:r>
        <w:rPr>
          <w:rFonts w:ascii="Times New Roman" w:hAnsi="Times New Roman"/>
          <w:sz w:val="20"/>
        </w:rPr>
        <w:t xml:space="preserve"> of this </w:t>
      </w: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Replaced Notes</w:t>
      </w:r>
      <w:r>
        <w:rPr>
          <w:rFonts w:ascii="Times New Roman" w:hAnsi="Times New Roman"/>
          <w:sz w:val="20"/>
        </w:rPr>
        <w:t xml:space="preserve">. If a Note is replaced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then such Note will cease to be outstanding at the time of its replacement, unless the Trustee and the Company receive proof reasonably satisfactory to them that such Note is held by a “</w:t>
      </w:r>
      <w:r>
        <w:rPr>
          <w:rFonts w:ascii="Times New Roman" w:hAnsi="Times New Roman"/>
          <w:i/>
          <w:sz w:val="20"/>
        </w:rPr>
        <w:t>bona fide</w:t>
      </w:r>
      <w:r>
        <w:rPr>
          <w:rFonts w:ascii="Times New Roman" w:hAnsi="Times New Roman"/>
          <w:sz w:val="20"/>
        </w:rPr>
        <w:t xml:space="preserve"> purchaser”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Maturing Notes and Notes Called for Redemption or Subject to Repurchase</w:t>
      </w:r>
      <w:r>
        <w:rPr>
          <w:rFonts w:ascii="Times New Roman" w:hAnsi="Times New Roman"/>
          <w:sz w:val="20"/>
        </w:rPr>
        <w:t xml:space="preserve">. If, on a Redemption Date, a Fundamental Change Repurchase Date or the Maturity Date, the Paying Agent holds money sufficient to pay the aggregate Redemption Price, Fundamental Change Repurchase Price or principal amount, respectively, together, in each case, with the aggregate interest,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w:t>
      </w:r>
      <w:r>
        <w:rPr>
          <w:rFonts w:ascii="Times New Roman" w:hAnsi="Times New Roman"/>
          <w:b/>
          <w:sz w:val="20"/>
        </w:rPr>
        <w:t>4.03(F)</w:t>
      </w:r>
      <w:r>
        <w:rPr>
          <w:rFonts w:ascii="Times New Roman" w:hAnsi="Times New Roman"/>
          <w:sz w:val="20"/>
        </w:rPr>
        <w:t xml:space="preserve"> or </w:t>
      </w:r>
      <w:r>
        <w:rPr>
          <w:rFonts w:ascii="Times New Roman" w:hAnsi="Times New Roman"/>
          <w:b/>
          <w:sz w:val="20"/>
        </w:rPr>
        <w:t>5.02(D)</w:t>
      </w:r>
      <w:r>
        <w:rPr>
          <w:rFonts w:ascii="Times New Roman" w:hAnsi="Times New Roman"/>
          <w:sz w:val="20"/>
        </w:rPr>
        <w:t xml:space="preserve">; and (ii) the rights of the Holders of such Notes (or such portions thereof), as such, will terminate with respect to such Notes (or such portions thereof), other than the right to receive the Redemption Price, Fundamental Change Repurchase Price or principal amount, as applicable, of, and accrued and unpaid interest on, such Notes (or such portions thereof), in each case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Notes to Be Converted</w:t>
      </w:r>
      <w:r>
        <w:rPr>
          <w:rFonts w:ascii="Times New Roman" w:hAnsi="Times New Roman"/>
          <w:sz w:val="20"/>
        </w:rPr>
        <w:t xml:space="preserve">. At the Close of Business on the Conversion Date for any Note (or any portion thereof) to be Converted, such Note (or such portion) will (unless there occurs a Default in the delivery of the Conversion Consideration or interest due,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5.03(B)</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upon such Conversion) be deemed to cease to be outstanding, except to the extent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Cessation of Accrual of Interest</w:t>
      </w:r>
      <w:r>
        <w:rPr>
          <w:rFonts w:ascii="Times New Roman" w:hAnsi="Times New Roman"/>
          <w:sz w:val="20"/>
        </w:rPr>
        <w:t xml:space="preserve">. Except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w:t>
      </w:r>
      <w:r>
        <w:rPr>
          <w:rFonts w:ascii="Times New Roman" w:hAnsi="Times New Roman"/>
          <w:b/>
          <w:sz w:val="20"/>
        </w:rPr>
        <w:t>4.03(F)</w:t>
      </w:r>
      <w:r>
        <w:rPr>
          <w:rFonts w:ascii="Times New Roman" w:hAnsi="Times New Roman"/>
          <w:sz w:val="20"/>
        </w:rPr>
        <w:t xml:space="preserve"> or </w:t>
      </w:r>
      <w:r>
        <w:rPr>
          <w:rFonts w:ascii="Times New Roman" w:hAnsi="Times New Roman"/>
          <w:b/>
          <w:sz w:val="20"/>
        </w:rPr>
        <w:t>5.02(D)</w:t>
      </w:r>
      <w:r>
        <w:rPr>
          <w:rFonts w:ascii="Times New Roman" w:hAnsi="Times New Roman"/>
          <w:sz w:val="20"/>
        </w:rPr>
        <w:t xml:space="preserve">, interest will cease to accrue on each Note from, and including, the date that such Note is deemed,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to cease to be outstanding, unless there occurs a Default in the payment or delivery of any cash or other property due on such Note.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2.18. REPURCHASES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Without limiting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the Company and its Subsidiaries may, from time to time, repurchase Notes in open market purchases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2.19. CUSIP AND ISIN NUMBERS.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use one or more CUSIP or ISIN numbers to identify any of the Notes, and, if so, the Company and the Trustee will use such CUSIP or ISIN number(s) in notices to 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COVENANTS </w:t>
      </w:r>
    </w:p>
    <w:p>
      <w:pPr>
        <w:pStyle w:val="TextBody"/>
        <w:bidi w:val="0"/>
        <w:spacing w:before="120" w:after="0"/>
        <w:jc w:val="left"/>
        <w:rPr>
          <w:rFonts w:ascii="Times New Roman" w:hAnsi="Times New Roman"/>
          <w:b/>
          <w:sz w:val="20"/>
        </w:rPr>
      </w:pPr>
      <w:r>
        <w:rPr>
          <w:rFonts w:ascii="Times New Roman" w:hAnsi="Times New Roman"/>
          <w:b/>
          <w:sz w:val="20"/>
        </w:rPr>
        <w:t xml:space="preserve">Section 3.01. PAYMENT ON NOTES.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The Company will pay or cause to be paid all the principal of, the Fundamental Change Repurchase Price and Redemption Price for, interest on, and other amounts due with respect to, the Notes on the dates and in the manner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Deposit of Funds</w:t>
      </w:r>
      <w:r>
        <w:rPr>
          <w:rFonts w:ascii="Times New Roman" w:hAnsi="Times New Roman"/>
          <w:sz w:val="20"/>
        </w:rPr>
        <w:t xml:space="preserve">. Before 11:00 A.M., New York City time, on each Redemption Date, Fundamental Change Repurchase Date or Interest Payment Date,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3.02. EXCHANGE ACT REPORTS.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The Company will send to the Trustee copies of all reports that the Company is required to file with the SEC pursuant to Section 13(a) or 15(d) of the Exchange Act (other than Form 8-K reports) within fifteen (15) calendar days after the date that the Company is required to file the same (after giving effect to all applicable grace periods under the Exchange Act);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need not send to the Trustee any material for which the Company has received, or is seeking in good faith and has not been denied, confidential treatment by the SEC. Any such report that the Company files with the SEC through the EDGAR system (or any successor thereto) will be deemed to be sent to the Trustee at the time such report is so filed via the EDGAR system (or such successor). Upon the request of any Holder, the Trustee will provide to such Holder a copy of any report that the Company has sent the Trustee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3.02(A)</w:t>
      </w:r>
      <w:r>
        <w:rPr>
          <w:rFonts w:ascii="Times New Roman" w:hAnsi="Times New Roman"/>
          <w:sz w:val="20"/>
        </w:rPr>
        <w:t xml:space="preserve">, other than a report that is deemed to be sent to the Trustee pursuant to the preceding sentence. The Company will also comply with its other obligations under Section 314(a)(1)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The “grace periods” referred to in the preceding paragraph with respect to any report will include the maximum period afforded by Rule 12b-25 (or any successor rule thereto) under the Exchange Act regardless of whether the Company files, or indicates in the related Form 12b-25 (or any successor form thereto) that the Company expects to or will file, such report before the expiration of such maximum period. For the avoidance of doubt, if the Company fails to file with the SEC any report pursuant to Section 13(a) or 15(d) of the Exchange Act (other than Form 8-K reports) on or before the date that the Company is required to file the same (after giving effect to all applicable grace periods under the Exchange Act), then such failure will not constitute a Default with respect to the covenant set forth in this </w:t>
      </w:r>
      <w:r>
        <w:rPr>
          <w:rFonts w:ascii="Times New Roman" w:hAnsi="Times New Roman"/>
          <w:b/>
          <w:sz w:val="20"/>
        </w:rPr>
        <w:t>Section</w:t>
      </w:r>
      <w:r>
        <w:rPr>
          <w:rFonts w:ascii="Times New Roman" w:hAnsi="Times New Roman"/>
          <w:sz w:val="20"/>
        </w:rPr>
        <w:t> </w:t>
      </w:r>
      <w:r>
        <w:rPr>
          <w:rFonts w:ascii="Times New Roman" w:hAnsi="Times New Roman"/>
          <w:b/>
          <w:sz w:val="20"/>
        </w:rPr>
        <w:t>3.02(A)</w:t>
      </w:r>
      <w:r>
        <w:rPr>
          <w:rFonts w:ascii="Times New Roman" w:hAnsi="Times New Roman"/>
          <w:sz w:val="20"/>
        </w:rPr>
        <w:t xml:space="preserve"> at any time before the lapsing of the fifteen (15) calendar days referred to in the first sentence of this </w:t>
      </w:r>
      <w:r>
        <w:rPr>
          <w:rFonts w:ascii="Times New Roman" w:hAnsi="Times New Roman"/>
          <w:b/>
          <w:sz w:val="20"/>
        </w:rPr>
        <w:t>Section</w:t>
      </w:r>
      <w:r>
        <w:rPr>
          <w:rFonts w:ascii="Times New Roman" w:hAnsi="Times New Roman"/>
          <w:sz w:val="20"/>
        </w:rPr>
        <w:t> </w:t>
      </w:r>
      <w:r>
        <w:rPr>
          <w:rFonts w:ascii="Times New Roman" w:hAnsi="Times New Roman"/>
          <w:b/>
          <w:sz w:val="20"/>
        </w:rPr>
        <w:t>3.02(A)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Trustee’s Disclaimer</w:t>
      </w:r>
      <w:r>
        <w:rPr>
          <w:rFonts w:ascii="Times New Roman" w:hAnsi="Times New Roman"/>
          <w:sz w:val="20"/>
        </w:rPr>
        <w:t xml:space="preserve">. The Trustee need not determine whether the Company has filed any material via the EDGAR system (or such successor). The sending or filing of reports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3.02(A)</w:t>
      </w:r>
      <w:r>
        <w:rPr>
          <w:rFonts w:ascii="Times New Roman" w:hAnsi="Times New Roman"/>
          <w:sz w:val="20"/>
        </w:rPr>
        <w:t xml:space="preserve"> will not be deemed to constitute actual or constructive notice to the Trustee of any information contained, or determinable from information contained, therein, including the Company’s compliance with any of its covenants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3.03. COMPLIANCE AND DEFAULT CERTIFICATES.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Annual Compliance Certificate</w:t>
      </w:r>
      <w:r>
        <w:rPr>
          <w:rFonts w:ascii="Times New Roman" w:hAnsi="Times New Roman"/>
          <w:sz w:val="20"/>
        </w:rPr>
        <w:t xml:space="preserve">. Within ninety (90) days after the last day of each fiscal year of the Company, beginning with the first such fiscal year ending after the date of this Supplemental Indenture, the Company will deliver an Officer’s Certificate to the Trustee stating (i) that the signatory thereto has supervised a review of the activities of the Company and its Subsidiaries during such fiscal year with a view towards determining whether any Default has occurred; and (ii) whether, to such signatory’s knowledge, a Default has occurred and is continuing (and, if so, describing all such Defaults and what action the Company is taking or proposes to take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Default Certificate</w:t>
      </w:r>
      <w:r>
        <w:rPr>
          <w:rFonts w:ascii="Times New Roman" w:hAnsi="Times New Roman"/>
          <w:sz w:val="20"/>
        </w:rPr>
        <w:t xml:space="preserve">. If a Default occurs, then the Company will, within thirty (30) days after its first occurrence, deliver an Officer’s Certificate to the Trustee describing the same and what action the Company is taking or proposes to take with respect thereto;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not be required to deliver such Officer’s Certificate at any time after such Default is cured or waived.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3.04. STAY, EXTENSION AND USURY LAWS.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the Indenture; and (B) expressly waives all benefits or advantages of any such law and agrees that it will not, by resort to any such law, hinder, delay or impede the execution of any power granted to the Trustee by the Indenture, but will suffer and permit the execution of every such power as though no such law has been enacted.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3.05. ACQUISITION OF NOTES BY THE COMPANY AND ITS AFFILIATES. </w:t>
      </w:r>
    </w:p>
    <w:p>
      <w:pPr>
        <w:pStyle w:val="TextBody"/>
        <w:bidi w:val="0"/>
        <w:spacing w:before="120" w:after="0"/>
        <w:jc w:val="left"/>
        <w:rPr>
          <w:rFonts w:ascii="Times New Roman" w:hAnsi="Times New Roman"/>
          <w:sz w:val="20"/>
        </w:rPr>
      </w:pPr>
      <w:r>
        <w:rPr>
          <w:rFonts w:ascii="Times New Roman" w:hAnsi="Times New Roman"/>
          <w:sz w:val="20"/>
        </w:rPr>
        <w:t xml:space="preserve">Without limiting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Notes that the Company or any of its Subsidiaries have purchased or otherwise acquired will be deemed to remain outstanding (except to the extent provided in </w:t>
      </w:r>
      <w:r>
        <w:rPr>
          <w:rFonts w:ascii="Times New Roman" w:hAnsi="Times New Roman"/>
          <w:b/>
          <w:sz w:val="20"/>
        </w:rPr>
        <w:t>Section</w:t>
      </w:r>
      <w:r>
        <w:rPr>
          <w:rFonts w:ascii="Times New Roman" w:hAnsi="Times New Roman"/>
          <w:sz w:val="20"/>
        </w:rPr>
        <w:t> </w:t>
      </w:r>
      <w:r>
        <w:rPr>
          <w:rFonts w:ascii="Times New Roman" w:hAnsi="Times New Roman"/>
          <w:b/>
          <w:sz w:val="20"/>
        </w:rPr>
        <w:t>2.15</w:t>
      </w:r>
      <w:r>
        <w:rPr>
          <w:rFonts w:ascii="Times New Roman" w:hAnsi="Times New Roman"/>
          <w:sz w:val="20"/>
        </w:rPr>
        <w:t xml:space="preserve">) until such time as such Notes are delivered to the Trustee for cancellation.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REPURCHASE AND REDEMPTION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4.01. NO SINKING FUND. </w:t>
      </w:r>
    </w:p>
    <w:p>
      <w:pPr>
        <w:pStyle w:val="TextBody"/>
        <w:bidi w:val="0"/>
        <w:spacing w:before="120" w:after="0"/>
        <w:jc w:val="left"/>
        <w:rPr>
          <w:rFonts w:ascii="Times New Roman" w:hAnsi="Times New Roman"/>
          <w:sz w:val="20"/>
        </w:rPr>
      </w:pPr>
      <w:r>
        <w:rPr>
          <w:rFonts w:ascii="Times New Roman" w:hAnsi="Times New Roman"/>
          <w:sz w:val="20"/>
        </w:rPr>
        <w:t xml:space="preserve">No sinking fund is required to be provided for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4.02. RIGHT OF HOLDERS TO REQUIRE THE COMPANY TO REPURCHASE NOTES UPON A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Right of Holders to Require the Company to Repurchase Notes Upon a Fundamental Change</w:t>
      </w:r>
      <w:r>
        <w:rPr>
          <w:rFonts w:ascii="Times New Roman" w:hAnsi="Times New Roman"/>
          <w:sz w:val="20"/>
        </w:rPr>
        <w:t xml:space="preserve">. Subject to the other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if a Fundamental Change occurs, then each Holder will have the right (the “</w:t>
      </w:r>
      <w:r>
        <w:rPr>
          <w:rFonts w:ascii="Times New Roman" w:hAnsi="Times New Roman"/>
          <w:b/>
          <w:sz w:val="20"/>
        </w:rPr>
        <w:t>Fundamental Change Repurchase Right</w:t>
      </w:r>
      <w:r>
        <w:rPr>
          <w:rFonts w:ascii="Times New Roman" w:hAnsi="Times New Roman"/>
          <w:sz w:val="20"/>
        </w:rPr>
        <w:t xml:space="preserve">”) to require the Company to repurchase such Holder’s Notes (or any portion thereof in an Authorized Denomination) on the Fundamental Change Repurchase Date for such Fundamental Change for a cash purchase price equal to the Fundamental Change Repurchase Price.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Repurchase Prohibited in Certain Circumstances</w:t>
      </w:r>
      <w:r>
        <w:rPr>
          <w:rFonts w:ascii="Times New Roman" w:hAnsi="Times New Roman"/>
          <w:sz w:val="20"/>
        </w:rPr>
        <w:t xml:space="preserve">. If the principal amount of the Notes has been accelerated and such acceleration has not been rescinded on or before the Fundamental Change Repurchase Date for a Repurchase Upon Fundamental Change (including as a result of the payment of the related Fundamental Change Repurchase Price, and any related interest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on such Fundamental Change Repurchase Date), then (i) the Company may not repurchase any Notes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Fundamental Change Repurchase Date</w:t>
      </w:r>
      <w:r>
        <w:rPr>
          <w:rFonts w:ascii="Times New Roman" w:hAnsi="Times New Roman"/>
          <w:sz w:val="20"/>
        </w:rPr>
        <w:t xml:space="preserve">. The Fundamental Change Repurchase Date for any Fundamental Change will be a Business Day of the Company’s choosing that is no more than thirty five (35), nor less than twenty (20), Business Days after the date the Company sends the related Fundamental Change Notice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Fundamental Change Repurchase Price</w:t>
      </w:r>
      <w:r>
        <w:rPr>
          <w:rFonts w:ascii="Times New Roman" w:hAnsi="Times New Roman"/>
          <w:sz w:val="20"/>
        </w:rPr>
        <w:t xml:space="preserve">. The Fundamental Change Repurchase Price for any Note to be repurchased upon a Repurchase Upon Fundamental Change following a Fundamental Change is an amount in cash equal to the principal amount of such Note plus accrued and unpaid interest on such Note to, but excluding, the Fundamental Change Repurchase Date for such Fundamental Change;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 Interest Payment Date is not a Business Day within the meaning of </w:t>
      </w:r>
      <w:r>
        <w:rPr>
          <w:rFonts w:ascii="Times New Roman" w:hAnsi="Times New Roman"/>
          <w:b/>
          <w:sz w:val="20"/>
        </w:rPr>
        <w:t>Section</w:t>
      </w:r>
      <w:r>
        <w:rPr>
          <w:rFonts w:ascii="Times New Roman" w:hAnsi="Times New Roman"/>
          <w:sz w:val="20"/>
        </w:rPr>
        <w:t> </w:t>
      </w:r>
      <w:r>
        <w:rPr>
          <w:rFonts w:ascii="Times New Roman" w:hAnsi="Times New Roman"/>
          <w:b/>
          <w:sz w:val="20"/>
        </w:rPr>
        <w:t>2.05(C)</w:t>
      </w:r>
      <w:r>
        <w:rPr>
          <w:rFonts w:ascii="Times New Roman" w:hAnsi="Times New Roman"/>
          <w:sz w:val="20"/>
        </w:rPr>
        <w:t xml:space="preserve"> and such Fundamental Change Repurchase Date occurs on the Business Day immediately after such Interest Payment Date, then (x) accrued and unpaid interest on Notes to, but excluding, such Interest Payment Date will be paid,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2.05(C)</w:t>
      </w:r>
      <w:r>
        <w:rPr>
          <w:rFonts w:ascii="Times New Roman" w:hAnsi="Times New Roman"/>
          <w:sz w:val="20"/>
        </w:rPr>
        <w:t xml:space="preserve">, on the next Business Day to Holders as of the Close of Business on the immediately preceding Regular Record Date; and (y) the Fundamental Change Repurchase Price will include interest on Notes to be repurchased from, and including, such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Fundamental Change Notice</w:t>
      </w:r>
      <w:r>
        <w:rPr>
          <w:rFonts w:ascii="Times New Roman" w:hAnsi="Times New Roman"/>
          <w:sz w:val="20"/>
        </w:rPr>
        <w:t>. On or before the twentieth (20th) calendar day after the effective date of a Fundamental Change, the Company will send to each Holder, the Trustee, the Conversion Agent and the Paying Agent a notice of such Fundamental Change (a “</w:t>
      </w:r>
      <w:r>
        <w:rPr>
          <w:rFonts w:ascii="Times New Roman" w:hAnsi="Times New Roman"/>
          <w:b/>
          <w:sz w:val="20"/>
        </w:rPr>
        <w:t>Fundamental Change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Such Fundamental Change Notice must state: </w:t>
      </w:r>
    </w:p>
    <w:p>
      <w:pPr>
        <w:pStyle w:val="TextBody"/>
        <w:bidi w:val="0"/>
        <w:spacing w:before="120" w:after="0"/>
        <w:jc w:val="left"/>
        <w:rPr>
          <w:rFonts w:ascii="Times New Roman" w:hAnsi="Times New Roman"/>
          <w:sz w:val="20"/>
        </w:rPr>
      </w:pPr>
      <w:r>
        <w:rPr>
          <w:rFonts w:ascii="Times New Roman" w:hAnsi="Times New Roman"/>
          <w:sz w:val="20"/>
        </w:rPr>
        <w:t xml:space="preserve">(i) briefly, the events causing such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(ii) the effective date of such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(iii) the procedures that a Holder must follow to require the Company to repurchase its Notes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including the deadline for exercising the Fundamental Change Repurchase Right and the procedures for submitting and withdrawing a Fundamental Change Repurchase Notice; </w:t>
      </w:r>
    </w:p>
    <w:p>
      <w:pPr>
        <w:pStyle w:val="TextBody"/>
        <w:bidi w:val="0"/>
        <w:spacing w:before="120" w:after="0"/>
        <w:jc w:val="left"/>
        <w:rPr>
          <w:rFonts w:ascii="Times New Roman" w:hAnsi="Times New Roman"/>
          <w:sz w:val="20"/>
        </w:rPr>
      </w:pPr>
      <w:r>
        <w:rPr>
          <w:rFonts w:ascii="Times New Roman" w:hAnsi="Times New Roman"/>
          <w:sz w:val="20"/>
        </w:rPr>
        <w:t xml:space="preserve">(iv) the Fundamental Change Repurchase Date for such Fundamental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the name and address of the Paying Agent and the Conversion Agent; </w:t>
      </w:r>
    </w:p>
    <w:p>
      <w:pPr>
        <w:pStyle w:val="TextBody"/>
        <w:bidi w:val="0"/>
        <w:spacing w:before="120" w:after="0"/>
        <w:jc w:val="left"/>
        <w:rPr>
          <w:rFonts w:ascii="Times New Roman" w:hAnsi="Times New Roman"/>
          <w:sz w:val="20"/>
        </w:rPr>
      </w:pPr>
      <w:r>
        <w:rPr>
          <w:rFonts w:ascii="Times New Roman" w:hAnsi="Times New Roman"/>
          <w:sz w:val="20"/>
        </w:rPr>
        <w:t xml:space="preserve">(vii) the Conversion Rate in effect on the date of such Fundamental Change Notice and a description and quantification of any adjustments to the Conversion Rate that may result from such Fundamental Change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(viii) that Notes for which a Fundamental Change Repurchase Notice has been duly tendered and not duly withdrawn must be delivered to the Paying Agent for the Holder thereof to be entitled to receive the Fundamental Change Repurchase Price; </w:t>
      </w:r>
    </w:p>
    <w:p>
      <w:pPr>
        <w:pStyle w:val="TextBody"/>
        <w:bidi w:val="0"/>
        <w:spacing w:before="120" w:after="0"/>
        <w:jc w:val="left"/>
        <w:rPr>
          <w:rFonts w:ascii="Times New Roman" w:hAnsi="Times New Roman"/>
          <w:sz w:val="20"/>
        </w:rPr>
      </w:pPr>
      <w:r>
        <w:rPr>
          <w:rFonts w:ascii="Times New Roman" w:hAnsi="Times New Roman"/>
          <w:sz w:val="20"/>
        </w:rPr>
        <w:t xml:space="preserve">(ix) that Notes (or any portion thereof) that are subject to a Fundamental Change Repurchase Notice that has been duly tendered may be Converted only if such Fundamental Change Repurchase Notice is withdrawn in accordance with the Indenture; and </w:t>
      </w:r>
    </w:p>
    <w:p>
      <w:pPr>
        <w:pStyle w:val="TextBody"/>
        <w:bidi w:val="0"/>
        <w:spacing w:before="120" w:after="0"/>
        <w:jc w:val="left"/>
        <w:rPr>
          <w:rFonts w:ascii="Times New Roman" w:hAnsi="Times New Roman"/>
          <w:sz w:val="20"/>
        </w:rPr>
      </w:pPr>
      <w:r>
        <w:rPr>
          <w:rFonts w:ascii="Times New Roman" w:hAnsi="Times New Roman"/>
          <w:sz w:val="20"/>
        </w:rPr>
        <w:t xml:space="preserve">(x) the CUSIP and ISIN numbers, if any, of the Notes. </w:t>
      </w:r>
    </w:p>
    <w:p>
      <w:pPr>
        <w:pStyle w:val="TextBody"/>
        <w:bidi w:val="0"/>
        <w:spacing w:before="240" w:after="0"/>
        <w:jc w:val="left"/>
        <w:rPr>
          <w:rFonts w:ascii="Times New Roman" w:hAnsi="Times New Roman"/>
          <w:sz w:val="20"/>
        </w:rPr>
      </w:pPr>
      <w:r>
        <w:rPr>
          <w:rFonts w:ascii="Times New Roman" w:hAnsi="Times New Roman"/>
          <w:sz w:val="20"/>
        </w:rPr>
        <w:t xml:space="preserve">Neither the failure to deliver a Fundamental Change Notice nor any defect in a Fundamental Change Notice will limit the Fundamental Change Repurchase Right of any Holder or otherwise affect the validity of any proceedings relating to any Repurchase Upon Fundamental Change.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Procedures to Exercise the Fundamental Change Repurchase Right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Delivery of Fundamental Change Repurchase Notice and Notes to Be Repurchased</w:t>
      </w:r>
      <w:r>
        <w:rPr>
          <w:rFonts w:ascii="Times New Roman" w:hAnsi="Times New Roman"/>
          <w:sz w:val="20"/>
        </w:rPr>
        <w:t xml:space="preserve">. To exercise its Fundamental Change Repurchase Right for a Note following a Fundamental Change, the Holder thereof must deliver to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(1) before the Close of Business on the Business Day immediately before the related Fundamental Change Repurchase Date (or such later time as may be required by law), a duly completed, written Fundamental Change Repurchase Notice with respect to such Note; and </w:t>
      </w:r>
    </w:p>
    <w:p>
      <w:pPr>
        <w:pStyle w:val="TextBody"/>
        <w:bidi w:val="0"/>
        <w:spacing w:before="120" w:after="0"/>
        <w:jc w:val="left"/>
        <w:rPr>
          <w:rFonts w:ascii="Times New Roman" w:hAnsi="Times New Roman"/>
          <w:sz w:val="20"/>
        </w:rPr>
      </w:pPr>
      <w:r>
        <w:rPr>
          <w:rFonts w:ascii="Times New Roman" w:hAnsi="Times New Roman"/>
          <w:sz w:val="20"/>
        </w:rPr>
        <w:t xml:space="preserve">(2) such Note, duly endorsed for transfer (if such Note is a Physical Note) or by book-entry transfer (if such Note is a Global Note). </w:t>
      </w:r>
    </w:p>
    <w:p>
      <w:pPr>
        <w:pStyle w:val="TextBody"/>
        <w:bidi w:val="0"/>
        <w:spacing w:before="120" w:after="0"/>
        <w:jc w:val="left"/>
        <w:rPr>
          <w:rFonts w:ascii="Times New Roman" w:hAnsi="Times New Roman"/>
          <w:sz w:val="20"/>
        </w:rPr>
      </w:pPr>
      <w:r>
        <w:rPr>
          <w:rFonts w:ascii="Times New Roman" w:hAnsi="Times New Roman"/>
          <w:sz w:val="20"/>
        </w:rPr>
        <w:t xml:space="preserve">The Paying Agent will promptly deliver to the Company a copy of each Fundamental Change Repurchase Notice that it receives.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Contents of Fundamental Change Repurchase Notices</w:t>
      </w:r>
      <w:r>
        <w:rPr>
          <w:rFonts w:ascii="Times New Roman" w:hAnsi="Times New Roman"/>
          <w:sz w:val="20"/>
        </w:rPr>
        <w:t xml:space="preserve">. Each Fundamental Change Repurchase Notice with respect to a Note must state: </w:t>
      </w:r>
    </w:p>
    <w:p>
      <w:pPr>
        <w:pStyle w:val="TextBody"/>
        <w:bidi w:val="0"/>
        <w:spacing w:before="120" w:after="0"/>
        <w:jc w:val="left"/>
        <w:rPr>
          <w:rFonts w:ascii="Times New Roman" w:hAnsi="Times New Roman"/>
          <w:sz w:val="20"/>
        </w:rPr>
      </w:pPr>
      <w:r>
        <w:rPr>
          <w:rFonts w:ascii="Times New Roman" w:hAnsi="Times New Roman"/>
          <w:sz w:val="20"/>
        </w:rPr>
        <w:t xml:space="preserve">(1) if such Note is a Physical Note, the certificate number of such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principal amount of such Note to be repurchased, which must be an Authorized Denomination; and </w:t>
      </w:r>
    </w:p>
    <w:p>
      <w:pPr>
        <w:pStyle w:val="TextBody"/>
        <w:bidi w:val="0"/>
        <w:spacing w:before="120" w:after="0"/>
        <w:jc w:val="left"/>
        <w:rPr>
          <w:rFonts w:ascii="Times New Roman" w:hAnsi="Times New Roman"/>
          <w:sz w:val="20"/>
        </w:rPr>
      </w:pPr>
      <w:r>
        <w:rPr>
          <w:rFonts w:ascii="Times New Roman" w:hAnsi="Times New Roman"/>
          <w:sz w:val="20"/>
        </w:rPr>
        <w:t xml:space="preserve">(3) that such Holder is exercising its Fundamental Change Repurchase Right with respect to such principal amount of such Note;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Note is a Global Note, then such Fundamental Change Repurchase Notice must comply with the Depositary Procedures (and any such Fundamental Change Repurchase Notice delivered in compliance with the Depositary Procedures will be deemed to satisfy the requirements of this </w:t>
      </w:r>
      <w:r>
        <w:rPr>
          <w:rFonts w:ascii="Times New Roman" w:hAnsi="Times New Roman"/>
          <w:b/>
          <w:sz w:val="20"/>
        </w:rPr>
        <w:t>Section</w:t>
      </w:r>
      <w:r>
        <w:rPr>
          <w:rFonts w:ascii="Times New Roman" w:hAnsi="Times New Roman"/>
          <w:sz w:val="20"/>
        </w:rPr>
        <w:t> </w:t>
      </w:r>
      <w:r>
        <w:rPr>
          <w:rFonts w:ascii="Times New Roman" w:hAnsi="Times New Roman"/>
          <w:b/>
          <w:sz w:val="20"/>
        </w:rPr>
        <w:t>4.02(F)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Withdrawal of Fundamental Change Repurchase Notice</w:t>
      </w:r>
      <w:r>
        <w:rPr>
          <w:rFonts w:ascii="Times New Roman" w:hAnsi="Times New Roman"/>
          <w:sz w:val="20"/>
        </w:rPr>
        <w:t xml:space="preserve">. A Holder that has delivered a Fundamental Change Repurchase Notice 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 </w:t>
      </w:r>
    </w:p>
    <w:p>
      <w:pPr>
        <w:pStyle w:val="TextBody"/>
        <w:bidi w:val="0"/>
        <w:spacing w:before="120" w:after="0"/>
        <w:jc w:val="left"/>
        <w:rPr>
          <w:rFonts w:ascii="Times New Roman" w:hAnsi="Times New Roman"/>
          <w:sz w:val="20"/>
        </w:rPr>
      </w:pPr>
      <w:r>
        <w:rPr>
          <w:rFonts w:ascii="Times New Roman" w:hAnsi="Times New Roman"/>
          <w:sz w:val="20"/>
        </w:rPr>
        <w:t xml:space="preserve">(1) if such Note is a Physical Note, the certificate number of such Note; </w:t>
      </w:r>
    </w:p>
    <w:p>
      <w:pPr>
        <w:pStyle w:val="TextBody"/>
        <w:bidi w:val="0"/>
        <w:spacing w:before="120" w:after="0"/>
        <w:jc w:val="left"/>
        <w:rPr>
          <w:rFonts w:ascii="Times New Roman" w:hAnsi="Times New Roman"/>
          <w:sz w:val="20"/>
        </w:rPr>
      </w:pPr>
      <w:r>
        <w:rPr>
          <w:rFonts w:ascii="Times New Roman" w:hAnsi="Times New Roman"/>
          <w:sz w:val="20"/>
        </w:rPr>
        <w:t xml:space="preserve">(2) the principal amount of such Note to be withdrawn, which must be an Authorized Denomination; and </w:t>
      </w:r>
    </w:p>
    <w:p>
      <w:pPr>
        <w:pStyle w:val="TextBody"/>
        <w:bidi w:val="0"/>
        <w:spacing w:before="120" w:after="0"/>
        <w:jc w:val="left"/>
        <w:rPr>
          <w:rFonts w:ascii="Times New Roman" w:hAnsi="Times New Roman"/>
          <w:sz w:val="20"/>
        </w:rPr>
      </w:pPr>
      <w:r>
        <w:rPr>
          <w:rFonts w:ascii="Times New Roman" w:hAnsi="Times New Roman"/>
          <w:sz w:val="20"/>
        </w:rPr>
        <w:t xml:space="preserve">(3) the principal amount of such Note, if any, that remains subject to such Fundamental Change Repurchase Notice, which must be an Authorized Denomination;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Note is a Global Note, then such withdrawal notice must comply with the Depositary Procedures (and any such withdrawal notice delivered in compliance with the Depositary Procedures will be deemed to satisfy the requirements of this </w:t>
      </w:r>
      <w:r>
        <w:rPr>
          <w:rFonts w:ascii="Times New Roman" w:hAnsi="Times New Roman"/>
          <w:b/>
          <w:sz w:val="20"/>
        </w:rPr>
        <w:t>Section</w:t>
      </w:r>
      <w:r>
        <w:rPr>
          <w:rFonts w:ascii="Times New Roman" w:hAnsi="Times New Roman"/>
          <w:sz w:val="20"/>
        </w:rPr>
        <w:t> </w:t>
      </w:r>
      <w:r>
        <w:rPr>
          <w:rFonts w:ascii="Times New Roman" w:hAnsi="Times New Roman"/>
          <w:b/>
          <w:sz w:val="20"/>
        </w:rPr>
        <w:t>4.02(F)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2.11</w:t>
      </w:r>
      <w:r>
        <w:rPr>
          <w:rFonts w:ascii="Times New Roman" w:hAnsi="Times New Roman"/>
          <w:sz w:val="20"/>
        </w:rPr>
        <w:t xml:space="preserve">,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Payment of the Fundamental Change Repurchase Price</w:t>
      </w:r>
      <w:r>
        <w:rPr>
          <w:rFonts w:ascii="Times New Roman" w:hAnsi="Times New Roman"/>
          <w:sz w:val="20"/>
        </w:rPr>
        <w:t xml:space="preserve">. Without limiting the Company’s obligation to deposit the Fundamental Change Repurchase Price within the time prescribed by </w:t>
      </w:r>
      <w:r>
        <w:rPr>
          <w:rFonts w:ascii="Times New Roman" w:hAnsi="Times New Roman"/>
          <w:b/>
          <w:sz w:val="20"/>
        </w:rPr>
        <w:t>Section</w:t>
      </w:r>
      <w:r>
        <w:rPr>
          <w:rFonts w:ascii="Times New Roman" w:hAnsi="Times New Roman"/>
          <w:sz w:val="20"/>
        </w:rPr>
        <w:t> </w:t>
      </w:r>
      <w:r>
        <w:rPr>
          <w:rFonts w:ascii="Times New Roman" w:hAnsi="Times New Roman"/>
          <w:b/>
          <w:sz w:val="20"/>
        </w:rPr>
        <w:t>3.01(B)</w:t>
      </w:r>
      <w:r>
        <w:rPr>
          <w:rFonts w:ascii="Times New Roman" w:hAnsi="Times New Roman"/>
          <w:sz w:val="20"/>
        </w:rPr>
        <w:t xml:space="preserve">, the Company will cause the Fundamental Change Repurchase Price for a Note (or portion thereof) to be repurchased pursuant to a Repurchase Upon Fundamental Change to be paid to the Holder thereof on or before the later of (i) the applicable Fundamental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on any Note to be repurchased pursuant to a Repurchase Upon Fundamental Change must be paid pursuant to such proviso regardless of whether such Note is delivered or such Depositary Procedures are complied with pursuant to the first sentence of this </w:t>
      </w:r>
      <w:r>
        <w:rPr>
          <w:rFonts w:ascii="Times New Roman" w:hAnsi="Times New Roman"/>
          <w:b/>
          <w:sz w:val="20"/>
        </w:rPr>
        <w:t>Section</w:t>
      </w:r>
      <w:r>
        <w:rPr>
          <w:rFonts w:ascii="Times New Roman" w:hAnsi="Times New Roman"/>
          <w:sz w:val="20"/>
        </w:rPr>
        <w:t> </w:t>
      </w:r>
      <w:r>
        <w:rPr>
          <w:rFonts w:ascii="Times New Roman" w:hAnsi="Times New Roman"/>
          <w:b/>
          <w:sz w:val="20"/>
        </w:rPr>
        <w:t>4.02(G)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Third Party May Conduct Repurchase Offer In Lieu of the Company</w:t>
      </w:r>
      <w:r>
        <w:rPr>
          <w:rFonts w:ascii="Times New Roman" w:hAnsi="Times New Roman"/>
          <w:sz w:val="20"/>
        </w:rPr>
        <w:t xml:space="preserve">.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the Company will be deemed to satisfy its obligations under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if (i) one or more third parties conduct any Repurchase Upon Fundamental Change and related offer to repurchase Notes otherwise required by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in a manner that would have satisfied the requirements of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if conducted directly by the Company; and (ii) an owner of a beneficial interest in any Note repurchased by such third party or parties will not receive a lesser amount (as a result of withholding or other similar taxes) than such owner would have received had the Company repurchased such Note.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 Requirement to Conduct an Offer to Repurchase Notes if the Fundamental Change Results in the Notes Becoming Convertible into an Amount of Cash Exceeding the Fundamental Change Repurchase Price</w:t>
      </w:r>
      <w:r>
        <w:rPr>
          <w:rFonts w:ascii="Times New Roman" w:hAnsi="Times New Roman"/>
          <w:sz w:val="20"/>
        </w:rPr>
        <w:t xml:space="preserve">.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the Company will not be required to send a Fundamental Change Notice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4.02(E)</w:t>
      </w:r>
      <w:r>
        <w:rPr>
          <w:rFonts w:ascii="Times New Roman" w:hAnsi="Times New Roman"/>
          <w:sz w:val="20"/>
        </w:rPr>
        <w:t xml:space="preserve">, or offer to repurchase or repurchase any Notes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in connection with a Common Stock Change Event that constitutes a Fundamental Change pursuant to </w:t>
      </w:r>
      <w:r>
        <w:rPr>
          <w:rFonts w:ascii="Times New Roman" w:hAnsi="Times New Roman"/>
          <w:b/>
          <w:sz w:val="20"/>
        </w:rPr>
        <w:t>clause (B)(ii)</w:t>
      </w:r>
      <w:r>
        <w:rPr>
          <w:rFonts w:ascii="Times New Roman" w:hAnsi="Times New Roman"/>
          <w:sz w:val="20"/>
        </w:rPr>
        <w:t xml:space="preserve"> of the definition thereof (regardless of whether such Common Stock Change Event also constitutes a Fundamental Change pursuant to any other clause of such definition), if (i) the Reference Property of such Common Stock Change Event consists entirely of cash in U.S. dollars; (ii) immediately after such Fundamental Change, the Notes become Convertible,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5.09(A)</w:t>
      </w:r>
      <w:r>
        <w:rPr>
          <w:rFonts w:ascii="Times New Roman" w:hAnsi="Times New Roman"/>
          <w:sz w:val="20"/>
        </w:rPr>
        <w:t xml:space="preserve"> and, if applicable,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into consideration that consists solely of U.S. dollars in an amount per $1,000 aggregate principal amount of Notes that equals or exceeds the Fundamental Change Repurchase Price per $1,000 aggregate principal amount of Notes (calculated assuming that the same includes accrued and unpaid interest to, but excluding, the latest possible Fundamental Change Repurchase Date for such Fundamental Change); and (iii) the Company timely sends the notice relating to such Fundamental Change required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5.01(C)(i)(3)(b)</w:t>
      </w:r>
      <w:r>
        <w:rPr>
          <w:rFonts w:ascii="Times New Roman" w:hAnsi="Times New Roman"/>
          <w:sz w:val="20"/>
        </w:rPr>
        <w:t xml:space="preserve"> and includes, in such notice, a statement that the Company is relying on this </w:t>
      </w:r>
      <w:r>
        <w:rPr>
          <w:rFonts w:ascii="Times New Roman" w:hAnsi="Times New Roman"/>
          <w:b/>
          <w:sz w:val="20"/>
        </w:rPr>
        <w:t>Section</w:t>
      </w:r>
      <w:r>
        <w:rPr>
          <w:rFonts w:ascii="Times New Roman" w:hAnsi="Times New Roman"/>
          <w:sz w:val="20"/>
        </w:rPr>
        <w:t> </w:t>
      </w:r>
      <w:r>
        <w:rPr>
          <w:rFonts w:ascii="Times New Roman" w:hAnsi="Times New Roman"/>
          <w:b/>
          <w:sz w:val="20"/>
        </w:rPr>
        <w:t>4.02(I)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Compliance with Applicable Securities Laws</w:t>
      </w:r>
      <w:r>
        <w:rPr>
          <w:rFonts w:ascii="Times New Roman" w:hAnsi="Times New Roman"/>
          <w:sz w:val="20"/>
        </w:rPr>
        <w:t xml:space="preserve">. To the extent applicable, the Company will comply, in all material respects, with all federal 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the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extent that the Company’s obligations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conflict with any law or regulation that is applicable to the Company and enacted after the Issue Date, the Company’s compliance with such law or regulation will not be considered to be a Default of such obligations; rather, the Company will be deemed to be in compliance with those obligations if the Company complies with its obligation to repurchase Notes upon a Fundamental Change in accordance with the Indenture, modified as necessary by the Company in good faith to permit compliance with such law or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Repurchase in Part</w:t>
      </w:r>
      <w:r>
        <w:rPr>
          <w:rFonts w:ascii="Times New Roman" w:hAnsi="Times New Roman"/>
          <w:sz w:val="20"/>
        </w:rPr>
        <w:t xml:space="preserve">. Subject to the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Notes may be repurchased pursuant to a Repurchase Upon Fundamental Change in part, but only in Authorized Denominations.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applying to the repurchase of a Note in whole will equally apply to the repurchase of a permitted portion of a Note.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4.03. RIGHT OF THE COMPANY TO REDEEM THE NOTES.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Right to Redeem Before October</w:t>
      </w:r>
      <w:r>
        <w:rPr>
          <w:rFonts w:ascii="Times New Roman" w:hAnsi="Times New Roman"/>
          <w:sz w:val="20"/>
        </w:rPr>
        <w:t> </w:t>
      </w:r>
      <w:r>
        <w:rPr>
          <w:rFonts w:ascii="Times New Roman" w:hAnsi="Times New Roman"/>
          <w:i/>
          <w:sz w:val="20"/>
        </w:rPr>
        <w:t>22, 2029, Except Pursuant to a</w:t>
      </w:r>
      <w:r>
        <w:rPr>
          <w:rFonts w:ascii="Times New Roman" w:hAnsi="Times New Roman"/>
          <w:sz w:val="20"/>
        </w:rPr>
        <w:t xml:space="preserve"> </w:t>
      </w:r>
      <w:r>
        <w:rPr>
          <w:rFonts w:ascii="Times New Roman" w:hAnsi="Times New Roman"/>
          <w:i/>
          <w:sz w:val="20"/>
        </w:rPr>
        <w:t>Cleanup Redemption.</w:t>
      </w:r>
      <w:r>
        <w:rPr>
          <w:rFonts w:ascii="Times New Roman" w:hAnsi="Times New Roman"/>
          <w:sz w:val="20"/>
        </w:rPr>
        <w:t xml:space="preserve"> The Company may not redeem the Notes at its option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at any time before October 22, 2029, except pursuant to a Cleanup Redemption.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Right to Redeem the Notes on or After October</w:t>
      </w:r>
      <w:r>
        <w:rPr>
          <w:rFonts w:ascii="Times New Roman" w:hAnsi="Times New Roman"/>
          <w:sz w:val="20"/>
        </w:rPr>
        <w:t> </w:t>
      </w:r>
      <w:r>
        <w:rPr>
          <w:rFonts w:ascii="Times New Roman" w:hAnsi="Times New Roman"/>
          <w:i/>
          <w:sz w:val="20"/>
        </w:rPr>
        <w:t>22, 2029.</w:t>
      </w:r>
      <w:r>
        <w:rPr>
          <w:rFonts w:ascii="Times New Roman" w:hAnsi="Times New Roman"/>
          <w:sz w:val="20"/>
        </w:rPr>
        <w:t xml:space="preserve"> Subject to the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and without limiting the Company’s right to redeem any Notes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4.03(C)</w:t>
      </w:r>
      <w:r>
        <w:rPr>
          <w:rFonts w:ascii="Times New Roman" w:hAnsi="Times New Roman"/>
          <w:sz w:val="20"/>
        </w:rPr>
        <w:t xml:space="preserve">, the Company has the right, at its election, to redeem all, or any portion in an Authorized Denomination, of the Notes, at any time, and from time to time, on a Redemption Date on or after October 22, 2029 and on or before the twentieth (20th) Scheduled Trading Day immediately before the Maturity Date, for a cash purchase price equal to the Redemption Price, but only if the Last Reported Sale Price per share of Common Stock exceeds one hundred and thirty percent (130%) of the Conversion Price on (x) each of at least twenty (20) Trading Days (whether or not consecutive) during the thirty (30) consecutive Trading Days ending on, and including, the Trading Day immediately before the Redemption Notice Date for such Redemption; and (y) the Trading Day immediately before such Redemption Notice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not call less than all of the outstanding Notes for Redemption unless the excess of the principal amount of Notes outstanding as of the time the Company sends the related Redemption Notice over the aggregate principal amount of Notes set forth in such Redemption Notice as being subject to such Redemption is at least seventy-five million dollars ($75,000,000). For the avoidance of doubt, the calling of any Note for Redemption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4.03(B)</w:t>
      </w:r>
      <w:r>
        <w:rPr>
          <w:rFonts w:ascii="Times New Roman" w:hAnsi="Times New Roman"/>
          <w:sz w:val="20"/>
        </w:rPr>
        <w:t xml:space="preserve"> will constitute a Make-Whole Fundamental Change with respect to such Note pursuant to </w:t>
      </w:r>
      <w:r>
        <w:rPr>
          <w:rFonts w:ascii="Times New Roman" w:hAnsi="Times New Roman"/>
          <w:b/>
          <w:sz w:val="20"/>
        </w:rPr>
        <w:t>clause (B)</w:t>
      </w:r>
      <w:r>
        <w:rPr>
          <w:rFonts w:ascii="Times New Roman" w:hAnsi="Times New Roman"/>
          <w:sz w:val="20"/>
        </w:rPr>
        <w:t xml:space="preserve"> of the definition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Right to Redeem the Notes Pursuant to a Cleanup Redemption</w:t>
      </w:r>
      <w:r>
        <w:rPr>
          <w:rFonts w:ascii="Times New Roman" w:hAnsi="Times New Roman"/>
          <w:sz w:val="20"/>
        </w:rPr>
        <w:t xml:space="preserve">. Subject to the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and without limiting the Company’s right to redeem any Notes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4.03(B)</w:t>
      </w:r>
      <w:r>
        <w:rPr>
          <w:rFonts w:ascii="Times New Roman" w:hAnsi="Times New Roman"/>
          <w:sz w:val="20"/>
        </w:rPr>
        <w:t xml:space="preserve">, the Company has the right, at its election, to redeem all, but not less than all, of the Notes, at any time, for a cash purchase price equal to the Redemption Price, but only if the principal amount of the Notes outstanding at the time the Company sends the related Redemption Notice is less than ten percent (10%) of the aggregate principal amount of Notes issued pursuant to the Underwriting Agreement. For the avoidance of doubt, the calling of any Note for Redemption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4.03(C)</w:t>
      </w:r>
      <w:r>
        <w:rPr>
          <w:rFonts w:ascii="Times New Roman" w:hAnsi="Times New Roman"/>
          <w:sz w:val="20"/>
        </w:rPr>
        <w:t xml:space="preserve"> will constitute a Make-Whole Fundamental Change with respect to such Note pursuant to </w:t>
      </w:r>
      <w:r>
        <w:rPr>
          <w:rFonts w:ascii="Times New Roman" w:hAnsi="Times New Roman"/>
          <w:b/>
          <w:sz w:val="20"/>
        </w:rPr>
        <w:t>clause (B)</w:t>
      </w:r>
      <w:r>
        <w:rPr>
          <w:rFonts w:ascii="Times New Roman" w:hAnsi="Times New Roman"/>
          <w:sz w:val="20"/>
        </w:rPr>
        <w:t xml:space="preserve"> of the definition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Redemption Prohibited in Certain Circumstances</w:t>
      </w:r>
      <w:r>
        <w:rPr>
          <w:rFonts w:ascii="Times New Roman" w:hAnsi="Times New Roman"/>
          <w:sz w:val="20"/>
        </w:rPr>
        <w:t xml:space="preserve">. If the principal amount of the Notes has been accelerated and such acceleration has not been rescinded on or before the Redemption Date (including as a result of the payment of the related Redemption Price, and any related interest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4.03(F)</w:t>
      </w:r>
      <w:r>
        <w:rPr>
          <w:rFonts w:ascii="Times New Roman" w:hAnsi="Times New Roman"/>
          <w:sz w:val="20"/>
        </w:rPr>
        <w:t xml:space="preserve">, on such Redemption Date), then (i) the Company may not call for Redemption or otherwise redeem any Notes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Redemption Date</w:t>
      </w:r>
      <w:r>
        <w:rPr>
          <w:rFonts w:ascii="Times New Roman" w:hAnsi="Times New Roman"/>
          <w:sz w:val="20"/>
        </w:rPr>
        <w:t xml:space="preserve">. The Redemption Date for any Redemption will be a Business Day of the Company’s choosing that is no more than forty-five (45), nor less than twenty-five (25), Scheduled Trading Days after the Redemption Notice Date for such Redemption;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5.03(A)(i)(3)</w:t>
      </w:r>
      <w:r>
        <w:rPr>
          <w:rFonts w:ascii="Times New Roman" w:hAnsi="Times New Roman"/>
          <w:sz w:val="20"/>
        </w:rPr>
        <w:t xml:space="preserve">, the Company has elected to settle all Conversions of Notes called for Redemption with a Conversion Date that occurs on or after such Redemption Notice Date and on or before the second (2nd) Business Day immediately before the Redemption Date by Physical Settlement, then the Company may instead elect to choose a Redemption Date that is a Business Day no more than sixty (60), nor less than ten (10), calendar days after such Redemption Notice Date.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Redemption Price</w:t>
      </w:r>
      <w:r>
        <w:rPr>
          <w:rFonts w:ascii="Times New Roman" w:hAnsi="Times New Roman"/>
          <w:sz w:val="20"/>
        </w:rPr>
        <w:t xml:space="preserve">. The Redemption Price for any Note called for Redemption is an amount in cash equal to the principal amount of such Note plus accrued and unpaid interest on such Note to, but excluding, the Redemption Date for such Redemption;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Redemption Date is after a Regular Record Date and on or before the next Interest Payment Date, then (i) the Holder of such Note at the Close of Business on such Regular Record Date will be entitled, notwithstanding such Redemption,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Redemption Date is before such Interest Payment Date); and (ii) the Redemption Price will not include accrued and unpaid interest on such Note to, but excluding, such Redemption Date. For the avoidance of doubt, if an Interest Payment Date is not a Business Day within the meaning of </w:t>
      </w:r>
      <w:r>
        <w:rPr>
          <w:rFonts w:ascii="Times New Roman" w:hAnsi="Times New Roman"/>
          <w:b/>
          <w:sz w:val="20"/>
        </w:rPr>
        <w:t>Section</w:t>
      </w:r>
      <w:r>
        <w:rPr>
          <w:rFonts w:ascii="Times New Roman" w:hAnsi="Times New Roman"/>
          <w:sz w:val="20"/>
        </w:rPr>
        <w:t> </w:t>
      </w:r>
      <w:r>
        <w:rPr>
          <w:rFonts w:ascii="Times New Roman" w:hAnsi="Times New Roman"/>
          <w:b/>
          <w:sz w:val="20"/>
        </w:rPr>
        <w:t>2.05(C)</w:t>
      </w:r>
      <w:r>
        <w:rPr>
          <w:rFonts w:ascii="Times New Roman" w:hAnsi="Times New Roman"/>
          <w:sz w:val="20"/>
        </w:rPr>
        <w:t xml:space="preserve"> and such Redemption Date occurs on the Business Day immediately after such Interest Payment Date, then (x) accrued and unpaid interest on Notes to, but excluding, such Interest Payment Date will be paid,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2.05(C)</w:t>
      </w:r>
      <w:r>
        <w:rPr>
          <w:rFonts w:ascii="Times New Roman" w:hAnsi="Times New Roman"/>
          <w:sz w:val="20"/>
        </w:rPr>
        <w:t xml:space="preserve">, on the next Business Day to Holders as of the Close of Business on the immediately preceding Regular Record Date; and (y) the Redemption Price will include interest on Notes to be redeemed from, and including, such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Redemption Notice</w:t>
      </w:r>
      <w:r>
        <w:rPr>
          <w:rFonts w:ascii="Times New Roman" w:hAnsi="Times New Roman"/>
          <w:sz w:val="20"/>
        </w:rPr>
        <w:t>. To call any Notes for Redemption, the Company must send to each Holder of such Notes a written notice of such Redemption (a “</w:t>
      </w:r>
      <w:r>
        <w:rPr>
          <w:rFonts w:ascii="Times New Roman" w:hAnsi="Times New Roman"/>
          <w:b/>
          <w:sz w:val="20"/>
        </w:rPr>
        <w:t>Redemption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Such Redemption Notice must state: </w:t>
      </w:r>
    </w:p>
    <w:p>
      <w:pPr>
        <w:pStyle w:val="TextBody"/>
        <w:bidi w:val="0"/>
        <w:spacing w:before="120" w:after="0"/>
        <w:jc w:val="left"/>
        <w:rPr>
          <w:rFonts w:ascii="Times New Roman" w:hAnsi="Times New Roman"/>
          <w:sz w:val="20"/>
        </w:rPr>
      </w:pPr>
      <w:r>
        <w:rPr>
          <w:rFonts w:ascii="Times New Roman" w:hAnsi="Times New Roman"/>
          <w:sz w:val="20"/>
        </w:rPr>
        <w:t xml:space="preserve">(i) that such Notes have been called for Redemption, briefly describing the Company’s Redemption right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(ii) the Redemption Date for such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Redemption Price per $1,000 principal amount of Notes for such Redemption (and, if the Redemption Date is after a Regular Record Date and on or before the next Interest Payment Date, the amount, manner and timing of the interest payment payable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4.03(F)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name and address of the Paying Agent and the Conversion Agent; </w:t>
      </w:r>
    </w:p>
    <w:p>
      <w:pPr>
        <w:pStyle w:val="TextBody"/>
        <w:bidi w:val="0"/>
        <w:spacing w:before="120" w:after="0"/>
        <w:jc w:val="left"/>
        <w:rPr>
          <w:rFonts w:ascii="Times New Roman" w:hAnsi="Times New Roman"/>
          <w:sz w:val="20"/>
        </w:rPr>
      </w:pPr>
      <w:r>
        <w:rPr>
          <w:rFonts w:ascii="Times New Roman" w:hAnsi="Times New Roman"/>
          <w:sz w:val="20"/>
        </w:rPr>
        <w:t xml:space="preserve">(v) that Notes called for Redemption may be Converted at any time before the Close of Business on the second (2nd) Business Day immediately before the Redemption Date (or, if the Company fails to pay the Redemption Price due on such Redemption Date in full, at any time until such time as the Company pays such Redemption Price in full); </w:t>
      </w:r>
    </w:p>
    <w:p>
      <w:pPr>
        <w:pStyle w:val="TextBody"/>
        <w:bidi w:val="0"/>
        <w:spacing w:before="120" w:after="0"/>
        <w:jc w:val="left"/>
        <w:rPr>
          <w:rFonts w:ascii="Times New Roman" w:hAnsi="Times New Roman"/>
          <w:sz w:val="20"/>
        </w:rPr>
      </w:pPr>
      <w:r>
        <w:rPr>
          <w:rFonts w:ascii="Times New Roman" w:hAnsi="Times New Roman"/>
          <w:sz w:val="20"/>
        </w:rPr>
        <w:t xml:space="preserve">(vi) the Conversion Rate in effect on the Redemption Notice Date for such Redemption and a description and quantification of any adjustments to the Conversion Rate that may result from such Redemption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the Settlement Method that will apply to all Conversions of Notes with a Conversion Date that occurs on or after such Redemption Notice Date and on or before the second (2nd) Business Day before such Redemption Date; and </w:t>
      </w:r>
    </w:p>
    <w:p>
      <w:pPr>
        <w:pStyle w:val="TextBody"/>
        <w:bidi w:val="0"/>
        <w:spacing w:before="120" w:after="0"/>
        <w:jc w:val="left"/>
        <w:rPr>
          <w:rFonts w:ascii="Times New Roman" w:hAnsi="Times New Roman"/>
          <w:sz w:val="20"/>
        </w:rPr>
      </w:pPr>
      <w:r>
        <w:rPr>
          <w:rFonts w:ascii="Times New Roman" w:hAnsi="Times New Roman"/>
          <w:sz w:val="20"/>
        </w:rPr>
        <w:t xml:space="preserve">(viii) the CUSIP and ISIN numbers, if any, of the Notes. </w:t>
      </w:r>
    </w:p>
    <w:p>
      <w:pPr>
        <w:pStyle w:val="TextBody"/>
        <w:bidi w:val="0"/>
        <w:spacing w:before="240" w:after="0"/>
        <w:jc w:val="left"/>
        <w:rPr>
          <w:rFonts w:ascii="Times New Roman" w:hAnsi="Times New Roman"/>
          <w:sz w:val="20"/>
        </w:rPr>
      </w:pPr>
      <w:r>
        <w:rPr>
          <w:rFonts w:ascii="Times New Roman" w:hAnsi="Times New Roman"/>
          <w:sz w:val="20"/>
        </w:rPr>
        <w:t xml:space="preserve">On or before the Redemption Notice Date, the Company will send a copy of such Redemption Notice to the Trustee, the Conversion Agent and the Paying Agent.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Selection and Conversion of Notes to Be Redeemed in Part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less than all Notes then outstanding are called for Redemption, then the Notes to be redeemed will be selected by the Company as follows: (1) in the case of Global Notes, in accordance with the Depositary Procedures; and (2) in the case of Physical Notes, pro rata, by lot or by such other method the Company considers fair and appropriate. </w:t>
      </w:r>
    </w:p>
    <w:p>
      <w:pPr>
        <w:pStyle w:val="TextBody"/>
        <w:bidi w:val="0"/>
        <w:spacing w:before="120" w:after="0"/>
        <w:jc w:val="left"/>
        <w:rPr>
          <w:rFonts w:ascii="Times New Roman" w:hAnsi="Times New Roman"/>
          <w:sz w:val="20"/>
        </w:rPr>
      </w:pPr>
      <w:r>
        <w:rPr>
          <w:rFonts w:ascii="Times New Roman" w:hAnsi="Times New Roman"/>
          <w:sz w:val="20"/>
        </w:rPr>
        <w:t xml:space="preserve">(ii) If only a portion of a Note is subject to Redemption and such Note is Converted in part, then the Converted portion of such Note will be deemed to be from the portion of such Note that was subject to Redemption, subject to, in the case of any Global Note, the Depositary Procedures.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Payment of the Redemption Price</w:t>
      </w:r>
      <w:r>
        <w:rPr>
          <w:rFonts w:ascii="Times New Roman" w:hAnsi="Times New Roman"/>
          <w:sz w:val="20"/>
        </w:rPr>
        <w:t xml:space="preserve">. Without limiting the Company’s obligation to deposit the Redemption Price by the time prescribed by </w:t>
      </w:r>
      <w:r>
        <w:rPr>
          <w:rFonts w:ascii="Times New Roman" w:hAnsi="Times New Roman"/>
          <w:b/>
          <w:sz w:val="20"/>
        </w:rPr>
        <w:t>Section</w:t>
      </w:r>
      <w:r>
        <w:rPr>
          <w:rFonts w:ascii="Times New Roman" w:hAnsi="Times New Roman"/>
          <w:sz w:val="20"/>
        </w:rPr>
        <w:t> </w:t>
      </w:r>
      <w:r>
        <w:rPr>
          <w:rFonts w:ascii="Times New Roman" w:hAnsi="Times New Roman"/>
          <w:b/>
          <w:sz w:val="20"/>
        </w:rPr>
        <w:t>3.01(B)</w:t>
      </w:r>
      <w:r>
        <w:rPr>
          <w:rFonts w:ascii="Times New Roman" w:hAnsi="Times New Roman"/>
          <w:sz w:val="20"/>
        </w:rPr>
        <w:t xml:space="preserve">, the Company will cause the Redemption Price for a Note (or portion thereof) subject to Redemption to be paid to the Holder thereof on or before the applicable Redemption Date. For the avoidance of doubt, interest payable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4.03(F)</w:t>
      </w:r>
      <w:r>
        <w:rPr>
          <w:rFonts w:ascii="Times New Roman" w:hAnsi="Times New Roman"/>
          <w:sz w:val="20"/>
        </w:rPr>
        <w:t xml:space="preserve"> on any Note (or portion thereof) subject to Redemption must be paid pursuant to such proviso.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Special Provisions for Partial Calls</w:t>
      </w:r>
      <w:r>
        <w:rPr>
          <w:rFonts w:ascii="Times New Roman" w:hAnsi="Times New Roman"/>
          <w:sz w:val="20"/>
        </w:rPr>
        <w:t xml:space="preserve">. If the Company elects to redeem less than all of the outstanding Notes pursuant to a Provisional Redemption, and the Holder of any Note, or any owner of a beneficial interest in any Global Note, is reasonably not able to determine, before the Close of Business on the twenty-second (22nd) Scheduled Trading Day (or, if,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5.03(A)(i)(3)</w:t>
      </w:r>
      <w:r>
        <w:rPr>
          <w:rFonts w:ascii="Times New Roman" w:hAnsi="Times New Roman"/>
          <w:sz w:val="20"/>
        </w:rPr>
        <w:t xml:space="preserve">, the Company has elected to settle all Conversions of Notes with a Conversion Date that occurs on or after the Redemption Notice Date for such Redemption and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before the second (2nd) Business Day immediately before the Redemption Date by Physical Settlement, the tenth (10th) calendar day) immediately before the Redemption Date for such Redemption, whether such Note or beneficial interest, as applicable, is to be redeemed pursuant to such Redemption, then such Holder or owner, as applicable, will be entitled to Convert such Note or beneficial interest, as applicable, at any time before the Close of Business on the second (2nd) Business Day immediately before such Redemption Date, and each such Conversion will be deemed to be of a Note called for such Redemption 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and </w:t>
      </w:r>
      <w:r>
        <w:rPr>
          <w:rFonts w:ascii="Times New Roman" w:hAnsi="Times New Roman"/>
          <w:b/>
          <w:sz w:val="20"/>
        </w:rPr>
        <w:t>Sections</w:t>
      </w:r>
      <w:r>
        <w:rPr>
          <w:rFonts w:ascii="Times New Roman" w:hAnsi="Times New Roman"/>
          <w:sz w:val="20"/>
        </w:rPr>
        <w:t xml:space="preserve"> </w:t>
      </w:r>
      <w:r>
        <w:rPr>
          <w:rFonts w:ascii="Times New Roman" w:hAnsi="Times New Roman"/>
          <w:b/>
          <w:sz w:val="20"/>
        </w:rPr>
        <w:t>5.01(C)(i)(4)</w:t>
      </w:r>
      <w:r>
        <w:rPr>
          <w:rFonts w:ascii="Times New Roman" w:hAnsi="Times New Roman"/>
          <w:sz w:val="20"/>
        </w:rPr>
        <w:t xml:space="preserve"> and </w:t>
      </w:r>
      <w:r>
        <w:rPr>
          <w:rFonts w:ascii="Times New Roman" w:hAnsi="Times New Roman"/>
          <w:b/>
          <w:sz w:val="20"/>
        </w:rPr>
        <w:t>5.07</w:t>
      </w:r>
      <w:r>
        <w:rPr>
          <w:rFonts w:ascii="Times New Roman" w:hAnsi="Times New Roman"/>
          <w:sz w:val="20"/>
        </w:rPr>
        <w:t xml:space="preserve">. For the avoidance of doubt, each reference in the Indenture or the Notes to (x) any Note that is called for Redemption (or similar language) includes any Note that is deemed to be called for Redemption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4.03(J)</w:t>
      </w:r>
      <w:r>
        <w:rPr>
          <w:rFonts w:ascii="Times New Roman" w:hAnsi="Times New Roman"/>
          <w:sz w:val="20"/>
        </w:rPr>
        <w:t xml:space="preserve">; and (y) any Note that is not called for Redemption (or similar language) excludes any Note that is deemed to be called for Redemption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4.03(J)</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Repurchases or Other Acquisitions Other Than by Redemption Not Affected</w:t>
      </w:r>
      <w:r>
        <w:rPr>
          <w:rFonts w:ascii="Times New Roman" w:hAnsi="Times New Roman"/>
          <w:sz w:val="20"/>
        </w:rPr>
        <w:t xml:space="preserve">. For the avoidance of doubt, nothing in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will limit or otherwise apply to any repurchase or other acquisition, by the Company or its Affiliates, or any other Person, of any Notes not by Redemption (including in open market transactions, negotiated transactions or otherwise).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THE CONVERSION OF NOTES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5.01. RIGHT TO CONVERT.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Subject to the provisions of this </w:t>
      </w:r>
      <w:r>
        <w:rPr>
          <w:rFonts w:ascii="Times New Roman" w:hAnsi="Times New Roman"/>
          <w:b/>
          <w:sz w:val="20"/>
        </w:rPr>
        <w:t>Article 5</w:t>
      </w:r>
      <w:r>
        <w:rPr>
          <w:rFonts w:ascii="Times New Roman" w:hAnsi="Times New Roman"/>
          <w:sz w:val="20"/>
        </w:rPr>
        <w:t xml:space="preserve">, each Holder may, at its option, Convert such Holder’s Notes into Conversion Consideration.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Conversions in Part</w:t>
      </w:r>
      <w:r>
        <w:rPr>
          <w:rFonts w:ascii="Times New Roman" w:hAnsi="Times New Roman"/>
          <w:sz w:val="20"/>
        </w:rPr>
        <w:t xml:space="preserve">. Subject to the terms of the Indenture, Notes may be Converted in part, but only in Authorized Denominations. Provisions of this </w:t>
      </w:r>
      <w:r>
        <w:rPr>
          <w:rFonts w:ascii="Times New Roman" w:hAnsi="Times New Roman"/>
          <w:b/>
          <w:sz w:val="20"/>
        </w:rPr>
        <w:t>Article 5</w:t>
      </w:r>
      <w:r>
        <w:rPr>
          <w:rFonts w:ascii="Times New Roman" w:hAnsi="Times New Roman"/>
          <w:sz w:val="20"/>
        </w:rPr>
        <w:t xml:space="preserve"> applying to the Conversion of a Note in whole will equally apply to Conversions of a permitted portion of a Note.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When Notes May Be Converted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Generally</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5.01(C)(ii)</w:t>
      </w:r>
      <w:r>
        <w:rPr>
          <w:rFonts w:ascii="Times New Roman" w:hAnsi="Times New Roman"/>
          <w:sz w:val="20"/>
        </w:rPr>
        <w:t xml:space="preserve">, a Note may be Converted only in the following circumstances: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Conversion Upon Satisfaction of Common Stock Sale Price Condition</w:t>
      </w:r>
      <w:r>
        <w:rPr>
          <w:rFonts w:ascii="Times New Roman" w:hAnsi="Times New Roman"/>
          <w:sz w:val="20"/>
        </w:rPr>
        <w:t xml:space="preserve">. A Holder may Convert its Notes at any time during the thirty (30) consecutive Trading Days immediately after the period consisting of the first twenty (20) Trading Days of any calendar quarter commencing after the calendar quarter ending on December 31, 2026, if the Last Reported Sale Price per share of Common Stock exceeds one hundred and thirty percent (130%) of the Conversion Price for each of at least five (5) Trading Days (whether or not consecutive) during such twenty (20) Trading Day period.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Conversion Upon Satisfaction of Note Trading Price Condition</w:t>
      </w:r>
      <w:r>
        <w:rPr>
          <w:rFonts w:ascii="Times New Roman" w:hAnsi="Times New Roman"/>
          <w:sz w:val="20"/>
        </w:rPr>
        <w:t>. A Holder may Convert its Notes during the five (5) consecutive Business Days immediately after any ten (10) consecutive Trading Day period (such ten (10) consecutive Trading Day period, the “</w:t>
      </w:r>
      <w:r>
        <w:rPr>
          <w:rFonts w:ascii="Times New Roman" w:hAnsi="Times New Roman"/>
          <w:b/>
          <w:sz w:val="20"/>
        </w:rPr>
        <w:t>Measurement Period</w:t>
      </w:r>
      <w:r>
        <w:rPr>
          <w:rFonts w:ascii="Times New Roman" w:hAnsi="Times New Roman"/>
          <w:sz w:val="20"/>
        </w:rPr>
        <w:t xml:space="preserve">”) if the Trading Price per $1,000 principal amount of Notes, as determined following a request by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Holder in accordance with the procedures set forth below, for each Trading Day of the Measurement Period was less than ninety eight percent (98%) of the product of the Last Reported Sale Price per share of Common Stock on such Trading Day and the Conversion Rate on such Trading Day. The condition set forth in the preceding sentence is referred to in the Indenture as the “</w:t>
      </w:r>
      <w:r>
        <w:rPr>
          <w:rFonts w:ascii="Times New Roman" w:hAnsi="Times New Roman"/>
          <w:b/>
          <w:sz w:val="20"/>
        </w:rPr>
        <w:t>Trading Price Condition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will be determined by the Bid Solicitation Agent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5.01(C)(i)(2)</w:t>
      </w:r>
      <w:r>
        <w:rPr>
          <w:rFonts w:ascii="Times New Roman" w:hAnsi="Times New Roman"/>
          <w:sz w:val="20"/>
        </w:rPr>
        <w:t xml:space="preserve">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(or Holders) of at least five million dollars ($5,000,000) of Notes in aggregate principal amount provides the Company with reasonable evidence that the Trading Price per $1,000 principal amount of Notes would be less than ninety eight percent (98%) of the product of the Last Reported Sale Price per share of Common Stock and the Conversion Rate. If a Holder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share of Common Stock on such Trading Day and the Conversion Rate on such Trading Day. If the Trading Price Condition has been met as set forth above, then the Company will notify the Holders, the Trustee and the Conversion Agent of the same. If, on any Trading Day after the Trading Price Condition has been met as set forth above, the Trading Price per $1,000 principal amount of Notes is greater than or equal to ninety eight percent (98%) of the product of the Last Reported Sale Price per share of Common Stock on such Trading Day and the Conversion Rate on such Trading Day, then the Company will notify the Holders, the Trustee and the Conversion Agent of the same.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Conversion Upon Specified Corporate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Certain Distributions</w:t>
      </w:r>
      <w:r>
        <w:rPr>
          <w:rFonts w:ascii="Times New Roman" w:hAnsi="Times New Roman"/>
          <w:sz w:val="20"/>
        </w:rPr>
        <w:t xml:space="preserve">. If, before July 15, 2032, the Company elects to: </w:t>
      </w:r>
    </w:p>
    <w:p>
      <w:pPr>
        <w:pStyle w:val="TextBody"/>
        <w:bidi w:val="0"/>
        <w:spacing w:before="120" w:after="0"/>
        <w:jc w:val="left"/>
        <w:rPr>
          <w:rFonts w:ascii="Times New Roman" w:hAnsi="Times New Roman"/>
          <w:sz w:val="20"/>
        </w:rPr>
      </w:pPr>
      <w:r>
        <w:rPr>
          <w:rFonts w:ascii="Times New Roman" w:hAnsi="Times New Roman"/>
          <w:sz w:val="20"/>
        </w:rPr>
        <w:t xml:space="preserve">(I) distribute, to all or substantially all holders of Common Stock, any rights, options or warrants (other than rights issued pursuant to a stockholder rights plan, so long as such rights have not separated from the Common Stock and are not exercisable until the occurrence of a triggering event, except that such rights will be deemed to be distributed under this </w:t>
      </w:r>
      <w:r>
        <w:rPr>
          <w:rFonts w:ascii="Times New Roman" w:hAnsi="Times New Roman"/>
          <w:b/>
          <w:sz w:val="20"/>
        </w:rPr>
        <w:t>clause (I)</w:t>
      </w:r>
      <w:r>
        <w:rPr>
          <w:rFonts w:ascii="Times New Roman" w:hAnsi="Times New Roman"/>
          <w:sz w:val="20"/>
        </w:rPr>
        <w:t xml:space="preserve"> upon their separation from the Common Stock or upon the occurrence of such triggering event) entitling them, for a period of not more than sixty (60) calendar days after the date such distribution is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(determined in the manner set forth in the third paragraph of </w:t>
      </w:r>
      <w:r>
        <w:rPr>
          <w:rFonts w:ascii="Times New Roman" w:hAnsi="Times New Roman"/>
          <w:b/>
          <w:sz w:val="20"/>
        </w:rPr>
        <w:t>Section</w:t>
      </w:r>
      <w:r>
        <w:rPr>
          <w:rFonts w:ascii="Times New Roman" w:hAnsi="Times New Roman"/>
          <w:sz w:val="20"/>
        </w:rPr>
        <w:t> </w:t>
      </w:r>
      <w:r>
        <w:rPr>
          <w:rFonts w:ascii="Times New Roman" w:hAnsi="Times New Roman"/>
          <w:b/>
          <w:sz w:val="20"/>
        </w:rPr>
        <w:t>5.05(A)(ii)</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distribute, to all or substantially all holders of Common Stock, assets or securities of the Company or rights to purchase the Company’s securities, which distribution per share of Common Stock has a value, as reasonably determined by the Company in good faith and in a commercially reasonable manner, exceeding ten percent (10%) of the Last Reported Sale Price per share of Common Stock on the Trading Day immediately before the date such distribution is announced, </w:t>
      </w:r>
    </w:p>
    <w:p>
      <w:pPr>
        <w:pStyle w:val="TextBody"/>
        <w:bidi w:val="0"/>
        <w:spacing w:before="120" w:after="0"/>
        <w:jc w:val="left"/>
        <w:rPr>
          <w:rFonts w:ascii="Times New Roman" w:hAnsi="Times New Roman"/>
          <w:sz w:val="20"/>
        </w:rPr>
      </w:pPr>
      <w:r>
        <w:rPr>
          <w:rFonts w:ascii="Times New Roman" w:hAnsi="Times New Roman"/>
          <w:sz w:val="20"/>
        </w:rPr>
        <w:t xml:space="preserve">then, in either case, (x) the Company will send notice of such distribution, and of the related right to Convert Notes, to Holders, the Trustee and the Conversion Agent at least twenty-five (25) Scheduled Trading Days before the Ex-Dividend Date for such distribution (or, if later in the case of any such separation of rights issued pursuant to a stockholder rights plan or the occurrence of any such triggering event under a stockholder rights plan, as soon as reasonably practicable after the Company becomes aware that such separation or triggering event has occurred or will occur); and (y) once the Company has sent such notice, Holders may Convert their Notes at any time until the earlier of the Close of Business on the Business Day immediately before such Ex-Dividend Date and the Company’s announcement that such distribution will not take place;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Notes will not become Convertible pursuant to </w:t>
      </w:r>
      <w:r>
        <w:rPr>
          <w:rFonts w:ascii="Times New Roman" w:hAnsi="Times New Roman"/>
          <w:b/>
          <w:sz w:val="20"/>
        </w:rPr>
        <w:t>clause (y)</w:t>
      </w:r>
      <w:r>
        <w:rPr>
          <w:rFonts w:ascii="Times New Roman" w:hAnsi="Times New Roman"/>
          <w:sz w:val="20"/>
        </w:rPr>
        <w:t xml:space="preserve"> above (but the Company will be required to send notice of such distribution pursuant to </w:t>
      </w:r>
      <w:r>
        <w:rPr>
          <w:rFonts w:ascii="Times New Roman" w:hAnsi="Times New Roman"/>
          <w:b/>
          <w:sz w:val="20"/>
        </w:rPr>
        <w:t>clause (x)</w:t>
      </w:r>
      <w:r>
        <w:rPr>
          <w:rFonts w:ascii="Times New Roman" w:hAnsi="Times New Roman"/>
          <w:sz w:val="20"/>
        </w:rPr>
        <w:t xml:space="preserve"> above) on account of such distribution if each Holder participates, at the same time and on the same terms as holders of Common Stock, and solely by virtue of being a Holder, in such distribution without having to Convert such Holder’s Notes and as if such Holder held a number of shares of Common Stock equal to the product of (i) the Conversion Rate in effect on the record date for such distribution; and (ii) the aggregate principal amount (expressed in thousands) of Notes held by such Holder on such record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the Company is then otherwise permitted to settle Conversions of Notes by Physical Settlement (and, for the avoidance of doubt, the Company has not elected another Settlement Method to apply,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5.03(A)(i)(1)</w:t>
      </w:r>
      <w:r>
        <w:rPr>
          <w:rFonts w:ascii="Times New Roman" w:hAnsi="Times New Roman"/>
          <w:sz w:val="20"/>
        </w:rPr>
        <w:t xml:space="preserve">), then the Company may instead elect to provide such notice at least ten (10) Scheduled Trading Days before such Ex-Dividend Date, in which case (x) the Company must settle all Conversions of Notes with a Conversion Date occurring on or after the date the Company provides such notice and on or before the Business Day immediately before the Ex-Dividend Date for such distribution (or any earlier announcement by the Company that such distribution will not take place) by Physical Settlement; and (y) such notice must state that all such Conversions will be settled by Physical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Certain Corporate Events</w:t>
      </w:r>
      <w:r>
        <w:rPr>
          <w:rFonts w:ascii="Times New Roman" w:hAnsi="Times New Roman"/>
          <w:sz w:val="20"/>
        </w:rPr>
        <w:t xml:space="preserve">. If a Fundamental Change, Make-Whole Fundamental Change (other than a Make-Whole Fundamental Change pursuant to </w:t>
      </w:r>
      <w:r>
        <w:rPr>
          <w:rFonts w:ascii="Times New Roman" w:hAnsi="Times New Roman"/>
          <w:b/>
          <w:sz w:val="20"/>
        </w:rPr>
        <w:t>clause (B)</w:t>
      </w:r>
      <w:r>
        <w:rPr>
          <w:rFonts w:ascii="Times New Roman" w:hAnsi="Times New Roman"/>
          <w:sz w:val="20"/>
        </w:rPr>
        <w:t xml:space="preserve"> of the definition thereof) or Common Stock Change Event occurs (other than a merger or other business combination transaction that is effected solely to change the Company’s jurisdiction of incorporation and that does not constitute a Fundamental Change or a Make-Whole Fundamental Change), then, in each case, Holders may Convert their Notes at any time from, and including, the effective date of such transaction or event to, and including, the thirty fifth (35th) Trading Day after such effective date (or, if such transaction or event also constitutes a Fundamental Change (other than an Exempted Fundamental Change), to, but excluding, the related Fundamental Change Repurchase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Company does not provide the notice referred to in the immediately following sentence by the second (2nd) Business Day after such effective date, then the last day on which the Notes are Convertible pursuant to this sentence will be extended by the number of Business Days from, and including, the second (2nd) Business Day after such effective date to, but excluding, the date the Company provides such notice. No later than the second (2nd) Business Day after such effective date, the Company will send notice to the Holders, the Trustee and the Conversion Agent of such transaction or event, such effective date and the related right to Convert Notes.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Conversion Upon Redemption</w:t>
      </w:r>
      <w:r>
        <w:rPr>
          <w:rFonts w:ascii="Times New Roman" w:hAnsi="Times New Roman"/>
          <w:sz w:val="20"/>
        </w:rPr>
        <w:t xml:space="preserve">. If the Company calls any Note for Redemption, then the Holder of such Note may Convert such Note at any time before the Close of Business on the second (2nd) Business Day immediately before the related Redemption Date (or, if the Company fails to pay the Redemption Price due on such Redemption Date in full, at any time until such time as the Company pays such Redemption Price in full).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Conversions During Free Convertibility Period</w:t>
      </w:r>
      <w:r>
        <w:rPr>
          <w:rFonts w:ascii="Times New Roman" w:hAnsi="Times New Roman"/>
          <w:sz w:val="20"/>
        </w:rPr>
        <w:t xml:space="preserve">. A Holder may Convert its Notes at any time from, and including, July 15, 2032 until the Close of Business on the second (2nd) Scheduled Trading Day immediately before the Maturity Date.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the Notes may become Convertible pursuant to any one or more of the preceding sub-paragraphs of this </w:t>
      </w:r>
      <w:r>
        <w:rPr>
          <w:rFonts w:ascii="Times New Roman" w:hAnsi="Times New Roman"/>
          <w:b/>
          <w:sz w:val="20"/>
        </w:rPr>
        <w:t>Section</w:t>
      </w:r>
      <w:r>
        <w:rPr>
          <w:rFonts w:ascii="Times New Roman" w:hAnsi="Times New Roman"/>
          <w:sz w:val="20"/>
        </w:rPr>
        <w:t> </w:t>
      </w:r>
      <w:r>
        <w:rPr>
          <w:rFonts w:ascii="Times New Roman" w:hAnsi="Times New Roman"/>
          <w:b/>
          <w:sz w:val="20"/>
        </w:rPr>
        <w:t>5.01(C)(i)</w:t>
      </w:r>
      <w:r>
        <w:rPr>
          <w:rFonts w:ascii="Times New Roman" w:hAnsi="Times New Roman"/>
          <w:sz w:val="20"/>
        </w:rPr>
        <w:t xml:space="preserve"> and the Notes ceasing to be Convertible pursuant to a particular sub-paragraph of this </w:t>
      </w:r>
      <w:r>
        <w:rPr>
          <w:rFonts w:ascii="Times New Roman" w:hAnsi="Times New Roman"/>
          <w:b/>
          <w:sz w:val="20"/>
        </w:rPr>
        <w:t>Section</w:t>
      </w:r>
      <w:r>
        <w:rPr>
          <w:rFonts w:ascii="Times New Roman" w:hAnsi="Times New Roman"/>
          <w:sz w:val="20"/>
        </w:rPr>
        <w:t> </w:t>
      </w:r>
      <w:r>
        <w:rPr>
          <w:rFonts w:ascii="Times New Roman" w:hAnsi="Times New Roman"/>
          <w:b/>
          <w:sz w:val="20"/>
        </w:rPr>
        <w:t>5.01(C)(i)</w:t>
      </w:r>
      <w:r>
        <w:rPr>
          <w:rFonts w:ascii="Times New Roman" w:hAnsi="Times New Roman"/>
          <w:sz w:val="20"/>
        </w:rPr>
        <w:t xml:space="preserve"> will not preclude the Notes from being Convertible pursuant to any other sub-paragraph of this </w:t>
      </w:r>
      <w:r>
        <w:rPr>
          <w:rFonts w:ascii="Times New Roman" w:hAnsi="Times New Roman"/>
          <w:b/>
          <w:sz w:val="20"/>
        </w:rPr>
        <w:t>Section</w:t>
      </w:r>
      <w:r>
        <w:rPr>
          <w:rFonts w:ascii="Times New Roman" w:hAnsi="Times New Roman"/>
          <w:sz w:val="20"/>
        </w:rPr>
        <w:t> </w:t>
      </w:r>
      <w:r>
        <w:rPr>
          <w:rFonts w:ascii="Times New Roman" w:hAnsi="Times New Roman"/>
          <w:b/>
          <w:sz w:val="20"/>
        </w:rPr>
        <w:t>5.01(C)(i)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Limitations and Closed Periods</w:t>
      </w:r>
      <w:r>
        <w:rPr>
          <w:rFonts w:ascii="Times New Roman" w:hAnsi="Times New Roman"/>
          <w:sz w:val="20"/>
        </w:rPr>
        <w:t xml:space="preserve">. Notwithstanding anything to the contrary in the Indenture or the Notes: </w:t>
      </w:r>
    </w:p>
    <w:p>
      <w:pPr>
        <w:pStyle w:val="TextBody"/>
        <w:bidi w:val="0"/>
        <w:spacing w:before="120" w:after="0"/>
        <w:jc w:val="left"/>
        <w:rPr>
          <w:rFonts w:ascii="Times New Roman" w:hAnsi="Times New Roman"/>
          <w:sz w:val="20"/>
        </w:rPr>
      </w:pPr>
      <w:r>
        <w:rPr>
          <w:rFonts w:ascii="Times New Roman" w:hAnsi="Times New Roman"/>
          <w:sz w:val="20"/>
        </w:rPr>
        <w:t xml:space="preserve">(1) Notes may be surrendered for Conversion only after the Open of Business and before the Close of Business on a day that is a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in no event may any Note be Converted after the Close of Business on the second (2nd) Scheduled Trading Day immediately before the Maturity Date; </w:t>
      </w:r>
    </w:p>
    <w:p>
      <w:pPr>
        <w:pStyle w:val="TextBody"/>
        <w:bidi w:val="0"/>
        <w:spacing w:before="120" w:after="0"/>
        <w:jc w:val="left"/>
        <w:rPr>
          <w:rFonts w:ascii="Times New Roman" w:hAnsi="Times New Roman"/>
          <w:sz w:val="20"/>
        </w:rPr>
      </w:pPr>
      <w:r>
        <w:rPr>
          <w:rFonts w:ascii="Times New Roman" w:hAnsi="Times New Roman"/>
          <w:sz w:val="20"/>
        </w:rPr>
        <w:t xml:space="preserve">(3) if the Company calls any Note for Redemption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then the Holder of such Note may not Convert such Note after the Close of Business on the second (2nd) Business Day immediately before the applicable Redemption Date, except to the extent the Company fails to pay the Redemption Price for such Note in accordance with the Indenture; and </w:t>
      </w:r>
    </w:p>
    <w:p>
      <w:pPr>
        <w:pStyle w:val="TextBody"/>
        <w:bidi w:val="0"/>
        <w:spacing w:before="120" w:after="0"/>
        <w:jc w:val="left"/>
        <w:rPr>
          <w:rFonts w:ascii="Times New Roman" w:hAnsi="Times New Roman"/>
          <w:sz w:val="20"/>
        </w:rPr>
      </w:pPr>
      <w:r>
        <w:rPr>
          <w:rFonts w:ascii="Times New Roman" w:hAnsi="Times New Roman"/>
          <w:sz w:val="20"/>
        </w:rPr>
        <w:t xml:space="preserve">(4) if a Fundamental Change Repurchase Notice is validly delivered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4.02(F)</w:t>
      </w:r>
      <w:r>
        <w:rPr>
          <w:rFonts w:ascii="Times New Roman" w:hAnsi="Times New Roman"/>
          <w:sz w:val="20"/>
        </w:rPr>
        <w:t xml:space="preserve"> with respect to any Note, then such Note may not be Converted, except to the extent (a) such Note is not subject to such notice; (b) such notice is withdrawn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4.02(F)</w:t>
      </w:r>
      <w:r>
        <w:rPr>
          <w:rFonts w:ascii="Times New Roman" w:hAnsi="Times New Roman"/>
          <w:sz w:val="20"/>
        </w:rPr>
        <w:t xml:space="preserve">; or (c) the Company fails to pay the Fundamental Change Repurchase Price for such Note in accordance with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5.02. CONVERSION PROCEDURES.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Global Notes</w:t>
      </w:r>
      <w:r>
        <w:rPr>
          <w:rFonts w:ascii="Times New Roman" w:hAnsi="Times New Roman"/>
          <w:sz w:val="20"/>
        </w:rPr>
        <w:t xml:space="preserve">. To Convert a beneficial interest in a Global Note that is Convertible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5.01(C)</w:t>
      </w:r>
      <w:r>
        <w:rPr>
          <w:rFonts w:ascii="Times New Roman" w:hAnsi="Times New Roman"/>
          <w:sz w:val="20"/>
        </w:rPr>
        <w:t xml:space="preserve">, the owner of such beneficial interest must (1) comply with the Depositary Procedures for Converting such beneficial interest (at which time such Conversion will become irrevocable unless the Company, in its sole and absolute discretion, agrees to permit the owner of such beneficial interest to withdraw such Conversion and such withdrawal is reasonably feasible pursuant to the applicable procedures of the Depositary); and (2) pay any amounts due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5.02(E)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Physical Notes</w:t>
      </w:r>
      <w:r>
        <w:rPr>
          <w:rFonts w:ascii="Times New Roman" w:hAnsi="Times New Roman"/>
          <w:sz w:val="20"/>
        </w:rPr>
        <w:t xml:space="preserve">. To Convert all or a portion of a Physical Note that is Convertible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5.01(C)</w:t>
      </w:r>
      <w:r>
        <w:rPr>
          <w:rFonts w:ascii="Times New Roman" w:hAnsi="Times New Roman"/>
          <w:sz w:val="20"/>
        </w:rPr>
        <w:t xml:space="preserve">, the Holder of such Note must (1) complete, manually sign and deliver to the Conversion Agent the Conversion Notice attached to such Physical Note or a facsimile of such Conversion Notice; (2) deliver such Physical Note to the Conversion Agent (at which time such Conversion will become irrevocable unless the Company, in its sole and absolute discretion, agrees to permit the Holder of such Note to withdraw such Conversion); (3) furnish any endorsements and transfer documents that the Company or the Conversion Agent may require; and (4) pay any amounts due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5.02(E)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Effect of Converting a Note</w:t>
      </w:r>
      <w:r>
        <w:rPr>
          <w:rFonts w:ascii="Times New Roman" w:hAnsi="Times New Roman"/>
          <w:sz w:val="20"/>
        </w:rPr>
        <w:t xml:space="preserve">. At the Close of Business on the Conversion Date for a Note (or any portion thereof) to be Converted, such Note (or such portion) will (unless there occurs a Default in the delivery of the Conversion Consideration or interest due,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5.03(B)</w:t>
      </w:r>
      <w:r>
        <w:rPr>
          <w:rFonts w:ascii="Times New Roman" w:hAnsi="Times New Roman"/>
          <w:sz w:val="20"/>
        </w:rPr>
        <w:t xml:space="preserve"> or </w:t>
      </w:r>
      <w:r>
        <w:rPr>
          <w:rFonts w:ascii="Times New Roman" w:hAnsi="Times New Roman"/>
          <w:b/>
          <w:sz w:val="20"/>
        </w:rPr>
        <w:t>5.02(D)</w:t>
      </w:r>
      <w:r>
        <w:rPr>
          <w:rFonts w:ascii="Times New Roman" w:hAnsi="Times New Roman"/>
          <w:sz w:val="20"/>
        </w:rPr>
        <w:t xml:space="preserve">, upon such Conversion) be deemed to cease to be outstanding (and, for the avoidance of doubt, no Person will be deemed to be a Holder of such Note (or such portion thereof) as of the Close of Business on such Conversion Date), except to the extent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Holder of Record of Conversion Shares</w:t>
      </w:r>
      <w:r>
        <w:rPr>
          <w:rFonts w:ascii="Times New Roman" w:hAnsi="Times New Roman"/>
          <w:sz w:val="20"/>
        </w:rPr>
        <w:t xml:space="preserve">. The Person in whose name any share of Common Stock is issuable upon Conversion of any Note will be deemed to become the holder of record of such share as of the Close of Business on (i) the Conversion Date for such Conversion, in the case of Physical Settlement; or (ii) the last VWAP Trading Day of the Observation Period for such Conversion, in the case of Combination Settlement.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Interest Payable Upon Conversion in Certain Circumstances</w:t>
      </w:r>
      <w:r>
        <w:rPr>
          <w:rFonts w:ascii="Times New Roman" w:hAnsi="Times New Roman"/>
          <w:sz w:val="20"/>
        </w:rPr>
        <w:t xml:space="preserve">. If the Conversion Date of a Note is after a Regular Record Date and before the next Interest Payment Date, then (i) the Holder of such Note at the Close of Business on such Regular Record Date will be entitled, notwithstanding such Conversion (and, for the avoidance of doubt, notwithstanding anything set forth in the proviso to this sentence),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 Note for Conversion must deliver to the Conversion Agent, at the time of such surrender, an amount of cash equal to the amount of such interest referred to in </w:t>
      </w:r>
      <w:r>
        <w:rPr>
          <w:rFonts w:ascii="Times New Roman" w:hAnsi="Times New Roman"/>
          <w:b/>
          <w:sz w:val="20"/>
        </w:rPr>
        <w:t>clause (i)</w:t>
      </w:r>
      <w:r>
        <w:rPr>
          <w:rFonts w:ascii="Times New Roman" w:hAnsi="Times New Roman"/>
          <w:sz w:val="20"/>
        </w:rPr>
        <w:t xml:space="preserve"> above;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Holder surrendering such Note for Conversion need not deliver such cash (v) if the Company has specified a Redemption Date that is after such Regular Record Date and on or before the second (2nd) Business Day immediately after such Interest Payment Date; (w) if such Conversion Date occurs after the Regular Record Date immediately before the Maturity Date; (x) if the Company has specified a Fundamental Change Repurchase Date that is after such Regular Record Date and on or before the Business Day immediately after such Interest Payment Date; or (y) to the extent of any Special Interest, overdue interest or interest that has accrued on any overdue interest. For the avoidance of doubt, as a result of, and without limiting the generality of, the foregoing, if a Note is Converted with a Conversion Date that is after the Regular Record Date immediately before the Maturity Date, any Redemption Date pursuant to </w:t>
      </w:r>
      <w:r>
        <w:rPr>
          <w:rFonts w:ascii="Times New Roman" w:hAnsi="Times New Roman"/>
          <w:b/>
          <w:sz w:val="20"/>
        </w:rPr>
        <w:t>clause (v)</w:t>
      </w:r>
      <w:r>
        <w:rPr>
          <w:rFonts w:ascii="Times New Roman" w:hAnsi="Times New Roman"/>
          <w:sz w:val="20"/>
        </w:rPr>
        <w:t xml:space="preserve"> of the preceding sentence or any Fundamental Change Repurchase Date pursuant to </w:t>
      </w:r>
      <w:r>
        <w:rPr>
          <w:rFonts w:ascii="Times New Roman" w:hAnsi="Times New Roman"/>
          <w:b/>
          <w:sz w:val="20"/>
        </w:rPr>
        <w:t>clause (x)</w:t>
      </w:r>
      <w:r>
        <w:rPr>
          <w:rFonts w:ascii="Times New Roman" w:hAnsi="Times New Roman"/>
          <w:sz w:val="20"/>
        </w:rPr>
        <w:t xml:space="preserve"> of the preceding sentence, then the Company will pay, as provided above, the interest that would have accrued on such Note to, but excluding, the Maturity Date or other applicable Interest Payment Date and the Converting Holder will not be required to make a corresponding payment. For the avoidance of doubt, if the Conversion Date of a Note to be Converted is on an Interest Payment Date, then the Holder of such Note 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Conversion, need not be accompanied by any cash amount pursuant to the first sentence of this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Taxes and Duties</w:t>
      </w:r>
      <w:r>
        <w:rPr>
          <w:rFonts w:ascii="Times New Roman" w:hAnsi="Times New Roman"/>
          <w:sz w:val="20"/>
        </w:rPr>
        <w:t xml:space="preserve">. If a Holder Converts a Note, the Company will pay any documentary, stamp or similar issue or transfer tax or duty due on the issue or delivery of any shares of Common Stock upon such Conversion;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any tax or duty is due because such Holder requested such shares to be registered in a name other than such Holder’s name, then such Holder will pay such tax or duty and, until having received a sum sufficient to pay such tax or duty, the Conversion Agent may refuse to deliver any such shares to be issued in a name other than that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Conversion Agent to Notify Company of Conversions</w:t>
      </w:r>
      <w:r>
        <w:rPr>
          <w:rFonts w:ascii="Times New Roman" w:hAnsi="Times New Roman"/>
          <w:sz w:val="20"/>
        </w:rPr>
        <w:t xml:space="preserve">. If any Note is submitted for Conversion to the Conversion Agent or the Conversion Agent receives any notice of Conversion with respect to a Note, then the Conversion Agent will promptly notify the Company and the Trustee of such occurrence, together with any other information reasonably requested by the Company, and will cooperate with the Company to determine the Conversion Date for such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5.03. SETTLEMENT UPON CONVERSION.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Settlement Method</w:t>
      </w:r>
      <w:r>
        <w:rPr>
          <w:rFonts w:ascii="Times New Roman" w:hAnsi="Times New Roman"/>
          <w:sz w:val="20"/>
        </w:rPr>
        <w:t xml:space="preserve">. Upon the Conversion of any Note, the Company will settle such Conversion by paying or delivering, as applicable and as provided in this </w:t>
      </w:r>
      <w:r>
        <w:rPr>
          <w:rFonts w:ascii="Times New Roman" w:hAnsi="Times New Roman"/>
          <w:b/>
          <w:sz w:val="20"/>
        </w:rPr>
        <w:t>Article 5</w:t>
      </w:r>
      <w:r>
        <w:rPr>
          <w:rFonts w:ascii="Times New Roman" w:hAnsi="Times New Roman"/>
          <w:sz w:val="20"/>
        </w:rPr>
        <w:t xml:space="preserve">, either (x) shares of Common Stock, together, if applicable, with cash in lieu of fractional shares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5.03(B)(i)(1)</w:t>
      </w:r>
      <w:r>
        <w:rPr>
          <w:rFonts w:ascii="Times New Roman" w:hAnsi="Times New Roman"/>
          <w:sz w:val="20"/>
        </w:rPr>
        <w:t xml:space="preserve"> (a “</w:t>
      </w:r>
      <w:r>
        <w:rPr>
          <w:rFonts w:ascii="Times New Roman" w:hAnsi="Times New Roman"/>
          <w:b/>
          <w:sz w:val="20"/>
        </w:rPr>
        <w:t>Physical Settlement</w:t>
      </w:r>
      <w:r>
        <w:rPr>
          <w:rFonts w:ascii="Times New Roman" w:hAnsi="Times New Roman"/>
          <w:sz w:val="20"/>
        </w:rPr>
        <w:t xml:space="preserve">”); (y) solely cash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5.03(B)(i)(2)</w:t>
      </w:r>
      <w:r>
        <w:rPr>
          <w:rFonts w:ascii="Times New Roman" w:hAnsi="Times New Roman"/>
          <w:sz w:val="20"/>
        </w:rPr>
        <w:t xml:space="preserve"> (a “</w:t>
      </w:r>
      <w:r>
        <w:rPr>
          <w:rFonts w:ascii="Times New Roman" w:hAnsi="Times New Roman"/>
          <w:b/>
          <w:sz w:val="20"/>
        </w:rPr>
        <w:t>Cash Settlement</w:t>
      </w:r>
      <w:r>
        <w:rPr>
          <w:rFonts w:ascii="Times New Roman" w:hAnsi="Times New Roman"/>
          <w:sz w:val="20"/>
        </w:rPr>
        <w:t xml:space="preserve">”); or (z) a combination of cash and shares of Common Stock, together, if applicable, with cash in lieu of fractional shares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5.03(B)(i)(3)</w:t>
      </w:r>
      <w:r>
        <w:rPr>
          <w:rFonts w:ascii="Times New Roman" w:hAnsi="Times New Roman"/>
          <w:sz w:val="20"/>
        </w:rPr>
        <w:t xml:space="preserve"> (a “</w:t>
      </w:r>
      <w:r>
        <w:rPr>
          <w:rFonts w:ascii="Times New Roman" w:hAnsi="Times New Roman"/>
          <w:b/>
          <w:sz w:val="20"/>
        </w:rPr>
        <w:t>Combination Settlement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The Company’s Right to Elect Settlement Method</w:t>
      </w:r>
      <w:r>
        <w:rPr>
          <w:rFonts w:ascii="Times New Roman" w:hAnsi="Times New Roman"/>
          <w:sz w:val="20"/>
        </w:rPr>
        <w:t xml:space="preserve">. The Company will have the right to elect the Settlement Method applicable to any Conversion of a Note;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(1) subject to </w:t>
      </w:r>
      <w:r>
        <w:rPr>
          <w:rFonts w:ascii="Times New Roman" w:hAnsi="Times New Roman"/>
          <w:b/>
          <w:sz w:val="20"/>
        </w:rPr>
        <w:t>clause (3)</w:t>
      </w:r>
      <w:r>
        <w:rPr>
          <w:rFonts w:ascii="Times New Roman" w:hAnsi="Times New Roman"/>
          <w:sz w:val="20"/>
        </w:rPr>
        <w:t xml:space="preserve"> below, all Conversions of Notes with a Conversion Date that occurs on or after July 15, 2032 will be settled using the same Settlement Method, and the Company will send notice of such Settlement Method to Holders no later than the Open of Business on July 15, 2032; </w:t>
      </w:r>
    </w:p>
    <w:p>
      <w:pPr>
        <w:pStyle w:val="TextBody"/>
        <w:bidi w:val="0"/>
        <w:spacing w:before="120" w:after="0"/>
        <w:jc w:val="left"/>
        <w:rPr>
          <w:rFonts w:ascii="Times New Roman" w:hAnsi="Times New Roman"/>
          <w:sz w:val="20"/>
        </w:rPr>
      </w:pPr>
      <w:r>
        <w:rPr>
          <w:rFonts w:ascii="Times New Roman" w:hAnsi="Times New Roman"/>
          <w:sz w:val="20"/>
        </w:rPr>
        <w:t xml:space="preserve">(2) subject to </w:t>
      </w:r>
      <w:r>
        <w:rPr>
          <w:rFonts w:ascii="Times New Roman" w:hAnsi="Times New Roman"/>
          <w:b/>
          <w:sz w:val="20"/>
        </w:rPr>
        <w:t>clause (3)</w:t>
      </w:r>
      <w:r>
        <w:rPr>
          <w:rFonts w:ascii="Times New Roman" w:hAnsi="Times New Roman"/>
          <w:sz w:val="20"/>
        </w:rPr>
        <w:t xml:space="preserve"> below, if the Company elects a Settlement Method with respect to the Conversion of any Note whose Conversion Date occurs before July 15, 2032, then the Company will send notice of such Settlement Method to the Holder of such Note no later than the Close of Business on the Business Day immediately after such Conversion Date; </w:t>
      </w:r>
    </w:p>
    <w:p>
      <w:pPr>
        <w:pStyle w:val="TextBody"/>
        <w:bidi w:val="0"/>
        <w:spacing w:before="120" w:after="0"/>
        <w:jc w:val="left"/>
        <w:rPr>
          <w:rFonts w:ascii="Times New Roman" w:hAnsi="Times New Roman"/>
          <w:sz w:val="20"/>
        </w:rPr>
      </w:pPr>
      <w:r>
        <w:rPr>
          <w:rFonts w:ascii="Times New Roman" w:hAnsi="Times New Roman"/>
          <w:sz w:val="20"/>
        </w:rPr>
        <w:t xml:space="preserve">(3) if any Notes are called for Redemption, then (a) the Company will specify, in the related Redemption Notice (and, in the case of a Provisional Redemption of less than all outstanding Notes where the related Redemption Notice is not sent to all Holders, in a notice simultaneously sent to all Holders of Notes not called for Redemption) sent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4.03(G)</w:t>
      </w:r>
      <w:r>
        <w:rPr>
          <w:rFonts w:ascii="Times New Roman" w:hAnsi="Times New Roman"/>
          <w:sz w:val="20"/>
        </w:rPr>
        <w:t xml:space="preserve">, the Settlement Method that will apply to all Conversions of Notes with a Conversion Date that occurs on or after the related Redemption Notice Date and on or before the second (2nd) Business Day before the related Redemption Date; and (b) if such Redemption Date occurs on or after July 15, 2032, then such Settlement Method must be the same Settlement Method that, pursuant to </w:t>
      </w:r>
      <w:r>
        <w:rPr>
          <w:rFonts w:ascii="Times New Roman" w:hAnsi="Times New Roman"/>
          <w:b/>
          <w:sz w:val="20"/>
        </w:rPr>
        <w:t>clause (1)</w:t>
      </w:r>
      <w:r>
        <w:rPr>
          <w:rFonts w:ascii="Times New Roman" w:hAnsi="Times New Roman"/>
          <w:sz w:val="20"/>
        </w:rPr>
        <w:t xml:space="preserve"> above, applies to all Conversions of Notes with a Conversion Date that occurs on or after July 15, 2032; </w:t>
      </w:r>
    </w:p>
    <w:p>
      <w:pPr>
        <w:pStyle w:val="TextBody"/>
        <w:bidi w:val="0"/>
        <w:spacing w:before="120" w:after="0"/>
        <w:jc w:val="left"/>
        <w:rPr>
          <w:rFonts w:ascii="Times New Roman" w:hAnsi="Times New Roman"/>
          <w:sz w:val="20"/>
        </w:rPr>
      </w:pPr>
      <w:r>
        <w:rPr>
          <w:rFonts w:ascii="Times New Roman" w:hAnsi="Times New Roman"/>
          <w:sz w:val="20"/>
        </w:rPr>
        <w:t xml:space="preserve">(4) the Company will use the same Settlement Method for all Conversions of Notes with the same Conversion Date (and, for the avoidance of doubt, the Company will not be obligated to use the same Settlement Method with respect to Conversions of Notes with different Conversion Dates, except as provided in </w:t>
      </w:r>
      <w:r>
        <w:rPr>
          <w:rFonts w:ascii="Times New Roman" w:hAnsi="Times New Roman"/>
          <w:b/>
          <w:sz w:val="20"/>
        </w:rPr>
        <w:t>clause (1)</w:t>
      </w:r>
      <w:r>
        <w:rPr>
          <w:rFonts w:ascii="Times New Roman" w:hAnsi="Times New Roman"/>
          <w:sz w:val="20"/>
        </w:rPr>
        <w:t xml:space="preserve"> or </w:t>
      </w:r>
      <w:r>
        <w:rPr>
          <w:rFonts w:ascii="Times New Roman" w:hAnsi="Times New Roman"/>
          <w:b/>
          <w:sz w:val="20"/>
        </w:rPr>
        <w:t>(3)</w:t>
      </w:r>
      <w:r>
        <w:rPr>
          <w:rFonts w:ascii="Times New Roman" w:hAnsi="Times New Roman"/>
          <w:sz w:val="20"/>
        </w:rPr>
        <w:t xml:space="preserv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(6) if the Company timely elects Combination Settlement with respect to the Conversion of a Note but does not timely notify the Holder of such Note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 and </w:t>
      </w:r>
    </w:p>
    <w:p>
      <w:pPr>
        <w:pStyle w:val="TextBody"/>
        <w:bidi w:val="0"/>
        <w:spacing w:before="120" w:after="0"/>
        <w:jc w:val="left"/>
        <w:rPr>
          <w:rFonts w:ascii="Times New Roman" w:hAnsi="Times New Roman"/>
          <w:sz w:val="20"/>
        </w:rPr>
      </w:pPr>
      <w:r>
        <w:rPr>
          <w:rFonts w:ascii="Times New Roman" w:hAnsi="Times New Roman"/>
          <w:sz w:val="20"/>
        </w:rPr>
        <w:t xml:space="preserve">(7) the Settlement Method will be subject to </w:t>
      </w:r>
      <w:r>
        <w:rPr>
          <w:rFonts w:ascii="Times New Roman" w:hAnsi="Times New Roman"/>
          <w:b/>
          <w:sz w:val="20"/>
        </w:rPr>
        <w:t>Sections</w:t>
      </w:r>
      <w:r>
        <w:rPr>
          <w:rFonts w:ascii="Times New Roman" w:hAnsi="Times New Roman"/>
          <w:sz w:val="20"/>
        </w:rPr>
        <w:t xml:space="preserve"> </w:t>
      </w:r>
      <w:r>
        <w:rPr>
          <w:rFonts w:ascii="Times New Roman" w:hAnsi="Times New Roman"/>
          <w:b/>
          <w:sz w:val="20"/>
        </w:rPr>
        <w:t>4.03(E)</w:t>
      </w:r>
      <w:r>
        <w:rPr>
          <w:rFonts w:ascii="Times New Roman" w:hAnsi="Times New Roman"/>
          <w:sz w:val="20"/>
        </w:rPr>
        <w:t xml:space="preserve"> and </w:t>
      </w:r>
      <w:r>
        <w:rPr>
          <w:rFonts w:ascii="Times New Roman" w:hAnsi="Times New Roman"/>
          <w:b/>
          <w:sz w:val="20"/>
        </w:rPr>
        <w:t>5.01(C)(i)(3)(a)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At or before the time the Company sends any notice referred to in the preceding sentence, the Company will send a copy of such notice to the Trustee and the Conversion Agent, but the failure to timely send such copy will not affect the validity of any Settlement Method election.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The Company</w:t>
      </w:r>
      <w:r>
        <w:rPr>
          <w:rFonts w:ascii="Times New Roman" w:hAnsi="Times New Roman"/>
          <w:sz w:val="20"/>
        </w:rPr>
        <w:t>’</w:t>
      </w:r>
      <w:r>
        <w:rPr>
          <w:rFonts w:ascii="Times New Roman" w:hAnsi="Times New Roman"/>
          <w:i/>
          <w:sz w:val="20"/>
        </w:rPr>
        <w:t>s Right to Irrevocably Fix or Eliminate Settlement Methods</w:t>
      </w:r>
      <w:r>
        <w:rPr>
          <w:rFonts w:ascii="Times New Roman" w:hAnsi="Times New Roman"/>
          <w:sz w:val="20"/>
        </w:rPr>
        <w:t xml:space="preserve">. The Company will have the right, exercisable at its election by sending notice of such exercise to the Holders (with a copy to the Trustee and the Conversion Agent), to (1) irrevocably fix the Settlement Method that will apply to all Conversions of Notes with a Conversion Date that occurs on or after the date such notice is sent to Holders; or (2) irrevocably eliminate any one or more (but not all) Settlement Methods (including eliminating Combination Settlement with a particular Specified Dollar Amount or range of Specified Dollar Amounts) with respect to all Conversions of Notes with a Conversion Date that occurs on or after the date such notice is sent to Holders, </w:t>
      </w:r>
      <w:r>
        <w:rPr>
          <w:rFonts w:ascii="Times New Roman" w:hAnsi="Times New Roman"/>
          <w:i/>
          <w:sz w:val="20"/>
        </w:rPr>
        <w:t>provided</w:t>
      </w:r>
      <w:r>
        <w:rPr>
          <w:rFonts w:ascii="Times New Roman" w:hAnsi="Times New Roman"/>
          <w:sz w:val="20"/>
        </w:rPr>
        <w:t xml:space="preserve">, in each case, that (w) the Settlement Method so elected pursuant to </w:t>
      </w:r>
      <w:r>
        <w:rPr>
          <w:rFonts w:ascii="Times New Roman" w:hAnsi="Times New Roman"/>
          <w:b/>
          <w:sz w:val="20"/>
        </w:rPr>
        <w:t>clause (1)</w:t>
      </w:r>
      <w:r>
        <w:rPr>
          <w:rFonts w:ascii="Times New Roman" w:hAnsi="Times New Roman"/>
          <w:sz w:val="20"/>
        </w:rPr>
        <w:t xml:space="preserve"> above, or the Settlement Method(s) remaining after any elimination pursuant to </w:t>
      </w:r>
      <w:r>
        <w:rPr>
          <w:rFonts w:ascii="Times New Roman" w:hAnsi="Times New Roman"/>
          <w:b/>
          <w:sz w:val="20"/>
        </w:rPr>
        <w:t>clause (2)</w:t>
      </w:r>
      <w:r>
        <w:rPr>
          <w:rFonts w:ascii="Times New Roman" w:hAnsi="Times New Roman"/>
          <w:sz w:val="20"/>
        </w:rPr>
        <w:t xml:space="preserve"> above, as applicable, must be a Settlement Method or Settlement Method(s), as applicable, that the Company is then permitted to elect (for the avoidance of doubt, including pursuant to, and subject to, the other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5.03(A)</w:t>
      </w:r>
      <w:r>
        <w:rPr>
          <w:rFonts w:ascii="Times New Roman" w:hAnsi="Times New Roman"/>
          <w:sz w:val="20"/>
        </w:rPr>
        <w:t xml:space="preserve">); (x) no such irrevocable election will affect any Settlement Method theretofore elected (or deemed to be elected) with respect to any Note pursuant to the Indenture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8.01(G)</w:t>
      </w:r>
      <w:r>
        <w:rPr>
          <w:rFonts w:ascii="Times New Roman" w:hAnsi="Times New Roman"/>
          <w:sz w:val="20"/>
        </w:rPr>
        <w:t xml:space="preserve"> or this </w:t>
      </w:r>
      <w:r>
        <w:rPr>
          <w:rFonts w:ascii="Times New Roman" w:hAnsi="Times New Roman"/>
          <w:b/>
          <w:sz w:val="20"/>
        </w:rPr>
        <w:t>Section</w:t>
      </w:r>
      <w:r>
        <w:rPr>
          <w:rFonts w:ascii="Times New Roman" w:hAnsi="Times New Roman"/>
          <w:sz w:val="20"/>
        </w:rPr>
        <w:t> </w:t>
      </w:r>
      <w:r>
        <w:rPr>
          <w:rFonts w:ascii="Times New Roman" w:hAnsi="Times New Roman"/>
          <w:b/>
          <w:sz w:val="20"/>
        </w:rPr>
        <w:t>5.03(A)</w:t>
      </w:r>
      <w:r>
        <w:rPr>
          <w:rFonts w:ascii="Times New Roman" w:hAnsi="Times New Roman"/>
          <w:sz w:val="20"/>
        </w:rPr>
        <w:t xml:space="preserve">); (y) upon any such irrevocable election pursuant to </w:t>
      </w:r>
      <w:r>
        <w:rPr>
          <w:rFonts w:ascii="Times New Roman" w:hAnsi="Times New Roman"/>
          <w:b/>
          <w:sz w:val="20"/>
        </w:rPr>
        <w:t>clause (1)</w:t>
      </w:r>
      <w:r>
        <w:rPr>
          <w:rFonts w:ascii="Times New Roman" w:hAnsi="Times New Roman"/>
          <w:sz w:val="20"/>
        </w:rPr>
        <w:t xml:space="preserve"> above, the Default Settlement Method will automatically be deemed to be set to the Settlement Method so fixed; and (z) upon any such irrevocable election pursuant to </w:t>
      </w:r>
      <w:r>
        <w:rPr>
          <w:rFonts w:ascii="Times New Roman" w:hAnsi="Times New Roman"/>
          <w:b/>
          <w:sz w:val="20"/>
        </w:rPr>
        <w:t>clause (2)</w:t>
      </w:r>
      <w:r>
        <w:rPr>
          <w:rFonts w:ascii="Times New Roman" w:hAnsi="Times New Roman"/>
          <w:sz w:val="20"/>
        </w:rPr>
        <w:t xml:space="preserve"> above, the Company will, if needed, simultaneously change the Default Settlement Method to a Settlement Method that is consistent with such irrevocable election. Such notice, if sent, must set forth the applicable Settlement Method(s) so elected or eliminated, as applicable, and the Default Settlement Method applicable immediately after such election, and expressly state that the election is irrevocable and applicable to all Conversions of Notes with a Conversion Date that occurs on or after the date such notice is sent to Holders. For the avoidance of doubt, such an irrevocable election, if made, will be effective without the need to amend the Indenture or the Notes,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8.01(G)</w:t>
      </w:r>
      <w:r>
        <w:rPr>
          <w:rFonts w:ascii="Times New Roman" w:hAnsi="Times New Roman"/>
          <w:sz w:val="20"/>
        </w:rPr>
        <w:t xml:space="preserve"> (it being understood, however, that the Company may nonetheless choose to execute such an amendment at its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Requirement to Publicly Disclose the Fixed or Default Settlement Method.</w:t>
      </w:r>
      <w:r>
        <w:rPr>
          <w:rFonts w:ascii="Times New Roman" w:hAnsi="Times New Roman"/>
          <w:sz w:val="20"/>
        </w:rPr>
        <w:t xml:space="preserve"> If the Company changes the Default Settlement Method pursuant to </w:t>
      </w:r>
      <w:r>
        <w:rPr>
          <w:rFonts w:ascii="Times New Roman" w:hAnsi="Times New Roman"/>
          <w:b/>
          <w:sz w:val="20"/>
        </w:rPr>
        <w:t>clause (x)</w:t>
      </w:r>
      <w:r>
        <w:rPr>
          <w:rFonts w:ascii="Times New Roman" w:hAnsi="Times New Roman"/>
          <w:sz w:val="20"/>
        </w:rPr>
        <w:t xml:space="preserve"> of the proviso to the definition of such term or irrevocably fixes the Settlement Method(s)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5.03(A)(ii)</w:t>
      </w:r>
      <w:r>
        <w:rPr>
          <w:rFonts w:ascii="Times New Roman" w:hAnsi="Times New Roman"/>
          <w:sz w:val="20"/>
        </w:rPr>
        <w:t xml:space="preserve">, then the Company will, substantially concurrently therewith, either post the Default Settlement Method or fixed Settlement Method(s), as applicable, on its website or disclose the same in a Current Report on Form 8-K (or any successor form) that is filed with, or furnished to, the SEC.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Conversion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Generally</w:t>
      </w:r>
      <w:r>
        <w:rPr>
          <w:rFonts w:ascii="Times New Roman" w:hAnsi="Times New Roman"/>
          <w:sz w:val="20"/>
        </w:rPr>
        <w:t xml:space="preserve">. Subject to </w:t>
      </w:r>
      <w:r>
        <w:rPr>
          <w:rFonts w:ascii="Times New Roman" w:hAnsi="Times New Roman"/>
          <w:b/>
          <w:sz w:val="20"/>
        </w:rPr>
        <w:t>Sections</w:t>
      </w:r>
      <w:r>
        <w:rPr>
          <w:rFonts w:ascii="Times New Roman" w:hAnsi="Times New Roman"/>
          <w:sz w:val="20"/>
        </w:rPr>
        <w:t xml:space="preserve"> </w:t>
      </w:r>
      <w:r>
        <w:rPr>
          <w:rFonts w:ascii="Times New Roman" w:hAnsi="Times New Roman"/>
          <w:b/>
          <w:sz w:val="20"/>
        </w:rPr>
        <w:t>5.03(B)(ii)</w:t>
      </w:r>
      <w:r>
        <w:rPr>
          <w:rFonts w:ascii="Times New Roman" w:hAnsi="Times New Roman"/>
          <w:sz w:val="20"/>
        </w:rPr>
        <w:t xml:space="preserve">, </w:t>
      </w:r>
      <w:r>
        <w:rPr>
          <w:rFonts w:ascii="Times New Roman" w:hAnsi="Times New Roman"/>
          <w:b/>
          <w:sz w:val="20"/>
        </w:rPr>
        <w:t>5.03(B)(iii)</w:t>
      </w:r>
      <w:r>
        <w:rPr>
          <w:rFonts w:ascii="Times New Roman" w:hAnsi="Times New Roman"/>
          <w:sz w:val="20"/>
        </w:rPr>
        <w:t xml:space="preserve"> and </w:t>
      </w:r>
      <w:r>
        <w:rPr>
          <w:rFonts w:ascii="Times New Roman" w:hAnsi="Times New Roman"/>
          <w:b/>
          <w:sz w:val="20"/>
        </w:rPr>
        <w:t>5.09(A)(2)</w:t>
      </w:r>
      <w:r>
        <w:rPr>
          <w:rFonts w:ascii="Times New Roman" w:hAnsi="Times New Roman"/>
          <w:sz w:val="20"/>
        </w:rPr>
        <w:t>, the type and amount of consideration (the “</w:t>
      </w:r>
      <w:r>
        <w:rPr>
          <w:rFonts w:ascii="Times New Roman" w:hAnsi="Times New Roman"/>
          <w:b/>
          <w:sz w:val="20"/>
        </w:rPr>
        <w:t>Conversion Consideration</w:t>
      </w:r>
      <w:r>
        <w:rPr>
          <w:rFonts w:ascii="Times New Roman" w:hAnsi="Times New Roman"/>
          <w:sz w:val="20"/>
        </w:rPr>
        <w:t xml:space="preserve">”) due in respect of each $1,000 principal amount of a Note to be Converted will be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Physical Settlement applies to such Conversion, a number of shares of Common Stock equal to the Conversion Rate in effect on the Conversion Date for such Conversion; </w:t>
      </w:r>
    </w:p>
    <w:p>
      <w:pPr>
        <w:pStyle w:val="TextBody"/>
        <w:bidi w:val="0"/>
        <w:spacing w:before="120" w:after="0"/>
        <w:jc w:val="left"/>
        <w:rPr>
          <w:rFonts w:ascii="Times New Roman" w:hAnsi="Times New Roman"/>
          <w:sz w:val="20"/>
        </w:rPr>
      </w:pPr>
      <w:r>
        <w:rPr>
          <w:rFonts w:ascii="Times New Roman" w:hAnsi="Times New Roman"/>
          <w:sz w:val="20"/>
        </w:rPr>
        <w:t xml:space="preserve">(2) if Cash Settlement applies to such Conversion, cash in an amount equal to the sum of the Daily Conversion Values for each VWAP Trading Day in the Observation Period for such Conversion; or </w:t>
      </w:r>
    </w:p>
    <w:p>
      <w:pPr>
        <w:pStyle w:val="TextBody"/>
        <w:bidi w:val="0"/>
        <w:spacing w:before="120" w:after="0"/>
        <w:jc w:val="left"/>
        <w:rPr>
          <w:rFonts w:ascii="Times New Roman" w:hAnsi="Times New Roman"/>
          <w:sz w:val="20"/>
        </w:rPr>
      </w:pPr>
      <w:r>
        <w:rPr>
          <w:rFonts w:ascii="Times New Roman" w:hAnsi="Times New Roman"/>
          <w:sz w:val="20"/>
        </w:rPr>
        <w:t xml:space="preserve">(3) if Combination Settlement applies to such Conversion, consideration consisting of (a) a number of shares of Common Stock equal to the sum of the Daily Share Amounts for each VWAP Trading Day in the Observation Period for such Conversion; and (b) an amount of cash equal to the sum of the Daily Cash Amounts for each VWAP Trading Day in such Observation Period.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Cash in Lieu of Fractional Shares</w:t>
      </w:r>
      <w:r>
        <w:rPr>
          <w:rFonts w:ascii="Times New Roman" w:hAnsi="Times New Roman"/>
          <w:sz w:val="20"/>
        </w:rPr>
        <w:t xml:space="preserve">. If Physical Settlement or Combination Settlement applies to the Conversion of any Note and the number of shares of Common Stock deliverable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5.03(B)(i)</w:t>
      </w:r>
      <w:r>
        <w:rPr>
          <w:rFonts w:ascii="Times New Roman" w:hAnsi="Times New Roman"/>
          <w:sz w:val="20"/>
        </w:rPr>
        <w:t xml:space="preserve">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(x) the Daily VWAP on the Conversion Date for such Conversion (or, if such Conversion Date is not a VWAP Trading Day, the immediately preceding VWAP Trading Day), in the case of Physical Settlement; or (y) the Daily VWAP on the last VWAP Trading Day of the Observation Period for such Conversion, in the case of Combination Settlement.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Conversion of Multiple Notes by a Single Holder</w:t>
      </w:r>
      <w:r>
        <w:rPr>
          <w:rFonts w:ascii="Times New Roman" w:hAnsi="Times New Roman"/>
          <w:sz w:val="20"/>
        </w:rPr>
        <w:t xml:space="preserve">. If a Holder Converts more than one (1) Note on a single Conversion Date, then the Conversion Consideration due in respect of such Conversion will (in the case of any Global Note, to the extent permitted by, and practicable under, the Depositary Procedures) be computed based on the total principal amount of Notes Converted on such Conversion Date by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Notice of Calculation of Conversion Consideration</w:t>
      </w:r>
      <w:r>
        <w:rPr>
          <w:rFonts w:ascii="Times New Roman" w:hAnsi="Times New Roman"/>
          <w:sz w:val="20"/>
        </w:rPr>
        <w:t xml:space="preserve">. If Cash Settlement or Combination Settlement applies to the Conversion of any Note, then the Company will determine the 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nor the Conversion Agent will have any duty to make any such determination.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Delivery of the Conversion Consideration</w:t>
      </w:r>
      <w:r>
        <w:rPr>
          <w:rFonts w:ascii="Times New Roman" w:hAnsi="Times New Roman"/>
          <w:sz w:val="20"/>
        </w:rPr>
        <w:t xml:space="preserve">. Except as set forth in </w:t>
      </w:r>
      <w:r>
        <w:rPr>
          <w:rFonts w:ascii="Times New Roman" w:hAnsi="Times New Roman"/>
          <w:b/>
          <w:sz w:val="20"/>
        </w:rPr>
        <w:t>Sections</w:t>
      </w:r>
      <w:r>
        <w:rPr>
          <w:rFonts w:ascii="Times New Roman" w:hAnsi="Times New Roman"/>
          <w:sz w:val="20"/>
        </w:rPr>
        <w:t xml:space="preserve"> </w:t>
      </w:r>
      <w:r>
        <w:rPr>
          <w:rFonts w:ascii="Times New Roman" w:hAnsi="Times New Roman"/>
          <w:b/>
          <w:sz w:val="20"/>
        </w:rPr>
        <w:t>5.05(D)</w:t>
      </w:r>
      <w:r>
        <w:rPr>
          <w:rFonts w:ascii="Times New Roman" w:hAnsi="Times New Roman"/>
          <w:sz w:val="20"/>
        </w:rPr>
        <w:t xml:space="preserve"> and </w:t>
      </w:r>
      <w:r>
        <w:rPr>
          <w:rFonts w:ascii="Times New Roman" w:hAnsi="Times New Roman"/>
          <w:b/>
          <w:sz w:val="20"/>
        </w:rPr>
        <w:t>5.09</w:t>
      </w:r>
      <w:r>
        <w:rPr>
          <w:rFonts w:ascii="Times New Roman" w:hAnsi="Times New Roman"/>
          <w:sz w:val="20"/>
        </w:rPr>
        <w:t xml:space="preserve">, the Company will pay or deliver, as applicable, the Conversion Consideration due upon the Conversion of any Note to the Holder as follows: (i) if Cash Settlement or Combination Settlement applies to such Conversion, on or before the second (2nd) Business Day immediately after the last VWAP Trading Day of the Observation Period for such Conversion; and (ii) if Physical Settlement applies to such Conversion, on or before the second (2nd) Business Day immediately after the Conversion Date for such Conversion;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Physical Settlement applies to the Conversion of any Note with a Conversion Date that is after the Regular Record Date immediately before the Maturity Date, or of any Note that has been called for Redemption with a Conversion Date that occurs during the fifteen (15) calendar days preceding the related Redemption Date, then, solely for purposes of such Conversion, (x) the Company will pay or deliver, as applicable, the Conversion Consideration due upon such Conversion on or before the Maturity Date (or, if the Maturity Date is not a Business Day, the next Business Day), in the case of a Conversion of any Note with a Conversion Date that is after the Regular Record Date immediately before the Maturity Date, or the related Redemption Date, in the case of a Conversion of any Note that has been called for Redemption with a Conversion Date that occurs during the fifteen (15) calendar days preceding such Redemption Date; and (y) the Conversion Date will instead be deemed to be the second (2nd) Business Day immediately before the date referred to in </w:t>
      </w:r>
      <w:r>
        <w:rPr>
          <w:rFonts w:ascii="Times New Roman" w:hAnsi="Times New Roman"/>
          <w:b/>
          <w:sz w:val="20"/>
        </w:rPr>
        <w:t>clause (x)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Deemed Payment of Principal and Interest; Settlement of Accrued Interest Notwithstanding Conversion</w:t>
      </w:r>
      <w:r>
        <w:rPr>
          <w:rFonts w:ascii="Times New Roman" w:hAnsi="Times New Roman"/>
          <w:sz w:val="20"/>
        </w:rPr>
        <w:t xml:space="preserve">. If a Holder Converts a Note, then the Company will not adjust the Conversion Rate to account for any accrued and unpaid interest on such Note, and, except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the Company’s delivery of the Conversion Consideration due in respect of such Conversion will be deemed to fully satisfy and discharge the Company’s obligation to pay the principal of, and accrued and unpaid interest, if any, on, such Note to, but excluding the Conversion Date. As a result, except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any accrued and unpaid interest on a Converted Note will be deemed to be paid in full rather than cancelled, extinguished or forfeited. In addition,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if the Conversion Consideration for a Note consists of both cash and shares of Common Stock, then accrued and unpaid interest that is deemed to be paid therewith will be deemed to be paid first out of such cash.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5.04. RESERVE AND STATUS OF COMMON STOCK ISSUED UPON CONVERSION.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Stock Reserve</w:t>
      </w:r>
      <w:r>
        <w:rPr>
          <w:rFonts w:ascii="Times New Roman" w:hAnsi="Times New Roman"/>
          <w:sz w:val="20"/>
        </w:rPr>
        <w:t xml:space="preserve">. At all times when any Notes are outstanding, the Company will reserve (out of its authorized and not outstanding shares of Common Stock that are not reserved for other purposes) a number of shares of Common Stock sufficient to permit the Conversion of all then-outstanding Notes, assuming (x) Physical Settlement will apply to such Conversion; and (y) the Conversion Rate is increased by the maximum amount pursuant to which the Conversion Rate may be increased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To the extent the Company delivers shares of Common Stock held in its treasury in settlement of the Conversion of any Notes, each reference in the Indenture or the Notes to the issuance of shares of Common Stock in connection therewith will be deemed to include such delivery, </w:t>
      </w:r>
      <w:r>
        <w:rPr>
          <w:rFonts w:ascii="Times New Roman" w:hAnsi="Times New Roman"/>
          <w:i/>
          <w:sz w:val="20"/>
        </w:rPr>
        <w:t>mutatis mutandis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Status of Conversion Shares; Listing</w:t>
      </w:r>
      <w:r>
        <w:rPr>
          <w:rFonts w:ascii="Times New Roman" w:hAnsi="Times New Roman"/>
          <w:sz w:val="20"/>
        </w:rPr>
        <w:t xml:space="preserve">. Each Conversion Share, if any, delivered upon Conversion of any Note will be a newly issued or treasury share (except that any Conversion Share delivered by a designated financial institution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5.08</w:t>
      </w:r>
      <w:r>
        <w:rPr>
          <w:rFonts w:ascii="Times New Roman" w:hAnsi="Times New Roman"/>
          <w:sz w:val="20"/>
        </w:rPr>
        <w:t xml:space="preserve"> need not be a newly issued or treasury share) and will be duly authorized, validly issued, fully paid, non-assessable, free from preemptive rights and free of any lien or adverse claim (except to the extent of any lien or adverse claim created by the action or inaction of the Holder of such Note or the Person to whom such Conversion Share will be delivered). If the Common Stock is then listed on any securities exchange, or quoted on any inter-dealer quotation system, then the Company will use commercially reasonable efforts to cause each Conversion Share, when delivered upon Conversion of any Note, to be admitted for listing on such exchange or quotation on such system.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5.05. ADJUSTMENTS TO THE CONVERSION RATE.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Events Requiring an Adjustment to the Conversion Rate</w:t>
      </w:r>
      <w:r>
        <w:rPr>
          <w:rFonts w:ascii="Times New Roman" w:hAnsi="Times New Roman"/>
          <w:sz w:val="20"/>
        </w:rPr>
        <w:t xml:space="preserve">. The Conversion Rate will be adjusted from time to time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Stock Dividends, Splits and Combinations</w:t>
      </w:r>
      <w:r>
        <w:rPr>
          <w:rFonts w:ascii="Times New Roman" w:hAnsi="Times New Roman"/>
          <w:sz w:val="20"/>
        </w:rPr>
        <w:t xml:space="preserve">. If the Company issues solely shares of Common Stock as a dividend or distribution on all or substantially all shares of the Common Stock, or if the Company effects a stock split or a stock combination of the Common Stock (in each case excluding an issuance solely pursuant to a Common Stock Change Event, as to which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will apply), then the Conversion Rate will be adjusted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1239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8"/>
        <w:gridCol w:w="109"/>
        <w:gridCol w:w="423"/>
        <w:gridCol w:w="121"/>
        <w:gridCol w:w="8594"/>
      </w:tblGrid>
      <w:tr>
        <w:trPr/>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594" w:type="dxa"/>
            <w:tcBorders/>
            <w:vAlign w:val="center"/>
          </w:tcPr>
          <w:p>
            <w:pPr>
              <w:pStyle w:val="TableContents"/>
              <w:bidi w:val="0"/>
              <w:spacing w:before="0" w:after="283"/>
              <w:jc w:val="left"/>
              <w:rPr>
                <w:sz w:val="4"/>
                <w:szCs w:val="4"/>
              </w:rPr>
            </w:pPr>
            <w:r>
              <w:rPr>
                <w:sz w:val="4"/>
                <w:szCs w:val="4"/>
              </w:rPr>
            </w:r>
          </w:p>
        </w:tc>
      </w:tr>
      <w:tr>
        <w:trPr/>
        <w:tc>
          <w:tcPr>
            <w:tcW w:w="958" w:type="dxa"/>
            <w:tcBorders/>
          </w:tcPr>
          <w:p>
            <w:pPr>
              <w:pStyle w:val="TableContents"/>
              <w:bidi w:val="0"/>
              <w:spacing w:before="0" w:after="0"/>
              <w:jc w:val="left"/>
              <w:rPr>
                <w:rFonts w:ascii="Times New Roman" w:hAnsi="Times New Roman"/>
                <w:sz w:val="20"/>
              </w:rPr>
            </w:pPr>
            <w:r>
              <w:rPr>
                <w:rFonts w:ascii="Times New Roman" w:hAnsi="Times New Roman"/>
                <w:i/>
                <w:sz w:val="20"/>
              </w:rPr>
              <w:t>CR</w:t>
            </w:r>
            <w:r>
              <w:rPr>
                <w:rFonts w:ascii="Times New Roman" w:hAnsi="Times New Roman"/>
                <w:sz w:val="20"/>
              </w:rPr>
              <w:t>0</w:t>
            </w:r>
          </w:p>
        </w:tc>
        <w:tc>
          <w:tcPr>
            <w:tcW w:w="109" w:type="dxa"/>
            <w:tcBorders/>
            <w:vAlign w:val="bottom"/>
          </w:tcPr>
          <w:p>
            <w:pPr>
              <w:pStyle w:val="TableContents"/>
              <w:bidi w:val="0"/>
              <w:spacing w:before="0" w:after="283"/>
              <w:jc w:val="left"/>
              <w:rPr/>
            </w:pPr>
            <w:r>
              <w:rPr/>
              <w:t> </w:t>
            </w:r>
          </w:p>
        </w:tc>
        <w:tc>
          <w:tcPr>
            <w:tcW w:w="423"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8594" w:type="dxa"/>
            <w:tcBorders/>
          </w:tcPr>
          <w:p>
            <w:pPr>
              <w:pStyle w:val="TableContents"/>
              <w:bidi w:val="0"/>
              <w:spacing w:before="0" w:after="283"/>
              <w:jc w:val="left"/>
              <w:rPr/>
            </w:pPr>
            <w:r>
              <w:rPr/>
              <w:t>the Conversion Rate in effect immediately before the Open of Business on the Ex-Dividend Date for such dividend or distribution, or immediately before the Open of Business on the effective date of such stock split or stock combination, as applicable;</w:t>
            </w:r>
          </w:p>
        </w:tc>
      </w:tr>
      <w:tr>
        <w:trPr>
          <w:trHeight w:val="120" w:hRule="atLeast"/>
        </w:trPr>
        <w:tc>
          <w:tcPr>
            <w:tcW w:w="958" w:type="dxa"/>
            <w:tcBorders/>
            <w:vAlign w:val="center"/>
          </w:tcPr>
          <w:p>
            <w:pPr>
              <w:pStyle w:val="TableContents"/>
              <w:bidi w:val="0"/>
              <w:spacing w:before="0" w:after="283"/>
              <w:jc w:val="left"/>
              <w:rPr>
                <w:sz w:val="4"/>
                <w:szCs w:val="4"/>
              </w:rPr>
            </w:pPr>
            <w:r>
              <w:rPr>
                <w:sz w:val="4"/>
                <w:szCs w:val="4"/>
              </w:rPr>
            </w:r>
          </w:p>
        </w:tc>
        <w:tc>
          <w:tcPr>
            <w:tcW w:w="532" w:type="dxa"/>
            <w:gridSpan w:val="2"/>
            <w:tcBorders/>
            <w:vAlign w:val="center"/>
          </w:tcPr>
          <w:p>
            <w:pPr>
              <w:pStyle w:val="TableContents"/>
              <w:bidi w:val="0"/>
              <w:spacing w:before="0" w:after="283"/>
              <w:jc w:val="left"/>
              <w:rPr>
                <w:sz w:val="4"/>
                <w:szCs w:val="4"/>
              </w:rPr>
            </w:pPr>
            <w:r>
              <w:rPr>
                <w:sz w:val="4"/>
                <w:szCs w:val="4"/>
              </w:rPr>
            </w:r>
          </w:p>
        </w:tc>
        <w:tc>
          <w:tcPr>
            <w:tcW w:w="8715" w:type="dxa"/>
            <w:gridSpan w:val="2"/>
            <w:tcBorders/>
            <w:vAlign w:val="center"/>
          </w:tcPr>
          <w:p>
            <w:pPr>
              <w:pStyle w:val="TableContents"/>
              <w:bidi w:val="0"/>
              <w:spacing w:before="0" w:after="283"/>
              <w:jc w:val="left"/>
              <w:rPr>
                <w:sz w:val="4"/>
                <w:szCs w:val="4"/>
              </w:rPr>
            </w:pPr>
            <w:r>
              <w:rPr>
                <w:sz w:val="4"/>
                <w:szCs w:val="4"/>
              </w:rPr>
            </w:r>
          </w:p>
        </w:tc>
      </w:tr>
      <w:tr>
        <w:trPr/>
        <w:tc>
          <w:tcPr>
            <w:tcW w:w="958" w:type="dxa"/>
            <w:tcBorders/>
          </w:tcPr>
          <w:p>
            <w:pPr>
              <w:pStyle w:val="TableContents"/>
              <w:bidi w:val="0"/>
              <w:spacing w:before="0" w:after="0"/>
              <w:jc w:val="left"/>
              <w:rPr>
                <w:rFonts w:ascii="Times New Roman" w:hAnsi="Times New Roman"/>
                <w:sz w:val="20"/>
              </w:rPr>
            </w:pPr>
            <w:r>
              <w:rPr>
                <w:rFonts w:ascii="Times New Roman" w:hAnsi="Times New Roman"/>
                <w:i/>
                <w:sz w:val="20"/>
              </w:rPr>
              <w:t>CR</w:t>
            </w:r>
            <w:r>
              <w:rPr>
                <w:rFonts w:ascii="Times New Roman" w:hAnsi="Times New Roman"/>
                <w:sz w:val="20"/>
              </w:rPr>
              <w:t>1</w:t>
            </w:r>
          </w:p>
        </w:tc>
        <w:tc>
          <w:tcPr>
            <w:tcW w:w="109" w:type="dxa"/>
            <w:tcBorders/>
            <w:vAlign w:val="bottom"/>
          </w:tcPr>
          <w:p>
            <w:pPr>
              <w:pStyle w:val="TableContents"/>
              <w:bidi w:val="0"/>
              <w:spacing w:before="0" w:after="283"/>
              <w:jc w:val="left"/>
              <w:rPr/>
            </w:pPr>
            <w:r>
              <w:rPr/>
              <w:t> </w:t>
            </w:r>
          </w:p>
        </w:tc>
        <w:tc>
          <w:tcPr>
            <w:tcW w:w="423"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8594" w:type="dxa"/>
            <w:tcBorders/>
          </w:tcPr>
          <w:p>
            <w:pPr>
              <w:pStyle w:val="TableContents"/>
              <w:bidi w:val="0"/>
              <w:spacing w:before="0" w:after="283"/>
              <w:jc w:val="left"/>
              <w:rPr/>
            </w:pPr>
            <w:r>
              <w:rPr/>
              <w:t>the Conversion Rate in effect immediately after the Open of Business on such Ex-Dividend Date or effective date, as applicable;</w:t>
            </w:r>
          </w:p>
        </w:tc>
      </w:tr>
      <w:tr>
        <w:trPr>
          <w:trHeight w:val="120" w:hRule="atLeast"/>
        </w:trPr>
        <w:tc>
          <w:tcPr>
            <w:tcW w:w="958" w:type="dxa"/>
            <w:tcBorders/>
            <w:vAlign w:val="center"/>
          </w:tcPr>
          <w:p>
            <w:pPr>
              <w:pStyle w:val="TableContents"/>
              <w:bidi w:val="0"/>
              <w:spacing w:before="0" w:after="283"/>
              <w:jc w:val="left"/>
              <w:rPr>
                <w:sz w:val="4"/>
                <w:szCs w:val="4"/>
              </w:rPr>
            </w:pPr>
            <w:r>
              <w:rPr>
                <w:sz w:val="4"/>
                <w:szCs w:val="4"/>
              </w:rPr>
            </w:r>
          </w:p>
        </w:tc>
        <w:tc>
          <w:tcPr>
            <w:tcW w:w="532" w:type="dxa"/>
            <w:gridSpan w:val="2"/>
            <w:tcBorders/>
            <w:vAlign w:val="center"/>
          </w:tcPr>
          <w:p>
            <w:pPr>
              <w:pStyle w:val="TableContents"/>
              <w:bidi w:val="0"/>
              <w:spacing w:before="0" w:after="283"/>
              <w:jc w:val="left"/>
              <w:rPr>
                <w:sz w:val="4"/>
                <w:szCs w:val="4"/>
              </w:rPr>
            </w:pPr>
            <w:r>
              <w:rPr>
                <w:sz w:val="4"/>
                <w:szCs w:val="4"/>
              </w:rPr>
            </w:r>
          </w:p>
        </w:tc>
        <w:tc>
          <w:tcPr>
            <w:tcW w:w="8715" w:type="dxa"/>
            <w:gridSpan w:val="2"/>
            <w:tcBorders/>
            <w:vAlign w:val="center"/>
          </w:tcPr>
          <w:p>
            <w:pPr>
              <w:pStyle w:val="TableContents"/>
              <w:bidi w:val="0"/>
              <w:spacing w:before="0" w:after="283"/>
              <w:jc w:val="left"/>
              <w:rPr>
                <w:sz w:val="4"/>
                <w:szCs w:val="4"/>
              </w:rPr>
            </w:pPr>
            <w:r>
              <w:rPr>
                <w:sz w:val="4"/>
                <w:szCs w:val="4"/>
              </w:rPr>
            </w:r>
          </w:p>
        </w:tc>
      </w:tr>
      <w:tr>
        <w:trPr/>
        <w:tc>
          <w:tcPr>
            <w:tcW w:w="958" w:type="dxa"/>
            <w:tcBorders/>
          </w:tcPr>
          <w:p>
            <w:pPr>
              <w:pStyle w:val="TableContents"/>
              <w:bidi w:val="0"/>
              <w:spacing w:before="0" w:after="0"/>
              <w:jc w:val="left"/>
              <w:rPr>
                <w:rFonts w:ascii="Times New Roman" w:hAnsi="Times New Roman"/>
                <w:sz w:val="20"/>
              </w:rPr>
            </w:pPr>
            <w:r>
              <w:rPr>
                <w:rFonts w:ascii="Times New Roman" w:hAnsi="Times New Roman"/>
                <w:i/>
                <w:sz w:val="20"/>
              </w:rPr>
              <w:t>OS</w:t>
            </w:r>
            <w:r>
              <w:rPr>
                <w:rFonts w:ascii="Times New Roman" w:hAnsi="Times New Roman"/>
                <w:sz w:val="20"/>
              </w:rPr>
              <w:t>0</w:t>
            </w:r>
          </w:p>
        </w:tc>
        <w:tc>
          <w:tcPr>
            <w:tcW w:w="109" w:type="dxa"/>
            <w:tcBorders/>
            <w:vAlign w:val="bottom"/>
          </w:tcPr>
          <w:p>
            <w:pPr>
              <w:pStyle w:val="TableContents"/>
              <w:bidi w:val="0"/>
              <w:spacing w:before="0" w:after="283"/>
              <w:jc w:val="left"/>
              <w:rPr/>
            </w:pPr>
            <w:r>
              <w:rPr/>
              <w:t> </w:t>
            </w:r>
          </w:p>
        </w:tc>
        <w:tc>
          <w:tcPr>
            <w:tcW w:w="423"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8594" w:type="dxa"/>
            <w:tcBorders/>
          </w:tcPr>
          <w:p>
            <w:pPr>
              <w:pStyle w:val="TableContents"/>
              <w:bidi w:val="0"/>
              <w:spacing w:before="0" w:after="283"/>
              <w:jc w:val="left"/>
              <w:rPr/>
            </w:pPr>
            <w:r>
              <w:rPr/>
              <w:t>the number of shares of Common Stock outstanding immediately before the Open of Business on such Ex-Dividend Date or effective date, as applicable, without giving effect to such dividend, distribution, stock split or stock combination; and</w:t>
            </w:r>
          </w:p>
        </w:tc>
      </w:tr>
      <w:tr>
        <w:trPr>
          <w:trHeight w:val="120" w:hRule="atLeast"/>
        </w:trPr>
        <w:tc>
          <w:tcPr>
            <w:tcW w:w="958" w:type="dxa"/>
            <w:tcBorders/>
            <w:vAlign w:val="center"/>
          </w:tcPr>
          <w:p>
            <w:pPr>
              <w:pStyle w:val="TableContents"/>
              <w:bidi w:val="0"/>
              <w:spacing w:before="0" w:after="283"/>
              <w:jc w:val="left"/>
              <w:rPr>
                <w:sz w:val="4"/>
                <w:szCs w:val="4"/>
              </w:rPr>
            </w:pPr>
            <w:r>
              <w:rPr>
                <w:sz w:val="4"/>
                <w:szCs w:val="4"/>
              </w:rPr>
            </w:r>
          </w:p>
        </w:tc>
        <w:tc>
          <w:tcPr>
            <w:tcW w:w="532" w:type="dxa"/>
            <w:gridSpan w:val="2"/>
            <w:tcBorders/>
            <w:vAlign w:val="center"/>
          </w:tcPr>
          <w:p>
            <w:pPr>
              <w:pStyle w:val="TableContents"/>
              <w:bidi w:val="0"/>
              <w:spacing w:before="0" w:after="283"/>
              <w:jc w:val="left"/>
              <w:rPr>
                <w:sz w:val="4"/>
                <w:szCs w:val="4"/>
              </w:rPr>
            </w:pPr>
            <w:r>
              <w:rPr>
                <w:sz w:val="4"/>
                <w:szCs w:val="4"/>
              </w:rPr>
            </w:r>
          </w:p>
        </w:tc>
        <w:tc>
          <w:tcPr>
            <w:tcW w:w="8715" w:type="dxa"/>
            <w:gridSpan w:val="2"/>
            <w:tcBorders/>
            <w:vAlign w:val="center"/>
          </w:tcPr>
          <w:p>
            <w:pPr>
              <w:pStyle w:val="TableContents"/>
              <w:bidi w:val="0"/>
              <w:spacing w:before="0" w:after="283"/>
              <w:jc w:val="left"/>
              <w:rPr>
                <w:sz w:val="4"/>
                <w:szCs w:val="4"/>
              </w:rPr>
            </w:pPr>
            <w:r>
              <w:rPr>
                <w:sz w:val="4"/>
                <w:szCs w:val="4"/>
              </w:rPr>
            </w:r>
          </w:p>
        </w:tc>
      </w:tr>
      <w:tr>
        <w:trPr/>
        <w:tc>
          <w:tcPr>
            <w:tcW w:w="958" w:type="dxa"/>
            <w:tcBorders/>
          </w:tcPr>
          <w:p>
            <w:pPr>
              <w:pStyle w:val="TableContents"/>
              <w:bidi w:val="0"/>
              <w:spacing w:before="0" w:after="0"/>
              <w:jc w:val="left"/>
              <w:rPr>
                <w:rFonts w:ascii="Times New Roman" w:hAnsi="Times New Roman"/>
                <w:sz w:val="20"/>
              </w:rPr>
            </w:pPr>
            <w:r>
              <w:rPr>
                <w:rFonts w:ascii="Times New Roman" w:hAnsi="Times New Roman"/>
                <w:i/>
                <w:sz w:val="20"/>
              </w:rPr>
              <w:t>OS</w:t>
            </w:r>
            <w:r>
              <w:rPr>
                <w:rFonts w:ascii="Times New Roman" w:hAnsi="Times New Roman"/>
                <w:sz w:val="20"/>
              </w:rPr>
              <w:t>1</w:t>
            </w:r>
          </w:p>
        </w:tc>
        <w:tc>
          <w:tcPr>
            <w:tcW w:w="109" w:type="dxa"/>
            <w:tcBorders/>
            <w:vAlign w:val="bottom"/>
          </w:tcPr>
          <w:p>
            <w:pPr>
              <w:pStyle w:val="TableContents"/>
              <w:bidi w:val="0"/>
              <w:spacing w:before="0" w:after="283"/>
              <w:jc w:val="left"/>
              <w:rPr/>
            </w:pPr>
            <w:r>
              <w:rPr/>
              <w:t> </w:t>
            </w:r>
          </w:p>
        </w:tc>
        <w:tc>
          <w:tcPr>
            <w:tcW w:w="423"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8594" w:type="dxa"/>
            <w:tcBorders/>
          </w:tcPr>
          <w:p>
            <w:pPr>
              <w:pStyle w:val="TableContents"/>
              <w:bidi w:val="0"/>
              <w:spacing w:before="0" w:after="283"/>
              <w:jc w:val="left"/>
              <w:rPr/>
            </w:pPr>
            <w:r>
              <w:rPr/>
              <w:t>the number of shares of Common Stock outstanding immediately after giving effect to such dividend, distribution, stock split or stock combination.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dividend, distribution, stock split or stock combination of the type described in this </w:t>
      </w:r>
      <w:r>
        <w:rPr>
          <w:rFonts w:ascii="Times New Roman" w:hAnsi="Times New Roman"/>
          <w:b/>
          <w:sz w:val="20"/>
        </w:rPr>
        <w:t>Section</w:t>
      </w:r>
      <w:r>
        <w:rPr>
          <w:rFonts w:ascii="Times New Roman" w:hAnsi="Times New Roman"/>
          <w:sz w:val="20"/>
        </w:rPr>
        <w:t> </w:t>
      </w:r>
      <w:r>
        <w:rPr>
          <w:rFonts w:ascii="Times New Roman" w:hAnsi="Times New Roman"/>
          <w:b/>
          <w:sz w:val="20"/>
        </w:rPr>
        <w:t>5.05(A)(i)</w:t>
      </w:r>
      <w:r>
        <w:rPr>
          <w:rFonts w:ascii="Times New Roman" w:hAnsi="Times New Roman"/>
          <w:sz w:val="20"/>
        </w:rPr>
        <w:t xml:space="preserve"> is declared or announced, but not so paid or made, then the Conversion Rate will be readjusted, effective as of the date the Board of Directors determines not to pay such dividend or distribution or to effect such stock split or stock combination, to the Conversion Rate that would then be in effect had such dividend, distribution, stock split or stock combination not been declared or announced.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Rights, Options and Warrants</w:t>
      </w:r>
      <w:r>
        <w:rPr>
          <w:rFonts w:ascii="Times New Roman" w:hAnsi="Times New Roman"/>
          <w:sz w:val="20"/>
        </w:rPr>
        <w:t xml:space="preserve">. If the Company distributes, to all or substantially all holders of Common Stock, rights, options or warrants (other than rights issued or otherwise distributed pursuant to a stockholder rights plan, as to which </w:t>
      </w:r>
      <w:r>
        <w:rPr>
          <w:rFonts w:ascii="Times New Roman" w:hAnsi="Times New Roman"/>
          <w:b/>
          <w:sz w:val="20"/>
        </w:rPr>
        <w:t>Sections 5.05(A)(iii)(1)</w:t>
      </w:r>
      <w:r>
        <w:rPr>
          <w:rFonts w:ascii="Times New Roman" w:hAnsi="Times New Roman"/>
          <w:sz w:val="20"/>
        </w:rPr>
        <w:t xml:space="preserve"> and </w:t>
      </w:r>
      <w:r>
        <w:rPr>
          <w:rFonts w:ascii="Times New Roman" w:hAnsi="Times New Roman"/>
          <w:b/>
          <w:sz w:val="20"/>
        </w:rPr>
        <w:t>5.05(F)</w:t>
      </w:r>
      <w:r>
        <w:rPr>
          <w:rFonts w:ascii="Times New Roman" w:hAnsi="Times New Roman"/>
          <w:sz w:val="20"/>
        </w:rPr>
        <w:t xml:space="preserve"> will apply) entitling such holders, for a period of not more than sixty (60) calendar days after the date such distribution is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Rate will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247775"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47775" cy="3619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8"/>
        <w:gridCol w:w="109"/>
        <w:gridCol w:w="423"/>
        <w:gridCol w:w="121"/>
        <w:gridCol w:w="8594"/>
      </w:tblGrid>
      <w:tr>
        <w:trPr/>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594" w:type="dxa"/>
            <w:tcBorders/>
            <w:vAlign w:val="center"/>
          </w:tcPr>
          <w:p>
            <w:pPr>
              <w:pStyle w:val="TableContents"/>
              <w:bidi w:val="0"/>
              <w:spacing w:before="0" w:after="283"/>
              <w:jc w:val="left"/>
              <w:rPr>
                <w:sz w:val="4"/>
                <w:szCs w:val="4"/>
              </w:rPr>
            </w:pPr>
            <w:r>
              <w:rPr>
                <w:sz w:val="4"/>
                <w:szCs w:val="4"/>
              </w:rPr>
            </w:r>
          </w:p>
        </w:tc>
      </w:tr>
      <w:tr>
        <w:trPr/>
        <w:tc>
          <w:tcPr>
            <w:tcW w:w="958" w:type="dxa"/>
            <w:tcBorders/>
          </w:tcPr>
          <w:p>
            <w:pPr>
              <w:pStyle w:val="TableContents"/>
              <w:bidi w:val="0"/>
              <w:spacing w:before="0" w:after="0"/>
              <w:jc w:val="left"/>
              <w:rPr>
                <w:rFonts w:ascii="Times New Roman" w:hAnsi="Times New Roman"/>
                <w:sz w:val="20"/>
              </w:rPr>
            </w:pPr>
            <w:r>
              <w:rPr>
                <w:rFonts w:ascii="Times New Roman" w:hAnsi="Times New Roman"/>
                <w:i/>
                <w:sz w:val="20"/>
              </w:rPr>
              <w:t>CR</w:t>
            </w:r>
            <w:r>
              <w:rPr>
                <w:rFonts w:ascii="Times New Roman" w:hAnsi="Times New Roman"/>
                <w:sz w:val="20"/>
              </w:rPr>
              <w:t>0</w:t>
            </w:r>
          </w:p>
        </w:tc>
        <w:tc>
          <w:tcPr>
            <w:tcW w:w="109" w:type="dxa"/>
            <w:tcBorders/>
            <w:vAlign w:val="bottom"/>
          </w:tcPr>
          <w:p>
            <w:pPr>
              <w:pStyle w:val="TableContents"/>
              <w:bidi w:val="0"/>
              <w:spacing w:before="0" w:after="283"/>
              <w:jc w:val="left"/>
              <w:rPr/>
            </w:pPr>
            <w:r>
              <w:rPr/>
              <w:t> </w:t>
            </w:r>
          </w:p>
        </w:tc>
        <w:tc>
          <w:tcPr>
            <w:tcW w:w="423"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8594" w:type="dxa"/>
            <w:tcBorders/>
          </w:tcPr>
          <w:p>
            <w:pPr>
              <w:pStyle w:val="TableContents"/>
              <w:bidi w:val="0"/>
              <w:spacing w:before="0" w:after="283"/>
              <w:jc w:val="left"/>
              <w:rPr/>
            </w:pPr>
            <w:r>
              <w:rPr/>
              <w:t>the Conversion Rate in effect immediately before the Open of Business on the Ex-Dividend Date for such distribution;</w:t>
            </w:r>
          </w:p>
        </w:tc>
      </w:tr>
      <w:tr>
        <w:trPr>
          <w:trHeight w:val="120" w:hRule="atLeast"/>
        </w:trPr>
        <w:tc>
          <w:tcPr>
            <w:tcW w:w="958" w:type="dxa"/>
            <w:tcBorders/>
            <w:vAlign w:val="center"/>
          </w:tcPr>
          <w:p>
            <w:pPr>
              <w:pStyle w:val="TableContents"/>
              <w:bidi w:val="0"/>
              <w:spacing w:before="0" w:after="283"/>
              <w:jc w:val="left"/>
              <w:rPr>
                <w:sz w:val="4"/>
                <w:szCs w:val="4"/>
              </w:rPr>
            </w:pPr>
            <w:r>
              <w:rPr>
                <w:sz w:val="4"/>
                <w:szCs w:val="4"/>
              </w:rPr>
            </w:r>
          </w:p>
        </w:tc>
        <w:tc>
          <w:tcPr>
            <w:tcW w:w="532" w:type="dxa"/>
            <w:gridSpan w:val="2"/>
            <w:tcBorders/>
            <w:vAlign w:val="center"/>
          </w:tcPr>
          <w:p>
            <w:pPr>
              <w:pStyle w:val="TableContents"/>
              <w:bidi w:val="0"/>
              <w:spacing w:before="0" w:after="283"/>
              <w:jc w:val="left"/>
              <w:rPr>
                <w:sz w:val="4"/>
                <w:szCs w:val="4"/>
              </w:rPr>
            </w:pPr>
            <w:r>
              <w:rPr>
                <w:sz w:val="4"/>
                <w:szCs w:val="4"/>
              </w:rPr>
            </w:r>
          </w:p>
        </w:tc>
        <w:tc>
          <w:tcPr>
            <w:tcW w:w="8715" w:type="dxa"/>
            <w:gridSpan w:val="2"/>
            <w:tcBorders/>
            <w:vAlign w:val="center"/>
          </w:tcPr>
          <w:p>
            <w:pPr>
              <w:pStyle w:val="TableContents"/>
              <w:bidi w:val="0"/>
              <w:spacing w:before="0" w:after="283"/>
              <w:jc w:val="left"/>
              <w:rPr>
                <w:sz w:val="4"/>
                <w:szCs w:val="4"/>
              </w:rPr>
            </w:pPr>
            <w:r>
              <w:rPr>
                <w:sz w:val="4"/>
                <w:szCs w:val="4"/>
              </w:rPr>
            </w:r>
          </w:p>
        </w:tc>
      </w:tr>
      <w:tr>
        <w:trPr/>
        <w:tc>
          <w:tcPr>
            <w:tcW w:w="958" w:type="dxa"/>
            <w:tcBorders/>
          </w:tcPr>
          <w:p>
            <w:pPr>
              <w:pStyle w:val="TableContents"/>
              <w:bidi w:val="0"/>
              <w:spacing w:before="0" w:after="0"/>
              <w:jc w:val="left"/>
              <w:rPr>
                <w:rFonts w:ascii="Times New Roman" w:hAnsi="Times New Roman"/>
                <w:sz w:val="20"/>
              </w:rPr>
            </w:pPr>
            <w:r>
              <w:rPr>
                <w:rFonts w:ascii="Times New Roman" w:hAnsi="Times New Roman"/>
                <w:i/>
                <w:sz w:val="20"/>
              </w:rPr>
              <w:t>CR</w:t>
            </w:r>
            <w:r>
              <w:rPr>
                <w:rFonts w:ascii="Times New Roman" w:hAnsi="Times New Roman"/>
                <w:sz w:val="20"/>
              </w:rPr>
              <w:t>1</w:t>
            </w:r>
          </w:p>
        </w:tc>
        <w:tc>
          <w:tcPr>
            <w:tcW w:w="109" w:type="dxa"/>
            <w:tcBorders/>
            <w:vAlign w:val="bottom"/>
          </w:tcPr>
          <w:p>
            <w:pPr>
              <w:pStyle w:val="TableContents"/>
              <w:bidi w:val="0"/>
              <w:spacing w:before="0" w:after="283"/>
              <w:jc w:val="left"/>
              <w:rPr/>
            </w:pPr>
            <w:r>
              <w:rPr/>
              <w:t> </w:t>
            </w:r>
          </w:p>
        </w:tc>
        <w:tc>
          <w:tcPr>
            <w:tcW w:w="423"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8594" w:type="dxa"/>
            <w:tcBorders/>
          </w:tcPr>
          <w:p>
            <w:pPr>
              <w:pStyle w:val="TableContents"/>
              <w:bidi w:val="0"/>
              <w:spacing w:before="0" w:after="283"/>
              <w:jc w:val="left"/>
              <w:rPr/>
            </w:pPr>
            <w:r>
              <w:rPr/>
              <w:t>the Conversion Rate in effect immediately after the Open of Business on such Ex-Dividend Date;</w:t>
            </w:r>
          </w:p>
        </w:tc>
      </w:tr>
      <w:tr>
        <w:trPr>
          <w:trHeight w:val="120" w:hRule="atLeast"/>
        </w:trPr>
        <w:tc>
          <w:tcPr>
            <w:tcW w:w="958" w:type="dxa"/>
            <w:tcBorders/>
            <w:vAlign w:val="center"/>
          </w:tcPr>
          <w:p>
            <w:pPr>
              <w:pStyle w:val="TableContents"/>
              <w:bidi w:val="0"/>
              <w:spacing w:before="0" w:after="283"/>
              <w:jc w:val="left"/>
              <w:rPr>
                <w:sz w:val="4"/>
                <w:szCs w:val="4"/>
              </w:rPr>
            </w:pPr>
            <w:r>
              <w:rPr>
                <w:sz w:val="4"/>
                <w:szCs w:val="4"/>
              </w:rPr>
            </w:r>
          </w:p>
        </w:tc>
        <w:tc>
          <w:tcPr>
            <w:tcW w:w="532" w:type="dxa"/>
            <w:gridSpan w:val="2"/>
            <w:tcBorders/>
            <w:vAlign w:val="center"/>
          </w:tcPr>
          <w:p>
            <w:pPr>
              <w:pStyle w:val="TableContents"/>
              <w:bidi w:val="0"/>
              <w:spacing w:before="0" w:after="283"/>
              <w:jc w:val="left"/>
              <w:rPr>
                <w:sz w:val="4"/>
                <w:szCs w:val="4"/>
              </w:rPr>
            </w:pPr>
            <w:r>
              <w:rPr>
                <w:sz w:val="4"/>
                <w:szCs w:val="4"/>
              </w:rPr>
            </w:r>
          </w:p>
        </w:tc>
        <w:tc>
          <w:tcPr>
            <w:tcW w:w="8715" w:type="dxa"/>
            <w:gridSpan w:val="2"/>
            <w:tcBorders/>
            <w:vAlign w:val="center"/>
          </w:tcPr>
          <w:p>
            <w:pPr>
              <w:pStyle w:val="TableContents"/>
              <w:bidi w:val="0"/>
              <w:spacing w:before="0" w:after="283"/>
              <w:jc w:val="left"/>
              <w:rPr>
                <w:sz w:val="4"/>
                <w:szCs w:val="4"/>
              </w:rPr>
            </w:pPr>
            <w:r>
              <w:rPr>
                <w:sz w:val="4"/>
                <w:szCs w:val="4"/>
              </w:rPr>
            </w:r>
          </w:p>
        </w:tc>
      </w:tr>
      <w:tr>
        <w:trPr/>
        <w:tc>
          <w:tcPr>
            <w:tcW w:w="958" w:type="dxa"/>
            <w:tcBorders/>
          </w:tcPr>
          <w:p>
            <w:pPr>
              <w:pStyle w:val="TableContents"/>
              <w:bidi w:val="0"/>
              <w:spacing w:before="0" w:after="0"/>
              <w:jc w:val="left"/>
              <w:rPr>
                <w:rFonts w:ascii="Times New Roman" w:hAnsi="Times New Roman"/>
                <w:i/>
                <w:sz w:val="20"/>
              </w:rPr>
            </w:pPr>
            <w:r>
              <w:rPr>
                <w:rFonts w:ascii="Times New Roman" w:hAnsi="Times New Roman"/>
                <w:i/>
                <w:sz w:val="20"/>
              </w:rPr>
              <w:t>OS</w:t>
            </w:r>
          </w:p>
        </w:tc>
        <w:tc>
          <w:tcPr>
            <w:tcW w:w="109" w:type="dxa"/>
            <w:tcBorders/>
            <w:vAlign w:val="bottom"/>
          </w:tcPr>
          <w:p>
            <w:pPr>
              <w:pStyle w:val="TableContents"/>
              <w:bidi w:val="0"/>
              <w:spacing w:before="0" w:after="283"/>
              <w:jc w:val="left"/>
              <w:rPr/>
            </w:pPr>
            <w:r>
              <w:rPr/>
              <w:t> </w:t>
            </w:r>
          </w:p>
        </w:tc>
        <w:tc>
          <w:tcPr>
            <w:tcW w:w="423"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8594" w:type="dxa"/>
            <w:tcBorders/>
          </w:tcPr>
          <w:p>
            <w:pPr>
              <w:pStyle w:val="TableContents"/>
              <w:bidi w:val="0"/>
              <w:spacing w:before="0" w:after="283"/>
              <w:jc w:val="left"/>
              <w:rPr/>
            </w:pPr>
            <w:r>
              <w:rPr/>
              <w:t>the number of shares of Common Stock outstanding immediately before the Open of Business on such Ex-Dividend Date;</w:t>
            </w:r>
          </w:p>
        </w:tc>
      </w:tr>
      <w:tr>
        <w:trPr>
          <w:trHeight w:val="120" w:hRule="atLeast"/>
        </w:trPr>
        <w:tc>
          <w:tcPr>
            <w:tcW w:w="958" w:type="dxa"/>
            <w:tcBorders/>
            <w:vAlign w:val="center"/>
          </w:tcPr>
          <w:p>
            <w:pPr>
              <w:pStyle w:val="TableContents"/>
              <w:bidi w:val="0"/>
              <w:spacing w:before="0" w:after="283"/>
              <w:jc w:val="left"/>
              <w:rPr>
                <w:sz w:val="4"/>
                <w:szCs w:val="4"/>
              </w:rPr>
            </w:pPr>
            <w:r>
              <w:rPr>
                <w:sz w:val="4"/>
                <w:szCs w:val="4"/>
              </w:rPr>
            </w:r>
          </w:p>
        </w:tc>
        <w:tc>
          <w:tcPr>
            <w:tcW w:w="532" w:type="dxa"/>
            <w:gridSpan w:val="2"/>
            <w:tcBorders/>
            <w:vAlign w:val="center"/>
          </w:tcPr>
          <w:p>
            <w:pPr>
              <w:pStyle w:val="TableContents"/>
              <w:bidi w:val="0"/>
              <w:spacing w:before="0" w:after="283"/>
              <w:jc w:val="left"/>
              <w:rPr>
                <w:sz w:val="4"/>
                <w:szCs w:val="4"/>
              </w:rPr>
            </w:pPr>
            <w:r>
              <w:rPr>
                <w:sz w:val="4"/>
                <w:szCs w:val="4"/>
              </w:rPr>
            </w:r>
          </w:p>
        </w:tc>
        <w:tc>
          <w:tcPr>
            <w:tcW w:w="8715" w:type="dxa"/>
            <w:gridSpan w:val="2"/>
            <w:tcBorders/>
            <w:vAlign w:val="center"/>
          </w:tcPr>
          <w:p>
            <w:pPr>
              <w:pStyle w:val="TableContents"/>
              <w:bidi w:val="0"/>
              <w:spacing w:before="0" w:after="283"/>
              <w:jc w:val="left"/>
              <w:rPr>
                <w:sz w:val="4"/>
                <w:szCs w:val="4"/>
              </w:rPr>
            </w:pPr>
            <w:r>
              <w:rPr>
                <w:sz w:val="4"/>
                <w:szCs w:val="4"/>
              </w:rPr>
            </w:r>
          </w:p>
        </w:tc>
      </w:tr>
      <w:tr>
        <w:trPr/>
        <w:tc>
          <w:tcPr>
            <w:tcW w:w="958" w:type="dxa"/>
            <w:tcBorders/>
          </w:tcPr>
          <w:p>
            <w:pPr>
              <w:pStyle w:val="TableContents"/>
              <w:bidi w:val="0"/>
              <w:spacing w:before="0" w:after="0"/>
              <w:jc w:val="left"/>
              <w:rPr>
                <w:rFonts w:ascii="Times New Roman" w:hAnsi="Times New Roman"/>
                <w:i/>
                <w:sz w:val="20"/>
              </w:rPr>
            </w:pPr>
            <w:r>
              <w:rPr>
                <w:rFonts w:ascii="Times New Roman" w:hAnsi="Times New Roman"/>
                <w:i/>
                <w:sz w:val="20"/>
              </w:rPr>
              <w:t>X</w:t>
            </w:r>
          </w:p>
        </w:tc>
        <w:tc>
          <w:tcPr>
            <w:tcW w:w="109" w:type="dxa"/>
            <w:tcBorders/>
            <w:vAlign w:val="bottom"/>
          </w:tcPr>
          <w:p>
            <w:pPr>
              <w:pStyle w:val="TableContents"/>
              <w:bidi w:val="0"/>
              <w:spacing w:before="0" w:after="283"/>
              <w:jc w:val="left"/>
              <w:rPr/>
            </w:pPr>
            <w:r>
              <w:rPr/>
              <w:t> </w:t>
            </w:r>
          </w:p>
        </w:tc>
        <w:tc>
          <w:tcPr>
            <w:tcW w:w="423"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8594" w:type="dxa"/>
            <w:tcBorders/>
          </w:tcPr>
          <w:p>
            <w:pPr>
              <w:pStyle w:val="TableContents"/>
              <w:bidi w:val="0"/>
              <w:spacing w:before="0" w:after="283"/>
              <w:jc w:val="left"/>
              <w:rPr/>
            </w:pPr>
            <w:r>
              <w:rPr/>
              <w:t>the total number of shares of Common Stock issuable pursuant to such rights, options or warrants; and</w:t>
            </w:r>
          </w:p>
        </w:tc>
      </w:tr>
      <w:tr>
        <w:trPr>
          <w:trHeight w:val="120" w:hRule="atLeast"/>
        </w:trPr>
        <w:tc>
          <w:tcPr>
            <w:tcW w:w="958" w:type="dxa"/>
            <w:tcBorders/>
            <w:vAlign w:val="center"/>
          </w:tcPr>
          <w:p>
            <w:pPr>
              <w:pStyle w:val="TableContents"/>
              <w:bidi w:val="0"/>
              <w:spacing w:before="0" w:after="283"/>
              <w:jc w:val="left"/>
              <w:rPr>
                <w:sz w:val="4"/>
                <w:szCs w:val="4"/>
              </w:rPr>
            </w:pPr>
            <w:r>
              <w:rPr>
                <w:sz w:val="4"/>
                <w:szCs w:val="4"/>
              </w:rPr>
            </w:r>
          </w:p>
        </w:tc>
        <w:tc>
          <w:tcPr>
            <w:tcW w:w="532" w:type="dxa"/>
            <w:gridSpan w:val="2"/>
            <w:tcBorders/>
            <w:vAlign w:val="center"/>
          </w:tcPr>
          <w:p>
            <w:pPr>
              <w:pStyle w:val="TableContents"/>
              <w:bidi w:val="0"/>
              <w:spacing w:before="0" w:after="283"/>
              <w:jc w:val="left"/>
              <w:rPr>
                <w:sz w:val="4"/>
                <w:szCs w:val="4"/>
              </w:rPr>
            </w:pPr>
            <w:r>
              <w:rPr>
                <w:sz w:val="4"/>
                <w:szCs w:val="4"/>
              </w:rPr>
            </w:r>
          </w:p>
        </w:tc>
        <w:tc>
          <w:tcPr>
            <w:tcW w:w="8715" w:type="dxa"/>
            <w:gridSpan w:val="2"/>
            <w:tcBorders/>
            <w:vAlign w:val="center"/>
          </w:tcPr>
          <w:p>
            <w:pPr>
              <w:pStyle w:val="TableContents"/>
              <w:bidi w:val="0"/>
              <w:spacing w:before="0" w:after="283"/>
              <w:jc w:val="left"/>
              <w:rPr>
                <w:sz w:val="4"/>
                <w:szCs w:val="4"/>
              </w:rPr>
            </w:pPr>
            <w:r>
              <w:rPr>
                <w:sz w:val="4"/>
                <w:szCs w:val="4"/>
              </w:rPr>
            </w:r>
          </w:p>
        </w:tc>
      </w:tr>
      <w:tr>
        <w:trPr/>
        <w:tc>
          <w:tcPr>
            <w:tcW w:w="958" w:type="dxa"/>
            <w:tcBorders/>
          </w:tcPr>
          <w:p>
            <w:pPr>
              <w:pStyle w:val="TableContents"/>
              <w:bidi w:val="0"/>
              <w:spacing w:before="0" w:after="0"/>
              <w:jc w:val="left"/>
              <w:rPr>
                <w:rFonts w:ascii="Times New Roman" w:hAnsi="Times New Roman"/>
                <w:i/>
                <w:sz w:val="20"/>
              </w:rPr>
            </w:pPr>
            <w:r>
              <w:rPr>
                <w:rFonts w:ascii="Times New Roman" w:hAnsi="Times New Roman"/>
                <w:i/>
                <w:sz w:val="20"/>
              </w:rPr>
              <w:t>Y</w:t>
            </w:r>
          </w:p>
        </w:tc>
        <w:tc>
          <w:tcPr>
            <w:tcW w:w="109" w:type="dxa"/>
            <w:tcBorders/>
            <w:vAlign w:val="bottom"/>
          </w:tcPr>
          <w:p>
            <w:pPr>
              <w:pStyle w:val="TableContents"/>
              <w:bidi w:val="0"/>
              <w:spacing w:before="0" w:after="283"/>
              <w:jc w:val="left"/>
              <w:rPr/>
            </w:pPr>
            <w:r>
              <w:rPr/>
              <w:t> </w:t>
            </w:r>
          </w:p>
        </w:tc>
        <w:tc>
          <w:tcPr>
            <w:tcW w:w="423"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8594" w:type="dxa"/>
            <w:tcBorders/>
          </w:tcPr>
          <w:p>
            <w:pPr>
              <w:pStyle w:val="TableContents"/>
              <w:bidi w:val="0"/>
              <w:spacing w:before="0" w:after="283"/>
              <w:jc w:val="left"/>
              <w:rPr/>
            </w:pPr>
            <w:r>
              <w:rPr/>
              <w:t>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Common Stock actually delivered upon exercise of such rights, options or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5.05(A)(ii)</w:t>
      </w:r>
      <w:r>
        <w:rPr>
          <w:rFonts w:ascii="Times New Roman" w:hAnsi="Times New Roman"/>
          <w:sz w:val="20"/>
        </w:rPr>
        <w:t xml:space="preserve"> and </w:t>
      </w:r>
      <w:r>
        <w:rPr>
          <w:rFonts w:ascii="Times New Roman" w:hAnsi="Times New Roman"/>
          <w:b/>
          <w:sz w:val="20"/>
        </w:rPr>
        <w:t>Section</w:t>
      </w:r>
      <w:r>
        <w:rPr>
          <w:rFonts w:ascii="Times New Roman" w:hAnsi="Times New Roman"/>
          <w:sz w:val="20"/>
        </w:rPr>
        <w:t> </w:t>
      </w:r>
      <w:r>
        <w:rPr>
          <w:rFonts w:ascii="Times New Roman" w:hAnsi="Times New Roman"/>
          <w:b/>
          <w:sz w:val="20"/>
        </w:rPr>
        <w:t>5.01(C)(i)(3)(a)(I)</w:t>
      </w:r>
      <w:r>
        <w:rPr>
          <w:rFonts w:ascii="Times New Roman" w:hAnsi="Times New Roman"/>
          <w:sz w:val="20"/>
        </w:rPr>
        <w:t xml:space="preserve">,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Company in good faith and in a commercially reasonable manner.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Spin-Offs and Other Distributed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Distributions Other than Spin-Offs</w:t>
      </w:r>
      <w:r>
        <w:rPr>
          <w:rFonts w:ascii="Times New Roman" w:hAnsi="Times New Roman"/>
          <w:sz w:val="20"/>
        </w:rPr>
        <w:t xml:space="preserve">. If the Company distributes shares of its Capital Stock, evidences of its indebtedness or other assets or property of the Company, or rights, options or warrants to acquire Capital Stock of the Company or other securities, to all or substantially all holders of the Common Stock, excluding: </w:t>
      </w:r>
    </w:p>
    <w:p>
      <w:pPr>
        <w:pStyle w:val="TextBody"/>
        <w:bidi w:val="0"/>
        <w:spacing w:before="120" w:after="0"/>
        <w:jc w:val="left"/>
        <w:rPr>
          <w:rFonts w:ascii="Times New Roman" w:hAnsi="Times New Roman"/>
          <w:sz w:val="20"/>
        </w:rPr>
      </w:pPr>
      <w:r>
        <w:rPr>
          <w:rFonts w:ascii="Times New Roman" w:hAnsi="Times New Roman"/>
          <w:sz w:val="20"/>
        </w:rPr>
        <w:t xml:space="preserve">(u) dividends, distributions, rights, options or warrants for which an adjustment to the Conversion Rate is required (or would be required without regard to </w:t>
      </w:r>
      <w:r>
        <w:rPr>
          <w:rFonts w:ascii="Times New Roman" w:hAnsi="Times New Roman"/>
          <w:b/>
          <w:sz w:val="20"/>
        </w:rPr>
        <w:t>Section</w:t>
      </w:r>
      <w:r>
        <w:rPr>
          <w:rFonts w:ascii="Times New Roman" w:hAnsi="Times New Roman"/>
          <w:sz w:val="20"/>
        </w:rPr>
        <w:t> </w:t>
      </w:r>
      <w:r>
        <w:rPr>
          <w:rFonts w:ascii="Times New Roman" w:hAnsi="Times New Roman"/>
          <w:b/>
          <w:sz w:val="20"/>
        </w:rPr>
        <w:t>5.05(C)</w:t>
      </w:r>
      <w:r>
        <w:rPr>
          <w:rFonts w:ascii="Times New Roman" w:hAnsi="Times New Roman"/>
          <w:sz w:val="20"/>
        </w:rPr>
        <w:t xml:space="preserv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5.05(A)(i)</w:t>
      </w:r>
      <w:r>
        <w:rPr>
          <w:rFonts w:ascii="Times New Roman" w:hAnsi="Times New Roman"/>
          <w:sz w:val="20"/>
        </w:rPr>
        <w:t xml:space="preserve"> or </w:t>
      </w:r>
      <w:r>
        <w:rPr>
          <w:rFonts w:ascii="Times New Roman" w:hAnsi="Times New Roman"/>
          <w:b/>
          <w:sz w:val="20"/>
        </w:rPr>
        <w:t>5.05(A)(ii)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dividends or distributions paid exclusively in cash for which an adjustment to the Conversion Rate is required (or would be required without regard to </w:t>
      </w:r>
      <w:r>
        <w:rPr>
          <w:rFonts w:ascii="Times New Roman" w:hAnsi="Times New Roman"/>
          <w:b/>
          <w:sz w:val="20"/>
        </w:rPr>
        <w:t>Section</w:t>
      </w:r>
      <w:r>
        <w:rPr>
          <w:rFonts w:ascii="Times New Roman" w:hAnsi="Times New Roman"/>
          <w:sz w:val="20"/>
        </w:rPr>
        <w:t> </w:t>
      </w:r>
      <w:r>
        <w:rPr>
          <w:rFonts w:ascii="Times New Roman" w:hAnsi="Times New Roman"/>
          <w:b/>
          <w:sz w:val="20"/>
        </w:rPr>
        <w:t>5.05(C)</w:t>
      </w:r>
      <w:r>
        <w:rPr>
          <w:rFonts w:ascii="Times New Roman" w:hAnsi="Times New Roman"/>
          <w:sz w:val="20"/>
        </w:rPr>
        <w:t xml:space="preserv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5.05(A)(iv)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 rights issued or otherwise distributed pursuant to a stockholder rights plan, except to the extent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5.05(F)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 Spin-Offs for which an adjustment to the Conversion Rate is required (or would be required without regard to </w:t>
      </w:r>
      <w:r>
        <w:rPr>
          <w:rFonts w:ascii="Times New Roman" w:hAnsi="Times New Roman"/>
          <w:b/>
          <w:sz w:val="20"/>
        </w:rPr>
        <w:t>Section</w:t>
      </w:r>
      <w:r>
        <w:rPr>
          <w:rFonts w:ascii="Times New Roman" w:hAnsi="Times New Roman"/>
          <w:sz w:val="20"/>
        </w:rPr>
        <w:t> </w:t>
      </w:r>
      <w:r>
        <w:rPr>
          <w:rFonts w:ascii="Times New Roman" w:hAnsi="Times New Roman"/>
          <w:b/>
          <w:sz w:val="20"/>
        </w:rPr>
        <w:t>5.05(C)</w:t>
      </w:r>
      <w:r>
        <w:rPr>
          <w:rFonts w:ascii="Times New Roman" w:hAnsi="Times New Roman"/>
          <w:sz w:val="20"/>
        </w:rPr>
        <w:t xml:space="preserv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5.05(A)(iii)(2)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(y) a distribution solely pursuant to a tender offer or exchange offer for shares of Common Stock, as to which</w:t>
        <w:br/>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will apply; and </w:t>
      </w:r>
    </w:p>
    <w:p>
      <w:pPr>
        <w:pStyle w:val="TextBody"/>
        <w:bidi w:val="0"/>
        <w:spacing w:before="120" w:after="0"/>
        <w:jc w:val="left"/>
        <w:rPr>
          <w:rFonts w:ascii="Times New Roman" w:hAnsi="Times New Roman"/>
          <w:sz w:val="20"/>
        </w:rPr>
      </w:pPr>
      <w:r>
        <w:rPr>
          <w:rFonts w:ascii="Times New Roman" w:hAnsi="Times New Roman"/>
          <w:sz w:val="20"/>
        </w:rPr>
        <w:t xml:space="preserve">(z) a distribution solely pursuant to a Common Stock Change Event, as to which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will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then the Conversion Rate will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409700" cy="333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09700" cy="3333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51"/>
        <w:gridCol w:w="108"/>
        <w:gridCol w:w="421"/>
        <w:gridCol w:w="120"/>
        <w:gridCol w:w="8005"/>
      </w:tblGrid>
      <w:tr>
        <w:trPr/>
        <w:tc>
          <w:tcPr>
            <w:tcW w:w="155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005" w:type="dxa"/>
            <w:tcBorders/>
            <w:vAlign w:val="center"/>
          </w:tcPr>
          <w:p>
            <w:pPr>
              <w:pStyle w:val="TableContents"/>
              <w:bidi w:val="0"/>
              <w:spacing w:before="0" w:after="283"/>
              <w:jc w:val="left"/>
              <w:rPr>
                <w:sz w:val="4"/>
                <w:szCs w:val="4"/>
              </w:rPr>
            </w:pPr>
            <w:r>
              <w:rPr>
                <w:sz w:val="4"/>
                <w:szCs w:val="4"/>
              </w:rPr>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i/>
                <w:sz w:val="20"/>
              </w:rPr>
              <w:t>CR</w:t>
            </w:r>
            <w:r>
              <w:rPr>
                <w:rFonts w:ascii="Times New Roman" w:hAnsi="Times New Roman"/>
                <w:sz w:val="20"/>
              </w:rPr>
              <w:t>0</w:t>
            </w:r>
          </w:p>
        </w:tc>
        <w:tc>
          <w:tcPr>
            <w:tcW w:w="108" w:type="dxa"/>
            <w:tcBorders/>
            <w:vAlign w:val="bottom"/>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005" w:type="dxa"/>
            <w:tcBorders/>
          </w:tcPr>
          <w:p>
            <w:pPr>
              <w:pStyle w:val="TableContents"/>
              <w:bidi w:val="0"/>
              <w:spacing w:before="0" w:after="283"/>
              <w:jc w:val="left"/>
              <w:rPr/>
            </w:pPr>
            <w:r>
              <w:rPr/>
              <w:t>the Conversion Rate in effect immediately before the Open of Business on the Ex-Dividend Date for such distribution;</w:t>
            </w:r>
          </w:p>
        </w:tc>
      </w:tr>
      <w:tr>
        <w:trPr>
          <w:trHeight w:val="120" w:hRule="atLeast"/>
        </w:trPr>
        <w:tc>
          <w:tcPr>
            <w:tcW w:w="1551" w:type="dxa"/>
            <w:tcBorders/>
            <w:vAlign w:val="center"/>
          </w:tcPr>
          <w:p>
            <w:pPr>
              <w:pStyle w:val="TableContents"/>
              <w:bidi w:val="0"/>
              <w:spacing w:before="0" w:after="283"/>
              <w:jc w:val="left"/>
              <w:rPr>
                <w:sz w:val="4"/>
                <w:szCs w:val="4"/>
              </w:rPr>
            </w:pPr>
            <w:r>
              <w:rPr>
                <w:sz w:val="4"/>
                <w:szCs w:val="4"/>
              </w:rPr>
            </w:r>
          </w:p>
        </w:tc>
        <w:tc>
          <w:tcPr>
            <w:tcW w:w="529" w:type="dxa"/>
            <w:gridSpan w:val="2"/>
            <w:tcBorders/>
            <w:vAlign w:val="center"/>
          </w:tcPr>
          <w:p>
            <w:pPr>
              <w:pStyle w:val="TableContents"/>
              <w:bidi w:val="0"/>
              <w:spacing w:before="0" w:after="283"/>
              <w:jc w:val="left"/>
              <w:rPr>
                <w:sz w:val="4"/>
                <w:szCs w:val="4"/>
              </w:rPr>
            </w:pPr>
            <w:r>
              <w:rPr>
                <w:sz w:val="4"/>
                <w:szCs w:val="4"/>
              </w:rPr>
            </w:r>
          </w:p>
        </w:tc>
        <w:tc>
          <w:tcPr>
            <w:tcW w:w="8125" w:type="dxa"/>
            <w:gridSpan w:val="2"/>
            <w:tcBorders/>
            <w:vAlign w:val="center"/>
          </w:tcPr>
          <w:p>
            <w:pPr>
              <w:pStyle w:val="TableContents"/>
              <w:bidi w:val="0"/>
              <w:spacing w:before="0" w:after="283"/>
              <w:jc w:val="left"/>
              <w:rPr>
                <w:sz w:val="4"/>
                <w:szCs w:val="4"/>
              </w:rPr>
            </w:pPr>
            <w:r>
              <w:rPr>
                <w:sz w:val="4"/>
                <w:szCs w:val="4"/>
              </w:rPr>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i/>
                <w:sz w:val="20"/>
              </w:rPr>
              <w:t>CR</w:t>
            </w:r>
            <w:r>
              <w:rPr>
                <w:rFonts w:ascii="Times New Roman" w:hAnsi="Times New Roman"/>
                <w:sz w:val="20"/>
              </w:rPr>
              <w:t>1</w:t>
            </w:r>
          </w:p>
        </w:tc>
        <w:tc>
          <w:tcPr>
            <w:tcW w:w="108" w:type="dxa"/>
            <w:tcBorders/>
            <w:vAlign w:val="bottom"/>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005" w:type="dxa"/>
            <w:tcBorders/>
          </w:tcPr>
          <w:p>
            <w:pPr>
              <w:pStyle w:val="TableContents"/>
              <w:bidi w:val="0"/>
              <w:spacing w:before="0" w:after="283"/>
              <w:jc w:val="left"/>
              <w:rPr/>
            </w:pPr>
            <w:r>
              <w:rPr/>
              <w:t>the Conversion Rate in effect immediately after the Open of Business on such Ex-Dividend Date;</w:t>
            </w:r>
          </w:p>
        </w:tc>
      </w:tr>
      <w:tr>
        <w:trPr>
          <w:trHeight w:val="120" w:hRule="atLeast"/>
        </w:trPr>
        <w:tc>
          <w:tcPr>
            <w:tcW w:w="1551" w:type="dxa"/>
            <w:tcBorders/>
            <w:vAlign w:val="center"/>
          </w:tcPr>
          <w:p>
            <w:pPr>
              <w:pStyle w:val="TableContents"/>
              <w:bidi w:val="0"/>
              <w:spacing w:before="0" w:after="283"/>
              <w:jc w:val="left"/>
              <w:rPr>
                <w:sz w:val="4"/>
                <w:szCs w:val="4"/>
              </w:rPr>
            </w:pPr>
            <w:r>
              <w:rPr>
                <w:sz w:val="4"/>
                <w:szCs w:val="4"/>
              </w:rPr>
            </w:r>
          </w:p>
        </w:tc>
        <w:tc>
          <w:tcPr>
            <w:tcW w:w="529" w:type="dxa"/>
            <w:gridSpan w:val="2"/>
            <w:tcBorders/>
            <w:vAlign w:val="center"/>
          </w:tcPr>
          <w:p>
            <w:pPr>
              <w:pStyle w:val="TableContents"/>
              <w:bidi w:val="0"/>
              <w:spacing w:before="0" w:after="283"/>
              <w:jc w:val="left"/>
              <w:rPr>
                <w:sz w:val="4"/>
                <w:szCs w:val="4"/>
              </w:rPr>
            </w:pPr>
            <w:r>
              <w:rPr>
                <w:sz w:val="4"/>
                <w:szCs w:val="4"/>
              </w:rPr>
            </w:r>
          </w:p>
        </w:tc>
        <w:tc>
          <w:tcPr>
            <w:tcW w:w="8125" w:type="dxa"/>
            <w:gridSpan w:val="2"/>
            <w:tcBorders/>
            <w:vAlign w:val="center"/>
          </w:tcPr>
          <w:p>
            <w:pPr>
              <w:pStyle w:val="TableContents"/>
              <w:bidi w:val="0"/>
              <w:spacing w:before="0" w:after="283"/>
              <w:jc w:val="left"/>
              <w:rPr>
                <w:sz w:val="4"/>
                <w:szCs w:val="4"/>
              </w:rPr>
            </w:pPr>
            <w:r>
              <w:rPr>
                <w:sz w:val="4"/>
                <w:szCs w:val="4"/>
              </w:rPr>
            </w:r>
          </w:p>
        </w:tc>
      </w:tr>
      <w:tr>
        <w:trPr/>
        <w:tc>
          <w:tcPr>
            <w:tcW w:w="1551" w:type="dxa"/>
            <w:tcBorders/>
          </w:tcPr>
          <w:p>
            <w:pPr>
              <w:pStyle w:val="TableContents"/>
              <w:bidi w:val="0"/>
              <w:spacing w:before="0" w:after="0"/>
              <w:jc w:val="left"/>
              <w:rPr>
                <w:rFonts w:ascii="Times New Roman" w:hAnsi="Times New Roman"/>
                <w:i/>
                <w:sz w:val="20"/>
              </w:rPr>
            </w:pPr>
            <w:r>
              <w:rPr>
                <w:rFonts w:ascii="Times New Roman" w:hAnsi="Times New Roman"/>
                <w:i/>
                <w:sz w:val="20"/>
              </w:rPr>
              <w:t>SP</w:t>
            </w:r>
          </w:p>
        </w:tc>
        <w:tc>
          <w:tcPr>
            <w:tcW w:w="108" w:type="dxa"/>
            <w:tcBorders/>
            <w:vAlign w:val="bottom"/>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005" w:type="dxa"/>
            <w:tcBorders/>
          </w:tcPr>
          <w:p>
            <w:pPr>
              <w:pStyle w:val="TableContents"/>
              <w:bidi w:val="0"/>
              <w:spacing w:before="0" w:after="283"/>
              <w:jc w:val="left"/>
              <w:rPr/>
            </w:pPr>
            <w:r>
              <w:rPr/>
              <w:t>the average of the Last Reported Sale Prices per share of Common Stock for the ten (10) consecutive Trading Days ending on, and including, the Trading Day immediately before such Ex-Dividend Date; and</w:t>
            </w:r>
          </w:p>
        </w:tc>
      </w:tr>
      <w:tr>
        <w:trPr>
          <w:trHeight w:val="120" w:hRule="atLeast"/>
        </w:trPr>
        <w:tc>
          <w:tcPr>
            <w:tcW w:w="1551" w:type="dxa"/>
            <w:tcBorders/>
            <w:vAlign w:val="center"/>
          </w:tcPr>
          <w:p>
            <w:pPr>
              <w:pStyle w:val="TableContents"/>
              <w:bidi w:val="0"/>
              <w:spacing w:before="0" w:after="283"/>
              <w:jc w:val="left"/>
              <w:rPr>
                <w:sz w:val="4"/>
                <w:szCs w:val="4"/>
              </w:rPr>
            </w:pPr>
            <w:r>
              <w:rPr>
                <w:sz w:val="4"/>
                <w:szCs w:val="4"/>
              </w:rPr>
            </w:r>
          </w:p>
        </w:tc>
        <w:tc>
          <w:tcPr>
            <w:tcW w:w="529" w:type="dxa"/>
            <w:gridSpan w:val="2"/>
            <w:tcBorders/>
            <w:vAlign w:val="center"/>
          </w:tcPr>
          <w:p>
            <w:pPr>
              <w:pStyle w:val="TableContents"/>
              <w:bidi w:val="0"/>
              <w:spacing w:before="0" w:after="283"/>
              <w:jc w:val="left"/>
              <w:rPr>
                <w:sz w:val="4"/>
                <w:szCs w:val="4"/>
              </w:rPr>
            </w:pPr>
            <w:r>
              <w:rPr>
                <w:sz w:val="4"/>
                <w:szCs w:val="4"/>
              </w:rPr>
            </w:r>
          </w:p>
        </w:tc>
        <w:tc>
          <w:tcPr>
            <w:tcW w:w="8125" w:type="dxa"/>
            <w:gridSpan w:val="2"/>
            <w:tcBorders/>
            <w:vAlign w:val="center"/>
          </w:tcPr>
          <w:p>
            <w:pPr>
              <w:pStyle w:val="TableContents"/>
              <w:bidi w:val="0"/>
              <w:spacing w:before="0" w:after="283"/>
              <w:jc w:val="left"/>
              <w:rPr>
                <w:sz w:val="4"/>
                <w:szCs w:val="4"/>
              </w:rPr>
            </w:pPr>
            <w:r>
              <w:rPr>
                <w:sz w:val="4"/>
                <w:szCs w:val="4"/>
              </w:rPr>
            </w:r>
          </w:p>
        </w:tc>
      </w:tr>
      <w:tr>
        <w:trPr/>
        <w:tc>
          <w:tcPr>
            <w:tcW w:w="1551" w:type="dxa"/>
            <w:tcBorders/>
          </w:tcPr>
          <w:p>
            <w:pPr>
              <w:pStyle w:val="TableContents"/>
              <w:bidi w:val="0"/>
              <w:spacing w:before="0" w:after="0"/>
              <w:jc w:val="left"/>
              <w:rPr>
                <w:rFonts w:ascii="Times New Roman" w:hAnsi="Times New Roman"/>
                <w:i/>
                <w:sz w:val="20"/>
              </w:rPr>
            </w:pPr>
            <w:r>
              <w:rPr>
                <w:rFonts w:ascii="Times New Roman" w:hAnsi="Times New Roman"/>
                <w:i/>
                <w:sz w:val="20"/>
              </w:rPr>
              <w:t>FMV</w:t>
            </w:r>
          </w:p>
        </w:tc>
        <w:tc>
          <w:tcPr>
            <w:tcW w:w="108" w:type="dxa"/>
            <w:tcBorders/>
            <w:vAlign w:val="bottom"/>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005" w:type="dxa"/>
            <w:tcBorders/>
          </w:tcPr>
          <w:p>
            <w:pPr>
              <w:pStyle w:val="TableContents"/>
              <w:bidi w:val="0"/>
              <w:spacing w:before="0" w:after="283"/>
              <w:jc w:val="left"/>
              <w:rPr/>
            </w:pPr>
            <w:r>
              <w:rPr/>
              <w:t>the fair market value (as determined by the Company in good faith and in a commercially reasonable manner), as of such Ex-Dividend Date, of the shares of Capital Stock, evidences of indebtedness, assets, property, rights, options or warrants distributed per share of Common Stock pursuant to such distribution;</w:t>
            </w:r>
          </w:p>
        </w:tc>
      </w:tr>
    </w:tbl>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w:t>
      </w:r>
      <w:r>
        <w:rPr>
          <w:rFonts w:ascii="Times New Roman" w:hAnsi="Times New Roman"/>
          <w:i/>
          <w:sz w:val="20"/>
        </w:rPr>
        <w:t>FMV</w:t>
      </w:r>
      <w:r>
        <w:rPr>
          <w:rFonts w:ascii="Times New Roman" w:hAnsi="Times New Roman"/>
          <w:sz w:val="20"/>
        </w:rPr>
        <w:t xml:space="preserve"> is equal to or greater than </w:t>
      </w:r>
      <w:r>
        <w:rPr>
          <w:rFonts w:ascii="Times New Roman" w:hAnsi="Times New Roman"/>
          <w:i/>
          <w:sz w:val="20"/>
        </w:rPr>
        <w:t>SP</w:t>
      </w:r>
      <w:r>
        <w:rPr>
          <w:rFonts w:ascii="Times New Roman" w:hAnsi="Times New Roman"/>
          <w:sz w:val="20"/>
        </w:rPr>
        <w:t xml:space="preserve">, then, in lieu of the foregoing adjustment to the Conversion Rate, each Holder will receive, for each $1,000 principal amount of Notes held by such Holder on the record date for such distribution, at the same time and on the same terms as holders of Common Stock, the amount and kind of shares of Capital Stock, evidences of indebtedness, assets, property, rights, options or warrants that such Holder would have received in such distribution if such Holder had owned, on such record date, a number of shares of Common Stock equal to the Conversion Rate in effect on such record date.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such distribution is not so paid or made, the Conversion Rate will be readjusted to the Conversion Rate that would then be in effect had the adjustment been made on the basis of only the distribution, if any, actually made or paid.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Spin-Offs</w:t>
      </w:r>
      <w:r>
        <w:rPr>
          <w:rFonts w:ascii="Times New Roman" w:hAnsi="Times New Roman"/>
          <w:sz w:val="20"/>
        </w:rPr>
        <w:t xml:space="preserve">. If the Company distributes or dividends shares of Capital Stock of any class or series, or similar equity interests, of or relating to an Affiliate, a Subsidiary or other business unit of the Company to all or substantially all holders of the Common Stock (other than solely pursuant to (x) a Common Stock Change Event, as to which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will apply; or (y) a tender offer or exchange offer for shares of Common Stock, as to which </w:t>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will apply), and such Capital Stock or equity interests are listed or quoted (or will be listed or quoted upon the consummation of the transaction) on a U.S. national securities exchange (a “</w:t>
      </w:r>
      <w:r>
        <w:rPr>
          <w:rFonts w:ascii="Times New Roman" w:hAnsi="Times New Roman"/>
          <w:b/>
          <w:sz w:val="20"/>
        </w:rPr>
        <w:t>Spin-Off</w:t>
      </w:r>
      <w:r>
        <w:rPr>
          <w:rFonts w:ascii="Times New Roman" w:hAnsi="Times New Roman"/>
          <w:sz w:val="20"/>
        </w:rPr>
        <w:t xml:space="preserve">”), then the Conversion Rate will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419225" cy="361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19225" cy="3619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55"/>
        <w:gridCol w:w="108"/>
        <w:gridCol w:w="422"/>
        <w:gridCol w:w="120"/>
        <w:gridCol w:w="8000"/>
      </w:tblGrid>
      <w:tr>
        <w:trPr/>
        <w:tc>
          <w:tcPr>
            <w:tcW w:w="155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000" w:type="dxa"/>
            <w:tcBorders/>
            <w:vAlign w:val="center"/>
          </w:tcPr>
          <w:p>
            <w:pPr>
              <w:pStyle w:val="TableContents"/>
              <w:bidi w:val="0"/>
              <w:spacing w:before="0" w:after="283"/>
              <w:jc w:val="left"/>
              <w:rPr>
                <w:sz w:val="4"/>
                <w:szCs w:val="4"/>
              </w:rPr>
            </w:pPr>
            <w:r>
              <w:rPr>
                <w:sz w:val="4"/>
                <w:szCs w:val="4"/>
              </w:rPr>
            </w:r>
          </w:p>
        </w:tc>
      </w:tr>
      <w:tr>
        <w:trPr/>
        <w:tc>
          <w:tcPr>
            <w:tcW w:w="1555" w:type="dxa"/>
            <w:tcBorders/>
          </w:tcPr>
          <w:p>
            <w:pPr>
              <w:pStyle w:val="TableContents"/>
              <w:bidi w:val="0"/>
              <w:spacing w:before="0" w:after="0"/>
              <w:jc w:val="left"/>
              <w:rPr>
                <w:rFonts w:ascii="Times New Roman" w:hAnsi="Times New Roman"/>
                <w:sz w:val="20"/>
              </w:rPr>
            </w:pPr>
            <w:r>
              <w:rPr>
                <w:rFonts w:ascii="Times New Roman" w:hAnsi="Times New Roman"/>
                <w:i/>
                <w:sz w:val="20"/>
              </w:rPr>
              <w:t>CR</w:t>
            </w:r>
            <w:r>
              <w:rPr>
                <w:rFonts w:ascii="Times New Roman" w:hAnsi="Times New Roman"/>
                <w:sz w:val="20"/>
              </w:rPr>
              <w:t>0</w:t>
            </w:r>
          </w:p>
        </w:tc>
        <w:tc>
          <w:tcPr>
            <w:tcW w:w="108" w:type="dxa"/>
            <w:tcBorders/>
            <w:vAlign w:val="bottom"/>
          </w:tcPr>
          <w:p>
            <w:pPr>
              <w:pStyle w:val="TableContents"/>
              <w:bidi w:val="0"/>
              <w:spacing w:before="0" w:after="283"/>
              <w:jc w:val="left"/>
              <w:rPr/>
            </w:pPr>
            <w:r>
              <w:rPr/>
              <w:t> </w:t>
            </w:r>
          </w:p>
        </w:tc>
        <w:tc>
          <w:tcPr>
            <w:tcW w:w="422"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000" w:type="dxa"/>
            <w:tcBorders/>
          </w:tcPr>
          <w:p>
            <w:pPr>
              <w:pStyle w:val="TableContents"/>
              <w:bidi w:val="0"/>
              <w:spacing w:before="0" w:after="283"/>
              <w:jc w:val="left"/>
              <w:rPr/>
            </w:pPr>
            <w:r>
              <w:rPr/>
              <w:t>the Conversion Rate in effect immediately before the Close of Business on the last Trading Day of the Spin-Off Valuation Period for such Spin-Off;</w:t>
            </w:r>
          </w:p>
        </w:tc>
      </w:tr>
      <w:tr>
        <w:trPr>
          <w:trHeight w:val="120" w:hRule="atLeast"/>
        </w:trPr>
        <w:tc>
          <w:tcPr>
            <w:tcW w:w="1555" w:type="dxa"/>
            <w:tcBorders/>
            <w:vAlign w:val="center"/>
          </w:tcPr>
          <w:p>
            <w:pPr>
              <w:pStyle w:val="TableContents"/>
              <w:bidi w:val="0"/>
              <w:spacing w:before="0" w:after="283"/>
              <w:jc w:val="left"/>
              <w:rPr>
                <w:sz w:val="4"/>
                <w:szCs w:val="4"/>
              </w:rPr>
            </w:pPr>
            <w:r>
              <w:rPr>
                <w:sz w:val="4"/>
                <w:szCs w:val="4"/>
              </w:rPr>
            </w:r>
          </w:p>
        </w:tc>
        <w:tc>
          <w:tcPr>
            <w:tcW w:w="530" w:type="dxa"/>
            <w:gridSpan w:val="2"/>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r>
      <w:tr>
        <w:trPr/>
        <w:tc>
          <w:tcPr>
            <w:tcW w:w="1555" w:type="dxa"/>
            <w:tcBorders/>
          </w:tcPr>
          <w:p>
            <w:pPr>
              <w:pStyle w:val="TableContents"/>
              <w:bidi w:val="0"/>
              <w:spacing w:before="0" w:after="0"/>
              <w:jc w:val="left"/>
              <w:rPr>
                <w:rFonts w:ascii="Times New Roman" w:hAnsi="Times New Roman"/>
                <w:sz w:val="20"/>
              </w:rPr>
            </w:pPr>
            <w:r>
              <w:rPr>
                <w:rFonts w:ascii="Times New Roman" w:hAnsi="Times New Roman"/>
                <w:i/>
                <w:sz w:val="20"/>
              </w:rPr>
              <w:t>CR</w:t>
            </w:r>
            <w:r>
              <w:rPr>
                <w:rFonts w:ascii="Times New Roman" w:hAnsi="Times New Roman"/>
                <w:sz w:val="20"/>
              </w:rPr>
              <w:t>1</w:t>
            </w:r>
          </w:p>
        </w:tc>
        <w:tc>
          <w:tcPr>
            <w:tcW w:w="108" w:type="dxa"/>
            <w:tcBorders/>
            <w:vAlign w:val="bottom"/>
          </w:tcPr>
          <w:p>
            <w:pPr>
              <w:pStyle w:val="TableContents"/>
              <w:bidi w:val="0"/>
              <w:spacing w:before="0" w:after="283"/>
              <w:jc w:val="left"/>
              <w:rPr/>
            </w:pPr>
            <w:r>
              <w:rPr/>
              <w:t> </w:t>
            </w:r>
          </w:p>
        </w:tc>
        <w:tc>
          <w:tcPr>
            <w:tcW w:w="422"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000" w:type="dxa"/>
            <w:tcBorders/>
          </w:tcPr>
          <w:p>
            <w:pPr>
              <w:pStyle w:val="TableContents"/>
              <w:bidi w:val="0"/>
              <w:spacing w:before="0" w:after="283"/>
              <w:jc w:val="left"/>
              <w:rPr/>
            </w:pPr>
            <w:r>
              <w:rPr/>
              <w:t>the Conversion Rate in effect immediately after the Close of Business on the last Trading Day of the Spin-Off Valuation Period;</w:t>
            </w:r>
          </w:p>
        </w:tc>
      </w:tr>
      <w:tr>
        <w:trPr>
          <w:trHeight w:val="120" w:hRule="atLeast"/>
        </w:trPr>
        <w:tc>
          <w:tcPr>
            <w:tcW w:w="1555" w:type="dxa"/>
            <w:tcBorders/>
            <w:vAlign w:val="center"/>
          </w:tcPr>
          <w:p>
            <w:pPr>
              <w:pStyle w:val="TableContents"/>
              <w:bidi w:val="0"/>
              <w:spacing w:before="0" w:after="283"/>
              <w:jc w:val="left"/>
              <w:rPr>
                <w:sz w:val="4"/>
                <w:szCs w:val="4"/>
              </w:rPr>
            </w:pPr>
            <w:r>
              <w:rPr>
                <w:sz w:val="4"/>
                <w:szCs w:val="4"/>
              </w:rPr>
            </w:r>
          </w:p>
        </w:tc>
        <w:tc>
          <w:tcPr>
            <w:tcW w:w="530" w:type="dxa"/>
            <w:gridSpan w:val="2"/>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r>
      <w:tr>
        <w:trPr/>
        <w:tc>
          <w:tcPr>
            <w:tcW w:w="1555" w:type="dxa"/>
            <w:tcBorders/>
          </w:tcPr>
          <w:p>
            <w:pPr>
              <w:pStyle w:val="TableContents"/>
              <w:bidi w:val="0"/>
              <w:spacing w:before="0" w:after="0"/>
              <w:jc w:val="left"/>
              <w:rPr>
                <w:rFonts w:ascii="Times New Roman" w:hAnsi="Times New Roman"/>
                <w:i/>
                <w:sz w:val="20"/>
              </w:rPr>
            </w:pPr>
            <w:r>
              <w:rPr>
                <w:rFonts w:ascii="Times New Roman" w:hAnsi="Times New Roman"/>
                <w:i/>
                <w:sz w:val="20"/>
              </w:rPr>
              <w:t>FMV</w:t>
            </w:r>
          </w:p>
        </w:tc>
        <w:tc>
          <w:tcPr>
            <w:tcW w:w="108" w:type="dxa"/>
            <w:tcBorders/>
            <w:vAlign w:val="bottom"/>
          </w:tcPr>
          <w:p>
            <w:pPr>
              <w:pStyle w:val="TableContents"/>
              <w:bidi w:val="0"/>
              <w:spacing w:before="0" w:after="283"/>
              <w:jc w:val="left"/>
              <w:rPr/>
            </w:pPr>
            <w:r>
              <w:rPr/>
              <w:t> </w:t>
            </w:r>
          </w:p>
        </w:tc>
        <w:tc>
          <w:tcPr>
            <w:tcW w:w="422"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000" w:type="dxa"/>
            <w:tcBorders/>
          </w:tcPr>
          <w:p>
            <w:pPr>
              <w:pStyle w:val="TableContents"/>
              <w:bidi w:val="0"/>
              <w:spacing w:before="0" w:after="283"/>
              <w:jc w:val="left"/>
              <w:rPr/>
            </w:pPr>
            <w:r>
              <w:rPr/>
              <w:t>the product of (x) the average of the Last Reported Sale Prices per share or unit of the Capital Stock or equity interests distributed in such Spin-Off over the ten (10) consecutive Trading Day period (the “</w:t>
            </w:r>
            <w:r>
              <w:rPr>
                <w:b/>
              </w:rPr>
              <w:t>Spin-Off Valuation Period</w:t>
            </w:r>
            <w:r>
              <w:rPr/>
              <w:t>”) beginning on, and including, the Ex- Dividend Date for such Spin-Off (such average to be determined as if references to Common Stock in the definitions of Last Reported Sale Price, Trading Day and Market Disruption Event were instead references to such Capital Stock or equity interests); and (y) the number of shares or units of such Capital Stock or equity interests distributed per share of Common Stock in such Spin-Off; and</w:t>
            </w:r>
          </w:p>
        </w:tc>
      </w:tr>
      <w:tr>
        <w:trPr>
          <w:trHeight w:val="120" w:hRule="atLeast"/>
        </w:trPr>
        <w:tc>
          <w:tcPr>
            <w:tcW w:w="1555" w:type="dxa"/>
            <w:tcBorders/>
            <w:vAlign w:val="center"/>
          </w:tcPr>
          <w:p>
            <w:pPr>
              <w:pStyle w:val="TableContents"/>
              <w:bidi w:val="0"/>
              <w:spacing w:before="0" w:after="283"/>
              <w:jc w:val="left"/>
              <w:rPr>
                <w:sz w:val="4"/>
                <w:szCs w:val="4"/>
              </w:rPr>
            </w:pPr>
            <w:r>
              <w:rPr>
                <w:sz w:val="4"/>
                <w:szCs w:val="4"/>
              </w:rPr>
            </w:r>
          </w:p>
        </w:tc>
        <w:tc>
          <w:tcPr>
            <w:tcW w:w="530" w:type="dxa"/>
            <w:gridSpan w:val="2"/>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r>
      <w:tr>
        <w:trPr/>
        <w:tc>
          <w:tcPr>
            <w:tcW w:w="1555" w:type="dxa"/>
            <w:tcBorders/>
          </w:tcPr>
          <w:p>
            <w:pPr>
              <w:pStyle w:val="TableContents"/>
              <w:bidi w:val="0"/>
              <w:spacing w:before="0" w:after="0"/>
              <w:jc w:val="left"/>
              <w:rPr>
                <w:rFonts w:ascii="Times New Roman" w:hAnsi="Times New Roman"/>
                <w:i/>
                <w:sz w:val="20"/>
              </w:rPr>
            </w:pPr>
            <w:r>
              <w:rPr>
                <w:rFonts w:ascii="Times New Roman" w:hAnsi="Times New Roman"/>
                <w:i/>
                <w:sz w:val="20"/>
              </w:rPr>
              <w:t>SP</w:t>
            </w:r>
          </w:p>
        </w:tc>
        <w:tc>
          <w:tcPr>
            <w:tcW w:w="108" w:type="dxa"/>
            <w:tcBorders/>
            <w:vAlign w:val="bottom"/>
          </w:tcPr>
          <w:p>
            <w:pPr>
              <w:pStyle w:val="TableContents"/>
              <w:bidi w:val="0"/>
              <w:spacing w:before="0" w:after="283"/>
              <w:jc w:val="left"/>
              <w:rPr/>
            </w:pPr>
            <w:r>
              <w:rPr/>
              <w:t> </w:t>
            </w:r>
          </w:p>
        </w:tc>
        <w:tc>
          <w:tcPr>
            <w:tcW w:w="422"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000" w:type="dxa"/>
            <w:tcBorders/>
          </w:tcPr>
          <w:p>
            <w:pPr>
              <w:pStyle w:val="TableContents"/>
              <w:bidi w:val="0"/>
              <w:spacing w:before="0" w:after="283"/>
              <w:jc w:val="left"/>
              <w:rPr/>
            </w:pPr>
            <w:r>
              <w:rPr/>
              <w:t>the average of the Last Reported Sale Prices per share of Common Stock for each Trading Day in the Spin-Off Valuation Period.</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5.05(A)(iii)(2)</w:t>
      </w:r>
      <w:r>
        <w:rPr>
          <w:rFonts w:ascii="Times New Roman" w:hAnsi="Times New Roman"/>
          <w:sz w:val="20"/>
        </w:rPr>
        <w:t xml:space="preserve">,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such Spin-Off, then, solely for purposes of determining the Conversion Consideration for such Conversion, such Spin-Off Valuation Period will be deemed to consist of the Trading Days occurring in the period from, and including, the Ex-Dividend Date for such Spin-Off to, and including, such Conversion Date.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any dividend or distribution of the type set forth in this </w:t>
      </w:r>
      <w:r>
        <w:rPr>
          <w:rFonts w:ascii="Times New Roman" w:hAnsi="Times New Roman"/>
          <w:b/>
          <w:sz w:val="20"/>
        </w:rPr>
        <w:t>Section</w:t>
      </w:r>
      <w:r>
        <w:rPr>
          <w:rFonts w:ascii="Times New Roman" w:hAnsi="Times New Roman"/>
          <w:sz w:val="20"/>
        </w:rPr>
        <w:t> </w:t>
      </w:r>
      <w:r>
        <w:rPr>
          <w:rFonts w:ascii="Times New Roman" w:hAnsi="Times New Roman"/>
          <w:b/>
          <w:sz w:val="20"/>
        </w:rPr>
        <w:t>5.05(A)(iii)(2)</w:t>
      </w:r>
      <w:r>
        <w:rPr>
          <w:rFonts w:ascii="Times New Roman" w:hAnsi="Times New Roman"/>
          <w:sz w:val="20"/>
        </w:rPr>
        <w:t xml:space="preserve"> is declared but not made or paid, the Conversion Rate will be readjusted to the Conversion Rate that would then be in effect had the adjustment been made on the basis of only the dividend or distribution, if any, actually made or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Cash Dividends or Distributions</w:t>
      </w:r>
      <w:r>
        <w:rPr>
          <w:rFonts w:ascii="Times New Roman" w:hAnsi="Times New Roman"/>
          <w:sz w:val="20"/>
        </w:rPr>
        <w:t xml:space="preserve">. If any cash dividend or distribution is made to all or substantially all holders of Common Stock, then the Conversion Rate will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200150" cy="37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00150" cy="3714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95"/>
        <w:gridCol w:w="60"/>
        <w:gridCol w:w="156"/>
        <w:gridCol w:w="234"/>
        <w:gridCol w:w="876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8760" w:type="dxa"/>
            <w:tcBorders/>
            <w:vAlign w:val="center"/>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283"/>
              <w:jc w:val="left"/>
              <w:rPr/>
            </w:pPr>
            <w:r>
              <w:rPr/>
              <w:t>   </w:t>
            </w:r>
            <w:r>
              <w:rPr>
                <w:i/>
              </w:rPr>
              <w:t>CR0</w:t>
            </w:r>
          </w:p>
        </w:tc>
        <w:tc>
          <w:tcPr>
            <w:tcW w:w="60" w:type="dxa"/>
            <w:tcBorders/>
            <w:vAlign w:val="bottom"/>
          </w:tcPr>
          <w:p>
            <w:pPr>
              <w:pStyle w:val="TableContents"/>
              <w:bidi w:val="0"/>
              <w:spacing w:before="0" w:after="283"/>
              <w:jc w:val="left"/>
              <w:rPr/>
            </w:pPr>
            <w:r>
              <w:rPr/>
              <w:t> </w:t>
            </w:r>
          </w:p>
        </w:tc>
        <w:tc>
          <w:tcPr>
            <w:tcW w:w="156" w:type="dxa"/>
            <w:tcBorders/>
          </w:tcPr>
          <w:p>
            <w:pPr>
              <w:pStyle w:val="TableContents"/>
              <w:bidi w:val="0"/>
              <w:spacing w:before="0" w:after="283"/>
              <w:jc w:val="left"/>
              <w:rPr/>
            </w:pPr>
            <w:r>
              <w:rPr/>
              <w:t>=</w:t>
            </w:r>
          </w:p>
        </w:tc>
        <w:tc>
          <w:tcPr>
            <w:tcW w:w="234" w:type="dxa"/>
            <w:tcBorders/>
            <w:vAlign w:val="bottom"/>
          </w:tcPr>
          <w:p>
            <w:pPr>
              <w:pStyle w:val="TableContents"/>
              <w:bidi w:val="0"/>
              <w:spacing w:before="0" w:after="283"/>
              <w:jc w:val="left"/>
              <w:rPr/>
            </w:pPr>
            <w:r>
              <w:rPr/>
              <w:t>  </w:t>
            </w:r>
          </w:p>
        </w:tc>
        <w:tc>
          <w:tcPr>
            <w:tcW w:w="8760" w:type="dxa"/>
            <w:tcBorders/>
          </w:tcPr>
          <w:p>
            <w:pPr>
              <w:pStyle w:val="TableContents"/>
              <w:bidi w:val="0"/>
              <w:spacing w:before="0" w:after="283"/>
              <w:jc w:val="left"/>
              <w:rPr/>
            </w:pPr>
            <w:r>
              <w:rPr/>
              <w:t>the Conversion Rate in effect immediately before the Open of Business on the Ex-Dividend Date for such dividend or distribution;</w:t>
            </w:r>
          </w:p>
        </w:tc>
      </w:tr>
      <w:tr>
        <w:trPr>
          <w:trHeight w:val="120" w:hRule="atLeast"/>
        </w:trPr>
        <w:tc>
          <w:tcPr>
            <w:tcW w:w="995" w:type="dxa"/>
            <w:tcBorders/>
            <w:vAlign w:val="center"/>
          </w:tcPr>
          <w:p>
            <w:pPr>
              <w:pStyle w:val="TableContents"/>
              <w:bidi w:val="0"/>
              <w:spacing w:before="0" w:after="283"/>
              <w:jc w:val="left"/>
              <w:rPr>
                <w:sz w:val="4"/>
                <w:szCs w:val="4"/>
              </w:rPr>
            </w:pPr>
            <w:r>
              <w:rPr>
                <w:sz w:val="4"/>
                <w:szCs w:val="4"/>
              </w:rPr>
            </w:r>
          </w:p>
        </w:tc>
        <w:tc>
          <w:tcPr>
            <w:tcW w:w="216" w:type="dxa"/>
            <w:gridSpan w:val="2"/>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283"/>
              <w:jc w:val="left"/>
              <w:rPr/>
            </w:pPr>
            <w:r>
              <w:rPr/>
              <w:t>   </w:t>
            </w:r>
            <w:r>
              <w:rPr>
                <w:i/>
              </w:rPr>
              <w:t>CR1</w:t>
            </w:r>
          </w:p>
        </w:tc>
        <w:tc>
          <w:tcPr>
            <w:tcW w:w="60" w:type="dxa"/>
            <w:tcBorders/>
            <w:vAlign w:val="bottom"/>
          </w:tcPr>
          <w:p>
            <w:pPr>
              <w:pStyle w:val="TableContents"/>
              <w:bidi w:val="0"/>
              <w:spacing w:before="0" w:after="283"/>
              <w:jc w:val="left"/>
              <w:rPr/>
            </w:pPr>
            <w:r>
              <w:rPr/>
              <w:t> </w:t>
            </w:r>
          </w:p>
        </w:tc>
        <w:tc>
          <w:tcPr>
            <w:tcW w:w="156" w:type="dxa"/>
            <w:tcBorders/>
          </w:tcPr>
          <w:p>
            <w:pPr>
              <w:pStyle w:val="TableContents"/>
              <w:bidi w:val="0"/>
              <w:spacing w:before="0" w:after="283"/>
              <w:jc w:val="left"/>
              <w:rPr/>
            </w:pPr>
            <w:r>
              <w:rPr/>
              <w:t>=</w:t>
            </w:r>
          </w:p>
        </w:tc>
        <w:tc>
          <w:tcPr>
            <w:tcW w:w="234" w:type="dxa"/>
            <w:tcBorders/>
            <w:vAlign w:val="bottom"/>
          </w:tcPr>
          <w:p>
            <w:pPr>
              <w:pStyle w:val="TableContents"/>
              <w:bidi w:val="0"/>
              <w:spacing w:before="0" w:after="283"/>
              <w:jc w:val="left"/>
              <w:rPr/>
            </w:pPr>
            <w:r>
              <w:rPr/>
              <w:t>  </w:t>
            </w:r>
          </w:p>
        </w:tc>
        <w:tc>
          <w:tcPr>
            <w:tcW w:w="8760" w:type="dxa"/>
            <w:tcBorders/>
          </w:tcPr>
          <w:p>
            <w:pPr>
              <w:pStyle w:val="TableContents"/>
              <w:bidi w:val="0"/>
              <w:spacing w:before="0" w:after="283"/>
              <w:jc w:val="left"/>
              <w:rPr/>
            </w:pPr>
            <w:r>
              <w:rPr/>
              <w:t>the Conversion Rate in effect immediately after the Open of Business on such Ex-Dividend Date;</w:t>
            </w:r>
          </w:p>
        </w:tc>
      </w:tr>
      <w:tr>
        <w:trPr>
          <w:trHeight w:val="120" w:hRule="atLeast"/>
        </w:trPr>
        <w:tc>
          <w:tcPr>
            <w:tcW w:w="995" w:type="dxa"/>
            <w:tcBorders/>
            <w:vAlign w:val="center"/>
          </w:tcPr>
          <w:p>
            <w:pPr>
              <w:pStyle w:val="TableContents"/>
              <w:bidi w:val="0"/>
              <w:spacing w:before="0" w:after="283"/>
              <w:jc w:val="left"/>
              <w:rPr>
                <w:sz w:val="4"/>
                <w:szCs w:val="4"/>
              </w:rPr>
            </w:pPr>
            <w:r>
              <w:rPr>
                <w:sz w:val="4"/>
                <w:szCs w:val="4"/>
              </w:rPr>
            </w:r>
          </w:p>
        </w:tc>
        <w:tc>
          <w:tcPr>
            <w:tcW w:w="216" w:type="dxa"/>
            <w:gridSpan w:val="2"/>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283"/>
              <w:jc w:val="left"/>
              <w:rPr/>
            </w:pPr>
            <w:r>
              <w:rPr/>
              <w:t>   </w:t>
            </w:r>
            <w:r>
              <w:rPr>
                <w:i/>
              </w:rPr>
              <w:t>SP</w:t>
            </w:r>
          </w:p>
        </w:tc>
        <w:tc>
          <w:tcPr>
            <w:tcW w:w="60" w:type="dxa"/>
            <w:tcBorders/>
            <w:vAlign w:val="bottom"/>
          </w:tcPr>
          <w:p>
            <w:pPr>
              <w:pStyle w:val="TableContents"/>
              <w:bidi w:val="0"/>
              <w:spacing w:before="0" w:after="283"/>
              <w:jc w:val="left"/>
              <w:rPr/>
            </w:pPr>
            <w:r>
              <w:rPr/>
              <w:t> </w:t>
            </w:r>
          </w:p>
        </w:tc>
        <w:tc>
          <w:tcPr>
            <w:tcW w:w="156" w:type="dxa"/>
            <w:tcBorders/>
          </w:tcPr>
          <w:p>
            <w:pPr>
              <w:pStyle w:val="TableContents"/>
              <w:bidi w:val="0"/>
              <w:spacing w:before="0" w:after="283"/>
              <w:jc w:val="left"/>
              <w:rPr/>
            </w:pPr>
            <w:r>
              <w:rPr/>
              <w:t>=</w:t>
            </w:r>
          </w:p>
        </w:tc>
        <w:tc>
          <w:tcPr>
            <w:tcW w:w="234" w:type="dxa"/>
            <w:tcBorders/>
            <w:vAlign w:val="bottom"/>
          </w:tcPr>
          <w:p>
            <w:pPr>
              <w:pStyle w:val="TableContents"/>
              <w:bidi w:val="0"/>
              <w:spacing w:before="0" w:after="283"/>
              <w:jc w:val="left"/>
              <w:rPr/>
            </w:pPr>
            <w:r>
              <w:rPr/>
              <w:t>  </w:t>
            </w:r>
          </w:p>
        </w:tc>
        <w:tc>
          <w:tcPr>
            <w:tcW w:w="8760" w:type="dxa"/>
            <w:tcBorders/>
          </w:tcPr>
          <w:p>
            <w:pPr>
              <w:pStyle w:val="TableContents"/>
              <w:bidi w:val="0"/>
              <w:spacing w:before="0" w:after="283"/>
              <w:jc w:val="left"/>
              <w:rPr/>
            </w:pPr>
            <w:r>
              <w:rPr/>
              <w:t>the Last Reported Sale Price per share of Common Stock on the Trading Day immediately before such Ex-Dividend Date; and</w:t>
            </w:r>
          </w:p>
        </w:tc>
      </w:tr>
      <w:tr>
        <w:trPr>
          <w:trHeight w:val="120" w:hRule="atLeast"/>
        </w:trPr>
        <w:tc>
          <w:tcPr>
            <w:tcW w:w="995" w:type="dxa"/>
            <w:tcBorders/>
            <w:vAlign w:val="center"/>
          </w:tcPr>
          <w:p>
            <w:pPr>
              <w:pStyle w:val="TableContents"/>
              <w:bidi w:val="0"/>
              <w:spacing w:before="0" w:after="283"/>
              <w:jc w:val="left"/>
              <w:rPr>
                <w:sz w:val="4"/>
                <w:szCs w:val="4"/>
              </w:rPr>
            </w:pPr>
            <w:r>
              <w:rPr>
                <w:sz w:val="4"/>
                <w:szCs w:val="4"/>
              </w:rPr>
            </w:r>
          </w:p>
        </w:tc>
        <w:tc>
          <w:tcPr>
            <w:tcW w:w="216" w:type="dxa"/>
            <w:gridSpan w:val="2"/>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283"/>
              <w:jc w:val="left"/>
              <w:rPr/>
            </w:pPr>
            <w:r>
              <w:rPr/>
              <w:t>   </w:t>
            </w:r>
            <w:r>
              <w:rPr>
                <w:i/>
              </w:rPr>
              <w:t>D</w:t>
            </w:r>
          </w:p>
        </w:tc>
        <w:tc>
          <w:tcPr>
            <w:tcW w:w="60" w:type="dxa"/>
            <w:tcBorders/>
            <w:vAlign w:val="bottom"/>
          </w:tcPr>
          <w:p>
            <w:pPr>
              <w:pStyle w:val="TableContents"/>
              <w:bidi w:val="0"/>
              <w:spacing w:before="0" w:after="283"/>
              <w:jc w:val="left"/>
              <w:rPr/>
            </w:pPr>
            <w:r>
              <w:rPr/>
              <w:t> </w:t>
            </w:r>
          </w:p>
        </w:tc>
        <w:tc>
          <w:tcPr>
            <w:tcW w:w="156" w:type="dxa"/>
            <w:tcBorders/>
          </w:tcPr>
          <w:p>
            <w:pPr>
              <w:pStyle w:val="TableContents"/>
              <w:bidi w:val="0"/>
              <w:spacing w:before="0" w:after="283"/>
              <w:jc w:val="left"/>
              <w:rPr/>
            </w:pPr>
            <w:r>
              <w:rPr/>
              <w:t>=</w:t>
            </w:r>
          </w:p>
        </w:tc>
        <w:tc>
          <w:tcPr>
            <w:tcW w:w="234" w:type="dxa"/>
            <w:tcBorders/>
            <w:vAlign w:val="bottom"/>
          </w:tcPr>
          <w:p>
            <w:pPr>
              <w:pStyle w:val="TableContents"/>
              <w:bidi w:val="0"/>
              <w:spacing w:before="0" w:after="283"/>
              <w:jc w:val="left"/>
              <w:rPr/>
            </w:pPr>
            <w:r>
              <w:rPr/>
              <w:t>  </w:t>
            </w:r>
          </w:p>
        </w:tc>
        <w:tc>
          <w:tcPr>
            <w:tcW w:w="8760" w:type="dxa"/>
            <w:tcBorders/>
          </w:tcPr>
          <w:p>
            <w:pPr>
              <w:pStyle w:val="TableContents"/>
              <w:bidi w:val="0"/>
              <w:spacing w:before="0" w:after="283"/>
              <w:jc w:val="left"/>
              <w:rPr/>
            </w:pPr>
            <w:r>
              <w:rPr/>
              <w:t>the cash amount distributed per share of Common Stock in such dividend or distribution;</w:t>
            </w:r>
          </w:p>
        </w:tc>
      </w:tr>
    </w:tbl>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w:t>
      </w:r>
      <w:r>
        <w:rPr>
          <w:rFonts w:ascii="Times New Roman" w:hAnsi="Times New Roman"/>
          <w:i/>
          <w:sz w:val="20"/>
        </w:rPr>
        <w:t>D</w:t>
      </w:r>
      <w:r>
        <w:rPr>
          <w:rFonts w:ascii="Times New Roman" w:hAnsi="Times New Roman"/>
          <w:sz w:val="20"/>
        </w:rPr>
        <w:t xml:space="preserve"> is equal to or greater than </w:t>
      </w:r>
      <w:r>
        <w:rPr>
          <w:rFonts w:ascii="Times New Roman" w:hAnsi="Times New Roman"/>
          <w:i/>
          <w:sz w:val="20"/>
        </w:rPr>
        <w:t>SP</w:t>
      </w:r>
      <w:r>
        <w:rPr>
          <w:rFonts w:ascii="Times New Roman" w:hAnsi="Times New Roman"/>
          <w:sz w:val="20"/>
        </w:rPr>
        <w:t xml:space="preserve">, then, in lieu of the foregoing adjustment to the Conversion Rate, each Holder will receive, for each $1,000 principal amount of Notes held by such Holder on the record date for such dividend or distribution, at the same time and on the same terms as holders of Common Stock, the amount of cash that such Holder would have received in such dividend or distribution if such Holder had owned, on such record date, a number of shares of Common Stock equal to the Conversion Rate in effect on such record date.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such dividend or distribution is declared but not made or paid, the Conversion Rate will be readjusted to the Conversion Rate that would then be in effect had the adjustment been made on the basis of only the dividend or distribution, if any, actually made or paid.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Tender Offers or Exchange Offers</w:t>
      </w:r>
      <w:r>
        <w:rPr>
          <w:rFonts w:ascii="Times New Roman" w:hAnsi="Times New Roman"/>
          <w:sz w:val="20"/>
        </w:rPr>
        <w:t>. If the Company or any of its Subsidiaries makes a payment in respect of a tender offer or exchange offer for shares of Common Stock (other than solely pursuant to an odd-lot tender offer pursuant to Rule 13e-4(h)(5) under the Exchange Act), and the value (determined as of the Expiration Time by the Company in good faith and in a commercially reasonable manner) of the cash and other consideration paid per share of Common Stock in such tender or exchange offer exceeds the Last Reported Sale Price per share of Common Stock on the Trading Day immediately after the last date (the “</w:t>
      </w:r>
      <w:r>
        <w:rPr>
          <w:rFonts w:ascii="Times New Roman" w:hAnsi="Times New Roman"/>
          <w:b/>
          <w:sz w:val="20"/>
        </w:rPr>
        <w:t>Expiration Date</w:t>
      </w:r>
      <w:r>
        <w:rPr>
          <w:rFonts w:ascii="Times New Roman" w:hAnsi="Times New Roman"/>
          <w:sz w:val="20"/>
        </w:rPr>
        <w:t xml:space="preserve">”) on which tenders or exchanges may be made pursuant to such tender or exchange offer (as it may be amended), then the Conversion Rate will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743075" cy="428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43075" cy="428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1"/>
        <w:gridCol w:w="110"/>
        <w:gridCol w:w="424"/>
        <w:gridCol w:w="123"/>
        <w:gridCol w:w="8587"/>
      </w:tblGrid>
      <w:tr>
        <w:trPr/>
        <w:tc>
          <w:tcPr>
            <w:tcW w:w="961"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587" w:type="dxa"/>
            <w:tcBorders/>
            <w:vAlign w:val="center"/>
          </w:tcPr>
          <w:p>
            <w:pPr>
              <w:pStyle w:val="TableContents"/>
              <w:bidi w:val="0"/>
              <w:spacing w:before="0" w:after="283"/>
              <w:jc w:val="left"/>
              <w:rPr>
                <w:sz w:val="4"/>
                <w:szCs w:val="4"/>
              </w:rPr>
            </w:pPr>
            <w:r>
              <w:rPr>
                <w:sz w:val="4"/>
                <w:szCs w:val="4"/>
              </w:rPr>
            </w:r>
          </w:p>
        </w:tc>
      </w:tr>
      <w:tr>
        <w:trPr/>
        <w:tc>
          <w:tcPr>
            <w:tcW w:w="961" w:type="dxa"/>
            <w:tcBorders/>
          </w:tcPr>
          <w:p>
            <w:pPr>
              <w:pStyle w:val="TableContents"/>
              <w:bidi w:val="0"/>
              <w:spacing w:before="0" w:after="0"/>
              <w:jc w:val="left"/>
              <w:rPr>
                <w:rFonts w:ascii="Times New Roman" w:hAnsi="Times New Roman"/>
                <w:sz w:val="20"/>
              </w:rPr>
            </w:pPr>
            <w:r>
              <w:rPr>
                <w:rFonts w:ascii="Times New Roman" w:hAnsi="Times New Roman"/>
                <w:i/>
                <w:sz w:val="20"/>
              </w:rPr>
              <w:t>CR</w:t>
            </w:r>
            <w:r>
              <w:rPr>
                <w:rFonts w:ascii="Times New Roman" w:hAnsi="Times New Roman"/>
                <w:sz w:val="20"/>
              </w:rPr>
              <w:t>0</w:t>
            </w:r>
          </w:p>
        </w:tc>
        <w:tc>
          <w:tcPr>
            <w:tcW w:w="110"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r>
              <w:rPr/>
              <w:t>the Conversion Rate in effect immediately before the Close of Business on the last Trading Day of the Tender/Exchange Offer Valuation Period for such tender or exchange offer;</w:t>
            </w:r>
          </w:p>
        </w:tc>
      </w:tr>
      <w:tr>
        <w:trPr>
          <w:trHeight w:val="120" w:hRule="atLeast"/>
        </w:trPr>
        <w:tc>
          <w:tcPr>
            <w:tcW w:w="961" w:type="dxa"/>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c>
          <w:tcPr>
            <w:tcW w:w="8710"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tcPr>
          <w:p>
            <w:pPr>
              <w:pStyle w:val="TableContents"/>
              <w:bidi w:val="0"/>
              <w:spacing w:before="0" w:after="0"/>
              <w:jc w:val="left"/>
              <w:rPr>
                <w:rFonts w:ascii="Times New Roman" w:hAnsi="Times New Roman"/>
                <w:sz w:val="20"/>
              </w:rPr>
            </w:pPr>
            <w:r>
              <w:rPr>
                <w:rFonts w:ascii="Times New Roman" w:hAnsi="Times New Roman"/>
                <w:i/>
                <w:sz w:val="20"/>
              </w:rPr>
              <w:t>CR</w:t>
            </w:r>
            <w:r>
              <w:rPr>
                <w:rFonts w:ascii="Times New Roman" w:hAnsi="Times New Roman"/>
                <w:sz w:val="20"/>
              </w:rPr>
              <w:t>1</w:t>
            </w:r>
          </w:p>
        </w:tc>
        <w:tc>
          <w:tcPr>
            <w:tcW w:w="110"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r>
              <w:rPr/>
              <w:t>the Conversion Rate in effect immediately after the Close of Business on the last Trading Day of the Tender/Exchange Offer Valuation Period;</w:t>
            </w:r>
          </w:p>
        </w:tc>
      </w:tr>
      <w:tr>
        <w:trPr>
          <w:trHeight w:val="120" w:hRule="atLeast"/>
        </w:trPr>
        <w:tc>
          <w:tcPr>
            <w:tcW w:w="961" w:type="dxa"/>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c>
          <w:tcPr>
            <w:tcW w:w="8710"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tcPr>
          <w:p>
            <w:pPr>
              <w:pStyle w:val="TableContents"/>
              <w:bidi w:val="0"/>
              <w:spacing w:before="0" w:after="0"/>
              <w:jc w:val="left"/>
              <w:rPr>
                <w:rFonts w:ascii="Times New Roman" w:hAnsi="Times New Roman"/>
                <w:i/>
                <w:sz w:val="20"/>
              </w:rPr>
            </w:pPr>
            <w:r>
              <w:rPr>
                <w:rFonts w:ascii="Times New Roman" w:hAnsi="Times New Roman"/>
                <w:i/>
                <w:sz w:val="20"/>
              </w:rPr>
              <w:t>AC</w:t>
            </w:r>
          </w:p>
        </w:tc>
        <w:tc>
          <w:tcPr>
            <w:tcW w:w="110"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r>
              <w:rPr/>
              <w:t>the aggregate value (determined as of the time (the “</w:t>
            </w:r>
            <w:r>
              <w:rPr>
                <w:b/>
              </w:rPr>
              <w:t>Expiration Time</w:t>
            </w:r>
            <w:r>
              <w:rPr/>
              <w:t>”) such tender or exchange offer expires by the Company in good faith and in a commercially reasonable manner) of all cash and other consideration paid for shares of Common Stock purchased or exchanged in such tender or exchange offer;</w:t>
            </w:r>
          </w:p>
        </w:tc>
      </w:tr>
      <w:tr>
        <w:trPr>
          <w:trHeight w:val="120" w:hRule="atLeast"/>
        </w:trPr>
        <w:tc>
          <w:tcPr>
            <w:tcW w:w="961" w:type="dxa"/>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c>
          <w:tcPr>
            <w:tcW w:w="8710"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tcPr>
          <w:p>
            <w:pPr>
              <w:pStyle w:val="TableContents"/>
              <w:bidi w:val="0"/>
              <w:spacing w:before="0" w:after="0"/>
              <w:jc w:val="left"/>
              <w:rPr>
                <w:rFonts w:ascii="Times New Roman" w:hAnsi="Times New Roman"/>
                <w:sz w:val="20"/>
              </w:rPr>
            </w:pPr>
            <w:r>
              <w:rPr>
                <w:rFonts w:ascii="Times New Roman" w:hAnsi="Times New Roman"/>
                <w:i/>
                <w:sz w:val="20"/>
              </w:rPr>
              <w:t>OS</w:t>
            </w:r>
            <w:r>
              <w:rPr>
                <w:rFonts w:ascii="Times New Roman" w:hAnsi="Times New Roman"/>
                <w:sz w:val="20"/>
              </w:rPr>
              <w:t>0</w:t>
            </w:r>
          </w:p>
        </w:tc>
        <w:tc>
          <w:tcPr>
            <w:tcW w:w="110"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r>
              <w:rPr/>
              <w:t>the number of shares of Common Stock outstanding immediately before the Expiration Time (including all shares of Common Stock accepted for purchase or exchange in such tender or exchange offer);</w:t>
            </w:r>
          </w:p>
        </w:tc>
      </w:tr>
      <w:tr>
        <w:trPr>
          <w:trHeight w:val="120" w:hRule="atLeast"/>
        </w:trPr>
        <w:tc>
          <w:tcPr>
            <w:tcW w:w="961" w:type="dxa"/>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c>
          <w:tcPr>
            <w:tcW w:w="8710"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tcPr>
          <w:p>
            <w:pPr>
              <w:pStyle w:val="TableContents"/>
              <w:bidi w:val="0"/>
              <w:spacing w:before="0" w:after="0"/>
              <w:jc w:val="left"/>
              <w:rPr>
                <w:rFonts w:ascii="Times New Roman" w:hAnsi="Times New Roman"/>
                <w:sz w:val="20"/>
              </w:rPr>
            </w:pPr>
            <w:r>
              <w:rPr>
                <w:rFonts w:ascii="Times New Roman" w:hAnsi="Times New Roman"/>
                <w:i/>
                <w:sz w:val="20"/>
              </w:rPr>
              <w:t>OS</w:t>
            </w:r>
            <w:r>
              <w:rPr>
                <w:rFonts w:ascii="Times New Roman" w:hAnsi="Times New Roman"/>
                <w:sz w:val="20"/>
              </w:rPr>
              <w:t>1</w:t>
            </w:r>
          </w:p>
        </w:tc>
        <w:tc>
          <w:tcPr>
            <w:tcW w:w="110"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r>
              <w:rPr/>
              <w:t>the number of shares of Common Stock outstanding immediately after the Expiration Time (excluding all shares of Common Stock accepted for purchase or exchange in such tender or exchange offer); and</w:t>
            </w:r>
          </w:p>
        </w:tc>
      </w:tr>
      <w:tr>
        <w:trPr>
          <w:trHeight w:val="120" w:hRule="atLeast"/>
        </w:trPr>
        <w:tc>
          <w:tcPr>
            <w:tcW w:w="961" w:type="dxa"/>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c>
          <w:tcPr>
            <w:tcW w:w="8710"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tcPr>
          <w:p>
            <w:pPr>
              <w:pStyle w:val="TableContents"/>
              <w:bidi w:val="0"/>
              <w:spacing w:before="0" w:after="0"/>
              <w:jc w:val="left"/>
              <w:rPr>
                <w:rFonts w:ascii="Times New Roman" w:hAnsi="Times New Roman"/>
                <w:i/>
                <w:sz w:val="20"/>
              </w:rPr>
            </w:pPr>
            <w:r>
              <w:rPr>
                <w:rFonts w:ascii="Times New Roman" w:hAnsi="Times New Roman"/>
                <w:i/>
                <w:sz w:val="20"/>
              </w:rPr>
              <w:t>SP</w:t>
            </w:r>
          </w:p>
        </w:tc>
        <w:tc>
          <w:tcPr>
            <w:tcW w:w="110"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r>
              <w:rPr/>
              <w:t>the average of the Last Reported Sale Prices per share of Common Stock over the ten (10) consecutive Trading Day period (the “</w:t>
            </w:r>
            <w:r>
              <w:rPr>
                <w:b/>
              </w:rPr>
              <w:t>Tender/Exchange Offer Valuation Period</w:t>
            </w:r>
            <w:r>
              <w:rPr/>
              <w:t>”) beginning on, and including, the Trading Day immediately after the Expiration Date;</w:t>
            </w:r>
          </w:p>
        </w:tc>
      </w:tr>
    </w:tbl>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Conversion Rate will in no event be adjusted down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except to the extent provided in the immediately following paragraph.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(i) if any VWAP Trading Day of the Observation Period for a Note whose Conversion will be settled 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Conversion Consideration for such Conversion, such Tender/Exchange Offer Valuation Period will be deemed to consist of the Trading Days occurring in the period from, and including, the Trading Day immediately after the Expiration Date to, and including, such Conversion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Adjustments in Certain Cases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Where Holders Participate in the Transaction or Event Without Conversion</w:t>
      </w:r>
      <w:r>
        <w:rPr>
          <w:rFonts w:ascii="Times New Roman" w:hAnsi="Times New Roman"/>
          <w:sz w:val="20"/>
        </w:rPr>
        <w:t xml:space="preserve">. Notwithstanding anything to the contrary in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the Company will not be obligated to adjust the Conversion Rate on account of a transaction or other event otherwise requiring an adjustment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(other than a stock split or combination of the type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5.05(A)(i)</w:t>
      </w:r>
      <w:r>
        <w:rPr>
          <w:rFonts w:ascii="Times New Roman" w:hAnsi="Times New Roman"/>
          <w:sz w:val="20"/>
        </w:rPr>
        <w:t xml:space="preserve"> or a tender or exchange offer of the type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if each Holder participates, at the same time and on the same terms as holders of Common Stock, and solely by virtue of being a Holder of Notes, in such transaction or event without having to Convert such Holder’s Notes and as if such Holder held a number of shares of Common Stock equal to the product of (i) the Conversion Rate in effect on the related record date; and (ii) the aggregate principal amount (expressed in thousands) of Notes held by such Holder on such date.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Certain Events</w:t>
      </w:r>
      <w:r>
        <w:rPr>
          <w:rFonts w:ascii="Times New Roman" w:hAnsi="Times New Roman"/>
          <w:sz w:val="20"/>
        </w:rPr>
        <w:t xml:space="preserve">. The Company will not be required to adjust the Conversion Rate except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5.05</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Without limiting the foregoing, the Company will not be obligated to adjust the Conversion Rate on account of: </w:t>
      </w:r>
    </w:p>
    <w:p>
      <w:pPr>
        <w:pStyle w:val="TextBody"/>
        <w:bidi w:val="0"/>
        <w:spacing w:before="120" w:after="0"/>
        <w:jc w:val="left"/>
        <w:rPr>
          <w:rFonts w:ascii="Times New Roman" w:hAnsi="Times New Roman"/>
          <w:sz w:val="20"/>
        </w:rPr>
      </w:pPr>
      <w:r>
        <w:rPr>
          <w:rFonts w:ascii="Times New Roman" w:hAnsi="Times New Roman"/>
          <w:sz w:val="20"/>
        </w:rPr>
        <w:t xml:space="preserve">(1) except as otherwise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5.05</w:t>
      </w:r>
      <w:r>
        <w:rPr>
          <w:rFonts w:ascii="Times New Roman" w:hAnsi="Times New Roman"/>
          <w:sz w:val="20"/>
        </w:rPr>
        <w:t xml:space="preserve">, the sale of shares of Common Stock for a purchase price that is less than the market price per share of Common Stock or less than the Conversion Price; </w:t>
      </w:r>
    </w:p>
    <w:p>
      <w:pPr>
        <w:pStyle w:val="TextBody"/>
        <w:bidi w:val="0"/>
        <w:spacing w:before="120" w:after="0"/>
        <w:jc w:val="left"/>
        <w:rPr>
          <w:rFonts w:ascii="Times New Roman" w:hAnsi="Times New Roman"/>
          <w:sz w:val="20"/>
        </w:rPr>
      </w:pPr>
      <w:r>
        <w:rPr>
          <w:rFonts w:ascii="Times New Roman" w:hAnsi="Times New Roman"/>
          <w:sz w:val="20"/>
        </w:rPr>
        <w:t xml:space="preserve">(2) the issuance of any shares of Common Stock pursuant to any present or future plan providing for the reinvestment of dividends or interest payable on the Company’s securities and the investment of additional optional amounts in shares of Common Stock under any such plan; </w:t>
      </w:r>
    </w:p>
    <w:p>
      <w:pPr>
        <w:pStyle w:val="TextBody"/>
        <w:bidi w:val="0"/>
        <w:spacing w:before="120" w:after="0"/>
        <w:jc w:val="left"/>
        <w:rPr>
          <w:rFonts w:ascii="Times New Roman" w:hAnsi="Times New Roman"/>
          <w:sz w:val="20"/>
        </w:rPr>
      </w:pPr>
      <w:r>
        <w:rPr>
          <w:rFonts w:ascii="Times New Roman" w:hAnsi="Times New Roman"/>
          <w:sz w:val="20"/>
        </w:rPr>
        <w:t xml:space="preserve">(3) the issuance of any shares of Common Stock or options or rights to purchase shares of Common Stock pursuant to any present or future employee, director or consultant benefit plan or program of, or assumed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(4) the issuance of any shares of Common Stock pursuant to any option, warrant, right or convertible or exchangeable security of the Company outstanding as of the Issue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a third-party tender offer, other than a tender offer that is subject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5.05(A)(v) </w:t>
      </w:r>
      <w:r>
        <w:rPr>
          <w:rFonts w:ascii="Times New Roman" w:hAnsi="Times New Roman"/>
          <w:sz w:val="20"/>
        </w:rPr>
        <w:t xml:space="preserve">above; </w:t>
      </w:r>
    </w:p>
    <w:p>
      <w:pPr>
        <w:pStyle w:val="TextBody"/>
        <w:bidi w:val="0"/>
        <w:spacing w:before="120" w:after="0"/>
        <w:jc w:val="left"/>
        <w:rPr>
          <w:rFonts w:ascii="Times New Roman" w:hAnsi="Times New Roman"/>
          <w:sz w:val="20"/>
        </w:rPr>
      </w:pPr>
      <w:r>
        <w:rPr>
          <w:rFonts w:ascii="Times New Roman" w:hAnsi="Times New Roman"/>
          <w:sz w:val="20"/>
        </w:rPr>
        <w:t xml:space="preserve">(6) the repurchase of any shares of Common Stock pursuant to an open-market share repurchase program or other buyback transaction, including structured or derivative transactions such as accelerated share repurchase transactions or similar forward derivatives, in each case that is not subject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5.05(A)(v) </w:t>
      </w:r>
      <w:r>
        <w:rPr>
          <w:rFonts w:ascii="Times New Roman" w:hAnsi="Times New Roman"/>
          <w:sz w:val="20"/>
        </w:rPr>
        <w:t xml:space="preserve">above; </w:t>
      </w:r>
    </w:p>
    <w:p>
      <w:pPr>
        <w:pStyle w:val="TextBody"/>
        <w:bidi w:val="0"/>
        <w:spacing w:before="120" w:after="0"/>
        <w:jc w:val="left"/>
        <w:rPr>
          <w:rFonts w:ascii="Times New Roman" w:hAnsi="Times New Roman"/>
          <w:sz w:val="20"/>
        </w:rPr>
      </w:pPr>
      <w:r>
        <w:rPr>
          <w:rFonts w:ascii="Times New Roman" w:hAnsi="Times New Roman"/>
          <w:sz w:val="20"/>
        </w:rPr>
        <w:t xml:space="preserve">(7) solely a change in the par value of the Common Stock; or </w:t>
      </w:r>
    </w:p>
    <w:p>
      <w:pPr>
        <w:pStyle w:val="TextBody"/>
        <w:bidi w:val="0"/>
        <w:spacing w:before="120" w:after="0"/>
        <w:jc w:val="left"/>
        <w:rPr>
          <w:rFonts w:ascii="Times New Roman" w:hAnsi="Times New Roman"/>
          <w:sz w:val="20"/>
        </w:rPr>
      </w:pPr>
      <w:r>
        <w:rPr>
          <w:rFonts w:ascii="Times New Roman" w:hAnsi="Times New Roman"/>
          <w:sz w:val="20"/>
        </w:rPr>
        <w:t xml:space="preserve">(8) accrued and unpaid interest on the Notes.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Adjustment Deferral</w:t>
      </w:r>
      <w:r>
        <w:rPr>
          <w:rFonts w:ascii="Times New Roman" w:hAnsi="Times New Roman"/>
          <w:sz w:val="20"/>
        </w:rPr>
        <w:t xml:space="preserve">. If an adjustment to the Conversion Rate otherwise required by this </w:t>
      </w:r>
      <w:r>
        <w:rPr>
          <w:rFonts w:ascii="Times New Roman" w:hAnsi="Times New Roman"/>
          <w:b/>
          <w:sz w:val="20"/>
        </w:rPr>
        <w:t>Article 5</w:t>
      </w:r>
      <w:r>
        <w:rPr>
          <w:rFonts w:ascii="Times New Roman" w:hAnsi="Times New Roman"/>
          <w:sz w:val="20"/>
        </w:rPr>
        <w:t xml:space="preserve"> would result in a change of less than one percent (1%) to the Conversion Rate, then, notwithstanding anything to the contrary in this </w:t>
      </w:r>
      <w:r>
        <w:rPr>
          <w:rFonts w:ascii="Times New Roman" w:hAnsi="Times New Roman"/>
          <w:b/>
          <w:sz w:val="20"/>
        </w:rPr>
        <w:t>Article 5</w:t>
      </w:r>
      <w:r>
        <w:rPr>
          <w:rFonts w:ascii="Times New Roman" w:hAnsi="Times New Roman"/>
          <w:sz w:val="20"/>
        </w:rPr>
        <w:t xml:space="preserve">, the Company may, at its election, defer and carry forward such adjustment, except that all such deferred adjustments must be given effect immediately upon the earliest of the following: (i) when all such deferred adjustments would, had they not been so deferred and carried forward, result in an aggregate change of at least one percent (1%) to the Conversion Rate; (ii) the Conversion Date of, or any VWAP Trading Day of an Observation Period for, any Note; (iii) the date a Fundamental Change or Make-Whole Fundamental Change occurs; (iv) the date the Company calls any Notes for Redemption; and (v) July 15, 2032.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Adjustments Not Yet Effective</w:t>
      </w:r>
      <w:r>
        <w:rPr>
          <w:rFonts w:ascii="Times New Roman" w:hAnsi="Times New Roman"/>
          <w:sz w:val="20"/>
        </w:rPr>
        <w:t xml:space="preserve">. Notwithstanding anything to the contrary in the Indenture or the Notes, if: </w:t>
      </w:r>
    </w:p>
    <w:p>
      <w:pPr>
        <w:pStyle w:val="TextBody"/>
        <w:bidi w:val="0"/>
        <w:spacing w:before="120" w:after="0"/>
        <w:jc w:val="left"/>
        <w:rPr>
          <w:rFonts w:ascii="Times New Roman" w:hAnsi="Times New Roman"/>
          <w:sz w:val="20"/>
        </w:rPr>
      </w:pPr>
      <w:r>
        <w:rPr>
          <w:rFonts w:ascii="Times New Roman" w:hAnsi="Times New Roman"/>
          <w:sz w:val="20"/>
        </w:rPr>
        <w:t xml:space="preserve">(i) a Note is to be Converted pursuant to Physical Settlement or Combination Settlement; </w:t>
      </w:r>
    </w:p>
    <w:p>
      <w:pPr>
        <w:pStyle w:val="TextBody"/>
        <w:bidi w:val="0"/>
        <w:spacing w:before="120" w:after="0"/>
        <w:jc w:val="left"/>
        <w:rPr>
          <w:rFonts w:ascii="Times New Roman" w:hAnsi="Times New Roman"/>
          <w:sz w:val="20"/>
        </w:rPr>
      </w:pPr>
      <w:r>
        <w:rPr>
          <w:rFonts w:ascii="Times New Roman" w:hAnsi="Times New Roman"/>
          <w:sz w:val="20"/>
        </w:rPr>
        <w:t xml:space="preserve">(ii) the record date, effective date or Expiration Time for any event that requires an adjustment to the Conversion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has occurred on or before the Conversion Date for such Conversion (in the case of Physical Settlement) or on or before any VWAP Trading Day in the Observation Period for such Conversion (in the case of Combination Settlement), but an adjustment to the Conversion Rate for such event has not yet become effective as of such Conversion Date or VWAP Trading Day,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(iii) the Conversion Consideration due upon such Conversion includes any whole shares of Common Stock (in the case of Physical Settlement) or due in respect of such VWAP Trading Day includes any whole or fractional shares of Common Stock (in the case of Combination Settlement); and </w:t>
      </w:r>
    </w:p>
    <w:p>
      <w:pPr>
        <w:pStyle w:val="TextBody"/>
        <w:bidi w:val="0"/>
        <w:spacing w:before="120" w:after="0"/>
        <w:jc w:val="left"/>
        <w:rPr>
          <w:rFonts w:ascii="Times New Roman" w:hAnsi="Times New Roman"/>
          <w:sz w:val="20"/>
        </w:rPr>
      </w:pPr>
      <w:r>
        <w:rPr>
          <w:rFonts w:ascii="Times New Roman" w:hAnsi="Times New Roman"/>
          <w:sz w:val="20"/>
        </w:rPr>
        <w:t xml:space="preserve">(iv) such shares are not entitled to participate in such event (because they were not held on the related record date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then, solely for purposes of such Conversion, the Company will, without duplication, give effect to such adjustment on such Conversion Date (in the case of Physical Settlement) or such VWAP Trading Day (in the case of Combination Settlement).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first date.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Conversion Rate Adjustments Where Converting Holders Participate in the Relevant Transaction or Event</w:t>
      </w:r>
      <w:r>
        <w:rPr>
          <w:rFonts w:ascii="Times New Roman" w:hAnsi="Times New Roman"/>
          <w:sz w:val="20"/>
        </w:rPr>
        <w:t xml:space="preserve">. Notwithstanding anything to the contrary in the Indenture or the Notes, if: </w:t>
      </w:r>
    </w:p>
    <w:p>
      <w:pPr>
        <w:pStyle w:val="TextBody"/>
        <w:bidi w:val="0"/>
        <w:spacing w:before="120" w:after="0"/>
        <w:jc w:val="left"/>
        <w:rPr>
          <w:rFonts w:ascii="Times New Roman" w:hAnsi="Times New Roman"/>
          <w:sz w:val="20"/>
        </w:rPr>
      </w:pPr>
      <w:r>
        <w:rPr>
          <w:rFonts w:ascii="Times New Roman" w:hAnsi="Times New Roman"/>
          <w:sz w:val="20"/>
        </w:rPr>
        <w:t xml:space="preserve">(i) a Conversion Rate adjustment for any dividend or distribution becomes effective on any Ex-Dividend Date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 Note is to be Converted pursuant to Physical Settlement or Combination Settlement; </w:t>
      </w:r>
    </w:p>
    <w:p>
      <w:pPr>
        <w:pStyle w:val="TextBody"/>
        <w:bidi w:val="0"/>
        <w:spacing w:before="120" w:after="0"/>
        <w:jc w:val="left"/>
        <w:rPr>
          <w:rFonts w:ascii="Times New Roman" w:hAnsi="Times New Roman"/>
          <w:sz w:val="20"/>
        </w:rPr>
      </w:pPr>
      <w:r>
        <w:rPr>
          <w:rFonts w:ascii="Times New Roman" w:hAnsi="Times New Roman"/>
          <w:sz w:val="20"/>
        </w:rPr>
        <w:t xml:space="preserve">(iii) the Conversion Date for such Conversion (in the case of Physical Settlement) or any VWAP Trading Day in the Observation Period for such Conversion (in the case of Combination Settlement) occurs on or after such Ex-Dividend Date and on or before the related record date; </w:t>
      </w:r>
    </w:p>
    <w:p>
      <w:pPr>
        <w:pStyle w:val="TextBody"/>
        <w:bidi w:val="0"/>
        <w:spacing w:before="120" w:after="0"/>
        <w:jc w:val="left"/>
        <w:rPr>
          <w:rFonts w:ascii="Times New Roman" w:hAnsi="Times New Roman"/>
          <w:sz w:val="20"/>
        </w:rPr>
      </w:pPr>
      <w:r>
        <w:rPr>
          <w:rFonts w:ascii="Times New Roman" w:hAnsi="Times New Roman"/>
          <w:sz w:val="20"/>
        </w:rPr>
        <w:t xml:space="preserve">(iv) the Conversion Consideration due upon such Conversion includes any whole shares of Common Stock (in the case of Physical Settlement) or due in respect of such VWAP Trading Day includes any whole or fractional shares of Common Stock (in the case of Combination Settlement), in each case based on a Conversion Rate that is adjusted for such dividend or distribution; and </w:t>
      </w:r>
    </w:p>
    <w:p>
      <w:pPr>
        <w:pStyle w:val="TextBody"/>
        <w:bidi w:val="0"/>
        <w:spacing w:before="120" w:after="0"/>
        <w:jc w:val="left"/>
        <w:rPr>
          <w:rFonts w:ascii="Times New Roman" w:hAnsi="Times New Roman"/>
          <w:sz w:val="20"/>
        </w:rPr>
      </w:pPr>
      <w:r>
        <w:rPr>
          <w:rFonts w:ascii="Times New Roman" w:hAnsi="Times New Roman"/>
          <w:sz w:val="20"/>
        </w:rPr>
        <w:t xml:space="preserve">(v) such shares would be entitled to participate in such dividend or distribution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then (x) in the case of Physical Settlement, such Conversion Rate adjustment will not be given effect for such Conversion and the shares of Common Stock issuable upon such Conversion based on such unadjusted Conversion Rate will not be entitled to participate in such dividend or distribution, but there will be added, to the Conversion Consideration otherwise due upon such Conversion, the same kind and amount of consideration that would have been delivered in such dividend or distribution with respect to such shares of Common Stock had such shares been entitled to participate in such dividend or distribution; and (y) in the case of Combination Settlement, the Conversion Rate adjustment relating to such Ex-Dividend Date will be made for such Conversion in respect of such VWAP Trading Day, but the shares of Common Stock issuable with respect to such VWAP Trading Day based on such adjusted Conversion Rate will not be entitled to participate in such dividend or distribution.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Stockholder Rights Plans</w:t>
      </w:r>
      <w:r>
        <w:rPr>
          <w:rFonts w:ascii="Times New Roman" w:hAnsi="Times New Roman"/>
          <w:sz w:val="20"/>
        </w:rPr>
        <w:t xml:space="preserve">. If any shares of Common Stock are to be issued upon Conversion of any Note and, at the time of such Conversion, the Company has in effect any stockholder rights plan, then the Holder of such Note will be entitled to receive, in addition to, and concurrently with the delivery of, the Conversion Consideration otherwise payable under the Indenture upon such Conversion, the rights set forth in such stockholder rights plan, unless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rights have separated from the Common Stock at such time, in which case, and only in such case, the Conversion Rate will be adjusted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5.05(A)(iii)(1)</w:t>
      </w:r>
      <w:r>
        <w:rPr>
          <w:rFonts w:ascii="Times New Roman" w:hAnsi="Times New Roman"/>
          <w:sz w:val="20"/>
        </w:rPr>
        <w:t xml:space="preserve"> on account of such separation as if, at the time of such separation, the Company had made a distribution of the type referred to in such Section to all holders of the Common Stock, subject to potential readjustment in accordance with the last paragraph of </w:t>
      </w:r>
      <w:r>
        <w:rPr>
          <w:rFonts w:ascii="Times New Roman" w:hAnsi="Times New Roman"/>
          <w:b/>
          <w:sz w:val="20"/>
        </w:rPr>
        <w:t>Section</w:t>
      </w:r>
      <w:r>
        <w:rPr>
          <w:rFonts w:ascii="Times New Roman" w:hAnsi="Times New Roman"/>
          <w:sz w:val="20"/>
        </w:rPr>
        <w:t> </w:t>
      </w:r>
      <w:r>
        <w:rPr>
          <w:rFonts w:ascii="Times New Roman" w:hAnsi="Times New Roman"/>
          <w:b/>
          <w:sz w:val="20"/>
        </w:rPr>
        <w:t>5.05(A)(iii)(1)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Limitation on Effecting Transactions Resulting in Certain Adjustments</w:t>
      </w:r>
      <w:r>
        <w:rPr>
          <w:rFonts w:ascii="Times New Roman" w:hAnsi="Times New Roman"/>
          <w:sz w:val="20"/>
        </w:rPr>
        <w:t xml:space="preserve">. The Company will not engage in or be a party to any transaction or event that would require the Conversion Rate to be adjusted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to an amount that would result in the Conversion Price per share of Common Stock being less than the par value per share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Equitable Adjustments to Prices</w:t>
      </w:r>
      <w:r>
        <w:rPr>
          <w:rFonts w:ascii="Times New Roman" w:hAnsi="Times New Roman"/>
          <w:sz w:val="20"/>
        </w:rPr>
        <w:t xml:space="preserve">. Whenever any provision of the Indenture requires the Company to calculate the average of the Last Reported Sale Prices, or any function thereof, over a period of multiple days (including to calculate the Stock Price or an adjustment to the Conversion Rate), or to calculate Daily VWAPs over an Observation Period, the Company will make appropriate adjustments, if any, to such calculations to account for any adjustment to the Conversion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that becomes effective, or any event requiring such an adjustment to the Conversion Rate where the Ex-Dividend Date or effective date, as applicable, of such event occurs, at any time during such period or Observation Period,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Calculation of Number of Outstanding Shares of Common Stock</w:t>
      </w:r>
      <w:r>
        <w:rPr>
          <w:rFonts w:ascii="Times New Roman" w:hAnsi="Times New Roman"/>
          <w:sz w:val="20"/>
        </w:rPr>
        <w:t xml:space="preserve">. For purposes of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the number of shares of Common Stock 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Calculations</w:t>
      </w:r>
      <w:r>
        <w:rPr>
          <w:rFonts w:ascii="Times New Roman" w:hAnsi="Times New Roman"/>
          <w:sz w:val="20"/>
        </w:rPr>
        <w:t xml:space="preserve">. All calculations with respect to the Conversion Rate and adjustments thereto will be made to the nearest 1/10,000th of a share of Common Stock (with 5/100,000ths rounded upward).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Notice of Conversion Rate Adjustments</w:t>
      </w:r>
      <w:r>
        <w:rPr>
          <w:rFonts w:ascii="Times New Roman" w:hAnsi="Times New Roman"/>
          <w:sz w:val="20"/>
        </w:rPr>
        <w:t xml:space="preserve">. Upon the effectiveness of any adjustment to the Conversion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the 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5.06. VOLUNTARY ADJUSTMENTS.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To the extent permitted by law and applicable stock exchange rules, the Company, from time to time, may (but is not required to) increase the Conversion Rate by any amount if (i) the Board of Directors determines that such increase is either (x) in the best interest of the Company; or (y) advisable to avoid or diminish any income tax imposed on holders of Common Stock or rights to purchase Common Stock as a result of any dividend or distribution of shares (or rights to acquire shares) of Common Stock or any similar event; (ii) such increase is in effect for a period of at least twenty (20) Business Days; and (iii) such increase is irrevocable during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Notice of Voluntary Increases</w:t>
      </w:r>
      <w:r>
        <w:rPr>
          <w:rFonts w:ascii="Times New Roman" w:hAnsi="Times New Roman"/>
          <w:sz w:val="20"/>
        </w:rPr>
        <w:t xml:space="preserve">. If the Board of Directors determines to increase the Conversion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5.06(A)</w:t>
      </w:r>
      <w:r>
        <w:rPr>
          <w:rFonts w:ascii="Times New Roman" w:hAnsi="Times New Roman"/>
          <w:sz w:val="20"/>
        </w:rPr>
        <w:t xml:space="preserve">, then, no later than the first Business Day of the related twenty (20) Business Day period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5.06(A)</w:t>
      </w:r>
      <w:r>
        <w:rPr>
          <w:rFonts w:ascii="Times New Roman" w:hAnsi="Times New Roman"/>
          <w:sz w:val="20"/>
        </w:rPr>
        <w:t xml:space="preserve">, the Company will send notice to each Holder, the Trustee and the Conversion Agent of such increase, the amount thereof and the period during which such increase will be in effect.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5.07. ADJUSTMENTS TO THE CONVERSION RATE IN CONNECTION WITH A MAKE-WHOLE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If a Make-Whole Fundamental Change occurs and the Conversion Date for the Conversion of a Note occurs during the related Make-Whole Fundamental Change Conversion Period, then, subject to this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the Conversion Rate applicable to such Conversion will be increased by a number of shares (the “</w:t>
      </w:r>
      <w:r>
        <w:rPr>
          <w:rFonts w:ascii="Times New Roman" w:hAnsi="Times New Roman"/>
          <w:b/>
          <w:sz w:val="20"/>
        </w:rPr>
        <w:t>Additional Shares</w:t>
      </w:r>
      <w:r>
        <w:rPr>
          <w:rFonts w:ascii="Times New Roman" w:hAnsi="Times New Roman"/>
          <w:sz w:val="20"/>
        </w:rPr>
        <w:t xml:space="preserve">”) set forth in the table below corresponding (after interpolation as provided in, and subject to, the provisions below) to the Make-Whole Fundamental Change Effective Date and the Stock Price of such Make-Whole Fundamental Change: </w:t>
      </w:r>
    </w:p>
    <w:p>
      <w:pPr>
        <w:pStyle w:val="TextBody"/>
        <w:bidi w:val="0"/>
        <w:spacing w:before="0" w:after="0"/>
        <w:jc w:val="left"/>
        <w:rPr/>
      </w:pPr>
      <w:r>
        <w:rPr/>
        <w:t> </w:t>
      </w:r>
    </w:p>
    <w:tbl>
      <w:tblPr>
        <w:tblW w:w="12355" w:type="dxa"/>
        <w:jc w:val="center"/>
        <w:tblInd w:w="0" w:type="dxa"/>
        <w:tblLayout w:type="fixed"/>
        <w:tblCellMar>
          <w:top w:w="0" w:type="dxa"/>
          <w:left w:w="0" w:type="dxa"/>
          <w:bottom w:w="0" w:type="dxa"/>
          <w:right w:w="0" w:type="dxa"/>
        </w:tblCellMar>
      </w:tblPr>
      <w:tblGrid>
        <w:gridCol w:w="2735"/>
        <w:gridCol w:w="120"/>
        <w:gridCol w:w="60"/>
        <w:gridCol w:w="680"/>
        <w:gridCol w:w="60"/>
        <w:gridCol w:w="120"/>
        <w:gridCol w:w="60"/>
        <w:gridCol w:w="680"/>
        <w:gridCol w:w="60"/>
        <w:gridCol w:w="120"/>
        <w:gridCol w:w="60"/>
        <w:gridCol w:w="680"/>
        <w:gridCol w:w="60"/>
        <w:gridCol w:w="120"/>
        <w:gridCol w:w="64"/>
        <w:gridCol w:w="736"/>
        <w:gridCol w:w="60"/>
        <w:gridCol w:w="120"/>
        <w:gridCol w:w="64"/>
        <w:gridCol w:w="736"/>
        <w:gridCol w:w="60"/>
        <w:gridCol w:w="120"/>
        <w:gridCol w:w="64"/>
        <w:gridCol w:w="736"/>
        <w:gridCol w:w="60"/>
        <w:gridCol w:w="120"/>
        <w:gridCol w:w="64"/>
        <w:gridCol w:w="736"/>
        <w:gridCol w:w="60"/>
        <w:gridCol w:w="120"/>
        <w:gridCol w:w="64"/>
        <w:gridCol w:w="736"/>
        <w:gridCol w:w="60"/>
        <w:gridCol w:w="120"/>
        <w:gridCol w:w="64"/>
        <w:gridCol w:w="736"/>
        <w:gridCol w:w="60"/>
        <w:gridCol w:w="120"/>
        <w:gridCol w:w="64"/>
        <w:gridCol w:w="736"/>
        <w:gridCol w:w="60"/>
      </w:tblGrid>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40" w:type="dxa"/>
            <w:gridSpan w:val="38"/>
            <w:tcBorders>
              <w:bottom w:val="single" w:sz="8" w:space="0" w:color="000000"/>
            </w:tcBorders>
            <w:tcMar>
              <w:bottom w:w="28" w:type="dxa"/>
            </w:tcMar>
            <w:vAlign w:val="bottom"/>
          </w:tcPr>
          <w:p>
            <w:pPr>
              <w:pStyle w:val="TableContents"/>
              <w:bidi w:val="0"/>
              <w:spacing w:before="0" w:after="283"/>
              <w:jc w:val="center"/>
              <w:rPr>
                <w:b/>
              </w:rPr>
            </w:pPr>
            <w:r>
              <w:rPr>
                <w:b/>
              </w:rPr>
              <w:t>Stock Price</w:t>
            </w:r>
          </w:p>
        </w:tc>
        <w:tc>
          <w:tcPr>
            <w:tcW w:w="60" w:type="dxa"/>
            <w:tcBorders/>
            <w:vAlign w:val="bottom"/>
          </w:tcPr>
          <w:p>
            <w:pPr>
              <w:pStyle w:val="TableContents"/>
              <w:bidi w:val="0"/>
              <w:spacing w:before="0" w:after="283"/>
              <w:jc w:val="left"/>
              <w:rPr/>
            </w:pPr>
            <w:r>
              <w:rPr/>
              <w:t> </w:t>
            </w:r>
          </w:p>
        </w:tc>
      </w:tr>
      <w:tr>
        <w:trPr/>
        <w:tc>
          <w:tcPr>
            <w:tcW w:w="273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Make-Whole Fundamental</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Change Effective Date       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$64.00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$75.00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$89.60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$102.50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$116.48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$225.00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$325.00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$475.00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$650.00</w:t>
            </w:r>
          </w:p>
        </w:tc>
        <w:tc>
          <w:tcPr>
            <w:tcW w:w="60" w:type="dxa"/>
            <w:tcBorders/>
            <w:vAlign w:val="bottom"/>
          </w:tcPr>
          <w:p>
            <w:pPr>
              <w:pStyle w:val="TableContents"/>
              <w:bidi w:val="0"/>
              <w:spacing w:before="0" w:after="283"/>
              <w:jc w:val="left"/>
              <w:rPr/>
            </w:pPr>
            <w:r>
              <w:rPr/>
              <w:t> </w:t>
            </w:r>
          </w:p>
        </w:tc>
      </w:tr>
      <w:tr>
        <w:trPr/>
        <w:tc>
          <w:tcPr>
            <w:tcW w:w="2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9, 2026</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4.4643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3.4015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2.4747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1.9262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1.5049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0.8977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0.3527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0.1234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0.0232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2735" w:type="dxa"/>
            <w:tcBorders/>
          </w:tcPr>
          <w:p>
            <w:pPr>
              <w:pStyle w:val="TableContents"/>
              <w:bidi w:val="0"/>
              <w:spacing w:before="0" w:after="0"/>
              <w:jc w:val="left"/>
              <w:rPr>
                <w:rFonts w:ascii="Times New Roman" w:hAnsi="Times New Roman"/>
                <w:sz w:val="20"/>
              </w:rPr>
            </w:pPr>
            <w:r>
              <w:rPr>
                <w:rFonts w:ascii="Times New Roman" w:hAnsi="Times New Roman"/>
                <w:sz w:val="20"/>
              </w:rPr>
              <w:t>October 15, 2027</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4.4643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3.3957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2.4289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1.8637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1.4348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0.8289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0.3068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0.0995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0.0151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2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2028</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4.4643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3.3775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2.3605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1.7757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1.3394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0.7400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0.2524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0.0739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0.0076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2735" w:type="dxa"/>
            <w:tcBorders/>
          </w:tcPr>
          <w:p>
            <w:pPr>
              <w:pStyle w:val="TableContents"/>
              <w:bidi w:val="0"/>
              <w:spacing w:before="0" w:after="0"/>
              <w:jc w:val="left"/>
              <w:rPr>
                <w:rFonts w:ascii="Times New Roman" w:hAnsi="Times New Roman"/>
                <w:sz w:val="20"/>
              </w:rPr>
            </w:pPr>
            <w:r>
              <w:rPr>
                <w:rFonts w:ascii="Times New Roman" w:hAnsi="Times New Roman"/>
                <w:sz w:val="20"/>
              </w:rPr>
              <w:t>October 15, 2029</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4.4643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3.3049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2.2319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1.6296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1.1913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0.6147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0.1854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0.0468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2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2030</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4.4643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3.1395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1.3858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0.9584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0.4383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0.1082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0.0216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2735" w:type="dxa"/>
            <w:tcBorders/>
          </w:tcPr>
          <w:p>
            <w:pPr>
              <w:pStyle w:val="TableContents"/>
              <w:bidi w:val="0"/>
              <w:spacing w:before="0" w:after="0"/>
              <w:jc w:val="left"/>
              <w:rPr>
                <w:rFonts w:ascii="Times New Roman" w:hAnsi="Times New Roman"/>
                <w:sz w:val="20"/>
              </w:rPr>
            </w:pPr>
            <w:r>
              <w:rPr>
                <w:rFonts w:ascii="Times New Roman" w:hAnsi="Times New Roman"/>
                <w:sz w:val="20"/>
              </w:rPr>
              <w:t>October 15, 2031</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4.4643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2.8052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1.5648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0.9565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0.5792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0.0364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0.0049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2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2032</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4.4643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2.1727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such Make-Whole Fundamental Change Effective Date or Stock Price is not set forth in the table above, then: </w:t>
      </w:r>
    </w:p>
    <w:p>
      <w:pPr>
        <w:pStyle w:val="TextBody"/>
        <w:bidi w:val="0"/>
        <w:spacing w:before="120" w:after="0"/>
        <w:jc w:val="left"/>
        <w:rPr>
          <w:rFonts w:ascii="Times New Roman" w:hAnsi="Times New Roman"/>
          <w:sz w:val="20"/>
        </w:rPr>
      </w:pPr>
      <w:r>
        <w:rPr>
          <w:rFonts w:ascii="Times New Roman" w:hAnsi="Times New Roman"/>
          <w:sz w:val="20"/>
        </w:rPr>
        <w:t xml:space="preserve">(i) 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 </w:t>
      </w:r>
    </w:p>
    <w:p>
      <w:pPr>
        <w:pStyle w:val="TextBody"/>
        <w:bidi w:val="0"/>
        <w:spacing w:before="120" w:after="0"/>
        <w:jc w:val="left"/>
        <w:rPr>
          <w:rFonts w:ascii="Times New Roman" w:hAnsi="Times New Roman"/>
          <w:sz w:val="20"/>
        </w:rPr>
      </w:pPr>
      <w:r>
        <w:rPr>
          <w:rFonts w:ascii="Times New Roman" w:hAnsi="Times New Roman"/>
          <w:sz w:val="20"/>
        </w:rPr>
        <w:t xml:space="preserve">(ii) if the Stock Price is greater than $650.00 (subject to adjustment in the same manner as the Stock Prices set forth in the column headings of the table above are adjusted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5.07(B)</w:t>
      </w:r>
      <w:r>
        <w:rPr>
          <w:rFonts w:ascii="Times New Roman" w:hAnsi="Times New Roman"/>
          <w:sz w:val="20"/>
        </w:rPr>
        <w:t xml:space="preserve">), or less than $64.00 (subject to adjustment in the same manner), per share, then no Additional Shares will be added to the Conversion Rate.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Indenture or the Notes, in no event will the Conversion Rate be increased to an amount that exceeds 15.6250 shares of Common Stock per $1,000 principal amount of Notes, which amount is subject to adjustment in the same manner as, and at the same time and for the same events for which, the Conversion Rate is required to be adjusted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but subject to </w:t>
      </w:r>
      <w:r>
        <w:rPr>
          <w:rFonts w:ascii="Times New Roman" w:hAnsi="Times New Roman"/>
          <w:b/>
          <w:sz w:val="20"/>
        </w:rPr>
        <w:t>Section</w:t>
      </w:r>
      <w:r>
        <w:rPr>
          <w:rFonts w:ascii="Times New Roman" w:hAnsi="Times New Roman"/>
          <w:sz w:val="20"/>
        </w:rPr>
        <w:t> </w:t>
      </w:r>
      <w:r>
        <w:rPr>
          <w:rFonts w:ascii="Times New Roman" w:hAnsi="Times New Roman"/>
          <w:b/>
          <w:sz w:val="20"/>
        </w:rPr>
        <w:t>4.03(J)</w:t>
      </w:r>
      <w:r>
        <w:rPr>
          <w:rFonts w:ascii="Times New Roman" w:hAnsi="Times New Roman"/>
          <w:sz w:val="20"/>
        </w:rPr>
        <w:t xml:space="preserve">, (x) the sending of a Redemption Notice for a Provisional Redemption will constitute a Make-Whole Fundamental Change only with respect to the Notes called for Redemption pursuant to such Redemption Notice, and not with respect to any other Notes; and (y) the Conversion Rate applicable to the Notes not so called for Redemption will not be subject to increase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on account of such Redemption Notice.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Adjustment of Stock Prices and Number of Additional Shares</w:t>
      </w:r>
      <w:r>
        <w:rPr>
          <w:rFonts w:ascii="Times New Roman" w:hAnsi="Times New Roman"/>
          <w:sz w:val="20"/>
        </w:rPr>
        <w:t>. The Stock Prices in the first row (</w:t>
      </w:r>
      <w:r>
        <w:rPr>
          <w:rFonts w:ascii="Times New Roman" w:hAnsi="Times New Roman"/>
          <w:i/>
          <w:sz w:val="20"/>
        </w:rPr>
        <w:t>i.e.</w:t>
      </w:r>
      <w:r>
        <w:rPr>
          <w:rFonts w:ascii="Times New Roman" w:hAnsi="Times New Roman"/>
          <w:sz w:val="20"/>
        </w:rPr>
        <w:t xml:space="preserve">, the column headers) of the table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5.07(A)</w:t>
      </w:r>
      <w:r>
        <w:rPr>
          <w:rFonts w:ascii="Times New Roman" w:hAnsi="Times New Roman"/>
          <w:sz w:val="20"/>
        </w:rPr>
        <w:t xml:space="preserve"> will be adjusted in the same manner as, and at the same time and for the same events for which, the Conversion Price is adjusted as a result of the operation of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The numbers of Additional Shares in the table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5.07(A)</w:t>
      </w:r>
      <w:r>
        <w:rPr>
          <w:rFonts w:ascii="Times New Roman" w:hAnsi="Times New Roman"/>
          <w:sz w:val="20"/>
        </w:rPr>
        <w:t xml:space="preserve"> will be adjusted in the same manner as, and at the same time and for the same events for which, the Conversion Rate is adjusted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of the Occurrence of a Make-Whole Fundamental Change</w:t>
      </w:r>
      <w:r>
        <w:rPr>
          <w:rFonts w:ascii="Times New Roman" w:hAnsi="Times New Roman"/>
          <w:sz w:val="20"/>
        </w:rPr>
        <w:t xml:space="preserve">. The Company will notify the Holders, the Trustee and the Conversion Agent of each Make-Whole Fundamental Change (i) occurring pursuant to </w:t>
      </w:r>
      <w:r>
        <w:rPr>
          <w:rFonts w:ascii="Times New Roman" w:hAnsi="Times New Roman"/>
          <w:b/>
          <w:sz w:val="20"/>
        </w:rPr>
        <w:t>clause (A)</w:t>
      </w:r>
      <w:r>
        <w:rPr>
          <w:rFonts w:ascii="Times New Roman" w:hAnsi="Times New Roman"/>
          <w:sz w:val="20"/>
        </w:rPr>
        <w:t> of the definition thereof in accordance with</w:t>
        <w:br/>
      </w:r>
      <w:r>
        <w:rPr>
          <w:rFonts w:ascii="Times New Roman" w:hAnsi="Times New Roman"/>
          <w:b/>
          <w:sz w:val="20"/>
        </w:rPr>
        <w:t>Section</w:t>
      </w:r>
      <w:r>
        <w:rPr>
          <w:rFonts w:ascii="Times New Roman" w:hAnsi="Times New Roman"/>
          <w:sz w:val="20"/>
        </w:rPr>
        <w:t> </w:t>
      </w:r>
      <w:r>
        <w:rPr>
          <w:rFonts w:ascii="Times New Roman" w:hAnsi="Times New Roman"/>
          <w:b/>
          <w:sz w:val="20"/>
        </w:rPr>
        <w:t>5.01(C)(i)(3)(b)</w:t>
      </w:r>
      <w:r>
        <w:rPr>
          <w:rFonts w:ascii="Times New Roman" w:hAnsi="Times New Roman"/>
          <w:sz w:val="20"/>
        </w:rPr>
        <w:t xml:space="preserve">; and (ii) occurring pursuant to </w:t>
      </w:r>
      <w:r>
        <w:rPr>
          <w:rFonts w:ascii="Times New Roman" w:hAnsi="Times New Roman"/>
          <w:b/>
          <w:sz w:val="20"/>
        </w:rPr>
        <w:t>clause (B)</w:t>
      </w:r>
      <w:r>
        <w:rPr>
          <w:rFonts w:ascii="Times New Roman" w:hAnsi="Times New Roman"/>
          <w:sz w:val="20"/>
        </w:rPr>
        <w:t xml:space="preserve"> of the definition thereof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4.03(G)</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5.08. EXCHANGE IN LIEU OF CONVERSION.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b/>
          <w:sz w:val="20"/>
        </w:rPr>
        <w:t>Article 5</w:t>
      </w:r>
      <w:r>
        <w:rPr>
          <w:rFonts w:ascii="Times New Roman" w:hAnsi="Times New Roman"/>
          <w:sz w:val="20"/>
        </w:rPr>
        <w:t xml:space="preserve">, and subject to the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5.08</w:t>
      </w:r>
      <w:r>
        <w:rPr>
          <w:rFonts w:ascii="Times New Roman" w:hAnsi="Times New Roman"/>
          <w:sz w:val="20"/>
        </w:rPr>
        <w:t xml:space="preserve">, if a Note is submitted for Conversion, the Company may elect to arrange to have such Note exchanged in lieu of Conversion by a financial institution designated by the Company. To make such election, the Company must send notice of such election to the Holder of such Note, the Trustee and the Conversion Agent before the Close of Business on the Business Day immediately following the Conversion Date for such Note. If the Company has made such election, then: </w:t>
      </w:r>
    </w:p>
    <w:p>
      <w:pPr>
        <w:pStyle w:val="TextBody"/>
        <w:bidi w:val="0"/>
        <w:spacing w:before="120" w:after="0"/>
        <w:jc w:val="left"/>
        <w:rPr>
          <w:rFonts w:ascii="Times New Roman" w:hAnsi="Times New Roman"/>
          <w:sz w:val="20"/>
        </w:rPr>
      </w:pPr>
      <w:r>
        <w:rPr>
          <w:rFonts w:ascii="Times New Roman" w:hAnsi="Times New Roman"/>
          <w:sz w:val="20"/>
        </w:rPr>
        <w:t xml:space="preserve">(A) 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deliver such Conversion Consideration in the manner and at the time the Company would have had to deliver the same pursuant to this </w:t>
      </w:r>
      <w:r>
        <w:rPr>
          <w:rFonts w:ascii="Times New Roman" w:hAnsi="Times New Roman"/>
          <w:b/>
          <w:sz w:val="20"/>
        </w:rPr>
        <w:t>Article 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such Note is a Global Note, then (i) such designated institution will send written confirmation to the Conversion Agent promptly after wiring the cash Conversion Consideration, if any, and delivering any other Conversion Consideration, due upon such Conversion to the Holder of such Note; and (ii) the Conversion Agent will as soon as reasonably practicable thereafter contact such Holder’s custodian with the Depositary to confirm receipt of the same; and </w:t>
      </w:r>
    </w:p>
    <w:p>
      <w:pPr>
        <w:pStyle w:val="TextBody"/>
        <w:bidi w:val="0"/>
        <w:spacing w:before="240" w:after="0"/>
        <w:jc w:val="left"/>
        <w:rPr>
          <w:rFonts w:ascii="Times New Roman" w:hAnsi="Times New Roman"/>
          <w:sz w:val="20"/>
        </w:rPr>
      </w:pPr>
      <w:r>
        <w:rPr>
          <w:rFonts w:ascii="Times New Roman" w:hAnsi="Times New Roman"/>
          <w:sz w:val="20"/>
        </w:rPr>
        <w:t xml:space="preserve">(C) such Note will not cease to be outstanding by reason of such exchange in lieu of Conversion;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financial institution does not accept such Note or fails to timely deliver such Conversion Consideration, then the Company will be responsible for delivering such Conversion Consideration in the manner and at the time provided in this </w:t>
      </w:r>
      <w:r>
        <w:rPr>
          <w:rFonts w:ascii="Times New Roman" w:hAnsi="Times New Roman"/>
          <w:b/>
          <w:sz w:val="20"/>
        </w:rPr>
        <w:t>Article 5</w:t>
      </w:r>
      <w:r>
        <w:rPr>
          <w:rFonts w:ascii="Times New Roman" w:hAnsi="Times New Roman"/>
          <w:sz w:val="20"/>
        </w:rPr>
        <w:t xml:space="preserve"> as if the Company had not elected to make an exchange in lieu of Conversion.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5.09. EFFECT OF COMMON STOCK CHANGE EVENT.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If there occurs any: </w:t>
      </w:r>
    </w:p>
    <w:p>
      <w:pPr>
        <w:pStyle w:val="TextBody"/>
        <w:bidi w:val="0"/>
        <w:spacing w:before="120" w:after="0"/>
        <w:jc w:val="left"/>
        <w:rPr>
          <w:rFonts w:ascii="Times New Roman" w:hAnsi="Times New Roman"/>
          <w:sz w:val="20"/>
        </w:rPr>
      </w:pPr>
      <w:r>
        <w:rPr>
          <w:rFonts w:ascii="Times New Roman" w:hAnsi="Times New Roman"/>
          <w:sz w:val="20"/>
        </w:rPr>
        <w:t xml:space="preserve">(i) 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(ii) consolidation, merger, combination or binding or statutory share exchange involving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sale, lease or other transfer of all or substantially all of the assets of the Company and its Subsidiaries, taken as a whole, to any Person; or </w:t>
      </w:r>
    </w:p>
    <w:p>
      <w:pPr>
        <w:pStyle w:val="TextBody"/>
        <w:bidi w:val="0"/>
        <w:spacing w:before="120" w:after="0"/>
        <w:jc w:val="left"/>
        <w:rPr>
          <w:rFonts w:ascii="Times New Roman" w:hAnsi="Times New Roman"/>
          <w:sz w:val="20"/>
        </w:rPr>
      </w:pPr>
      <w:r>
        <w:rPr>
          <w:rFonts w:ascii="Times New Roman" w:hAnsi="Times New Roman"/>
          <w:sz w:val="20"/>
        </w:rPr>
        <w:t xml:space="preserve">(iv) other similar event, </w:t>
      </w:r>
    </w:p>
    <w:p>
      <w:pPr>
        <w:pStyle w:val="TextBody"/>
        <w:bidi w:val="0"/>
        <w:spacing w:before="240" w:after="0"/>
        <w:jc w:val="left"/>
        <w:rPr>
          <w:rFonts w:ascii="Times New Roman" w:hAnsi="Times New Roman"/>
          <w:sz w:val="20"/>
        </w:rPr>
      </w:pPr>
      <w:r>
        <w:rPr>
          <w:rFonts w:ascii="Times New Roman" w:hAnsi="Times New Roman"/>
          <w:sz w:val="20"/>
        </w:rPr>
        <w:t>and, as a result of which, the Common Stock is converted into, or is exchanged for, or represents solely the right to receive, other securities, cash or other property, or any combination of the foregoing (such an event, a “</w:t>
      </w:r>
      <w:r>
        <w:rPr>
          <w:rFonts w:ascii="Times New Roman" w:hAnsi="Times New Roman"/>
          <w:b/>
          <w:sz w:val="20"/>
        </w:rPr>
        <w:t>Common Stock Change Event</w:t>
      </w:r>
      <w:r>
        <w:rPr>
          <w:rFonts w:ascii="Times New Roman" w:hAnsi="Times New Roman"/>
          <w:sz w:val="20"/>
        </w:rPr>
        <w:t>,” and such other securities, cash or property, the “</w:t>
      </w:r>
      <w:r>
        <w:rPr>
          <w:rFonts w:ascii="Times New Roman" w:hAnsi="Times New Roman"/>
          <w:b/>
          <w:sz w:val="20"/>
        </w:rPr>
        <w:t>Reference Property</w:t>
      </w:r>
      <w:r>
        <w:rPr>
          <w:rFonts w:ascii="Times New Roman" w:hAnsi="Times New Roman"/>
          <w:sz w:val="20"/>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 w:hAnsi="Times New Roman"/>
          <w:b/>
          <w:sz w:val="20"/>
        </w:rPr>
        <w:t>Reference Property Unit</w:t>
      </w:r>
      <w:r>
        <w:rPr>
          <w:rFonts w:ascii="Times New Roman" w:hAnsi="Times New Roman"/>
          <w:sz w:val="20"/>
        </w:rPr>
        <w:t xml:space="preserve">”), then, notwithstanding anything to the contrary in the Indenture or the Notes, </w:t>
      </w:r>
    </w:p>
    <w:p>
      <w:pPr>
        <w:pStyle w:val="TextBody"/>
        <w:bidi w:val="0"/>
        <w:spacing w:before="120" w:after="0"/>
        <w:jc w:val="left"/>
        <w:rPr>
          <w:rFonts w:ascii="Times New Roman" w:hAnsi="Times New Roman"/>
          <w:sz w:val="20"/>
        </w:rPr>
      </w:pPr>
      <w:r>
        <w:rPr>
          <w:rFonts w:ascii="Times New Roman" w:hAnsi="Times New Roman"/>
          <w:sz w:val="20"/>
        </w:rPr>
        <w:t xml:space="preserve">(1) from and after the effective time of such Common Stock Change Event, (I) the Conversion Consideration due upon Conversion of any Note, and the conditions to any such Conversion, will be determined in the same manner as if each reference to any number of shares of Common Stock in this </w:t>
      </w:r>
      <w:r>
        <w:rPr>
          <w:rFonts w:ascii="Times New Roman" w:hAnsi="Times New Roman"/>
          <w:b/>
          <w:sz w:val="20"/>
        </w:rPr>
        <w:t>Article 5</w:t>
      </w:r>
      <w:r>
        <w:rPr>
          <w:rFonts w:ascii="Times New Roman" w:hAnsi="Times New Roman"/>
          <w:sz w:val="20"/>
        </w:rPr>
        <w:t xml:space="preserve"> (or in any related definitions) were instead a reference to the same number of Reference Property Units; (II) for purposes of </w:t>
      </w:r>
      <w:r>
        <w:rPr>
          <w:rFonts w:ascii="Times New Roman" w:hAnsi="Times New Roman"/>
          <w:b/>
          <w:sz w:val="20"/>
        </w:rPr>
        <w:t>Section</w:t>
      </w:r>
      <w:r>
        <w:rPr>
          <w:rFonts w:ascii="Times New Roman" w:hAnsi="Times New Roman"/>
          <w:sz w:val="20"/>
        </w:rPr>
        <w:t> </w:t>
      </w:r>
      <w:r>
        <w:rPr>
          <w:rFonts w:ascii="Times New Roman" w:hAnsi="Times New Roman"/>
          <w:b/>
          <w:sz w:val="20"/>
        </w:rPr>
        <w:t>4.03(B)</w:t>
      </w:r>
      <w:r>
        <w:rPr>
          <w:rFonts w:ascii="Times New Roman" w:hAnsi="Times New Roman"/>
          <w:sz w:val="20"/>
        </w:rPr>
        <w:t xml:space="preserve">, each reference to any number of shares of Common Stock in such Section (or in any related definitions) will instead be deemed to be a reference to the same number of Reference Property Units; and (III) for purposes of the definitions of “Fundamental Change” and “Make-Whole Fundamental Change,” references to “Common Stock” and the Company’s “Common Equity” will be deemed to refer to the Common Equity (including depositary receipts representing Common Equity), if any, forming part of such Reference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if such Reference Property Unit consists entirely of cash, then (I) each Conversion of any Note with a Conversion Date that occurs on or after the effective date of such Common Stock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if applicable); and (y) the amount of cash constituting such Reference Property Unit; and (II) the Company will settle each such Conversion no later than the fifth (5th) Business Day after the relevant Conversion Date; and </w:t>
      </w:r>
    </w:p>
    <w:p>
      <w:pPr>
        <w:pStyle w:val="TextBody"/>
        <w:bidi w:val="0"/>
        <w:spacing w:before="120" w:after="0"/>
        <w:jc w:val="left"/>
        <w:rPr>
          <w:rFonts w:ascii="Times New Roman" w:hAnsi="Times New Roman"/>
          <w:sz w:val="20"/>
        </w:rPr>
      </w:pPr>
      <w:r>
        <w:rPr>
          <w:rFonts w:ascii="Times New Roman" w:hAnsi="Times New Roman"/>
          <w:sz w:val="20"/>
        </w:rPr>
        <w:t xml:space="preserve">(3) 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the Company (or, in the case of cash denominated in U.S. dollars, the face amount thereof). </w:t>
      </w:r>
    </w:p>
    <w:p>
      <w:pPr>
        <w:pStyle w:val="TextBody"/>
        <w:bidi w:val="0"/>
        <w:spacing w:before="240" w:after="0"/>
        <w:jc w:val="left"/>
        <w:rPr>
          <w:rFonts w:ascii="Times New Roman" w:hAnsi="Times New Roman"/>
          <w:sz w:val="20"/>
        </w:rPr>
      </w:pPr>
      <w:r>
        <w:rPr>
          <w:rFonts w:ascii="Times New Roman" w:hAnsi="Times New Roman"/>
          <w:sz w:val="20"/>
        </w:rPr>
        <w:t xml:space="preserve">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Holders, the Trustee and the Conversion Agent of such weighted average as soon as practicable after such determination is made. </w:t>
      </w:r>
    </w:p>
    <w:p>
      <w:pPr>
        <w:pStyle w:val="TextBody"/>
        <w:bidi w:val="0"/>
        <w:spacing w:before="240" w:after="0"/>
        <w:jc w:val="left"/>
        <w:rPr>
          <w:rFonts w:ascii="Times New Roman" w:hAnsi="Times New Roman"/>
          <w:sz w:val="20"/>
        </w:rPr>
      </w:pPr>
      <w:r>
        <w:rPr>
          <w:rFonts w:ascii="Times New Roman" w:hAnsi="Times New Roman"/>
          <w:sz w:val="20"/>
        </w:rPr>
        <w:t>Subject to the last sentence of this paragraph, at or before the effective time of such Common Stock Change Event, the Company and the resulting, surviving or transferee Person (if not the Company) of such Common Stock Change Event (the “</w:t>
      </w:r>
      <w:r>
        <w:rPr>
          <w:rFonts w:ascii="Times New Roman" w:hAnsi="Times New Roman"/>
          <w:b/>
          <w:sz w:val="20"/>
        </w:rPr>
        <w:t>Successor Person</w:t>
      </w:r>
      <w:r>
        <w:rPr>
          <w:rFonts w:ascii="Times New Roman" w:hAnsi="Times New Roman"/>
          <w:sz w:val="20"/>
        </w:rPr>
        <w:t xml:space="preserve">”) will execute and deliver to the Trustee a supplemental indenture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8.01(F)</w:t>
      </w:r>
      <w:r>
        <w:rPr>
          <w:rFonts w:ascii="Times New Roman" w:hAnsi="Times New Roman"/>
          <w:sz w:val="20"/>
        </w:rPr>
        <w:t xml:space="preserve">, which supplemental indenture will (x) provide for subsequent Conversions of Notes in the manner set forth in this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(y) provide for subsequent adjustments to the Conversion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in a manner consistent with this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and (z) contain such other provisions, if any, that the Company reasonably determines are appropriate to preserve the economic interests of the Holders and to give effect to the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5.09(A)</w:t>
      </w:r>
      <w:r>
        <w:rPr>
          <w:rFonts w:ascii="Times New Roman" w:hAnsi="Times New Roman"/>
          <w:sz w:val="20"/>
        </w:rPr>
        <w:t xml:space="preserve">.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the Company reasonably determines are appropriate to preserve the economic interests of the Holders. Notwithstanding anything to the contrary in this paragraph, no such supplemental indenture is required (but the Company may nonetheless choose to execute such a supplemental indenture at its option) if (x) the Company is the resulting, surviving or transferee Person of such Common Stock Change Event; and (y) the Reference Property of such Common Stock Change Event does not include consideration other than cash or securities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Notice of Common Stock Change Events</w:t>
      </w:r>
      <w:r>
        <w:rPr>
          <w:rFonts w:ascii="Times New Roman" w:hAnsi="Times New Roman"/>
          <w:sz w:val="20"/>
        </w:rPr>
        <w:t xml:space="preserve">. The Company will provide notice of each Common Stock Change Event to Holders, the Trustee and the Conversion Agent no later than the second (2nd) Business Day after the effective date of such Common Stock Change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Compliance Covenant</w:t>
      </w:r>
      <w:r>
        <w:rPr>
          <w:rFonts w:ascii="Times New Roman" w:hAnsi="Times New Roman"/>
          <w:sz w:val="20"/>
        </w:rPr>
        <w:t xml:space="preserve">. The Company will not become a party to any Common Stock Change Event unless its terms are consistent with this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6. SUCCESSORS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6.01. WHEN THE COMPANY MAY MERGE, ETC.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The Company will not consolidate with or merge with or into, or (directly, or indirectly through one or more of its Subsidiaries) sell, lease or otherwise transfer, in one transaction or a series of transactions, all or substantially all of the assets of the Company and its Subsidiaries, taken as a whole, to another Person (a “</w:t>
      </w:r>
      <w:r>
        <w:rPr>
          <w:rFonts w:ascii="Times New Roman" w:hAnsi="Times New Roman"/>
          <w:b/>
          <w:sz w:val="20"/>
        </w:rPr>
        <w:t>Business Combination Event</w:t>
      </w:r>
      <w:r>
        <w:rPr>
          <w:rFonts w:ascii="Times New Roman" w:hAnsi="Times New Roman"/>
          <w:sz w:val="20"/>
        </w:rPr>
        <w:t xml:space="preserve">”), unless: </w:t>
      </w:r>
    </w:p>
    <w:p>
      <w:pPr>
        <w:pStyle w:val="TextBody"/>
        <w:bidi w:val="0"/>
        <w:spacing w:before="120" w:after="0"/>
        <w:jc w:val="left"/>
        <w:rPr>
          <w:rFonts w:ascii="Times New Roman" w:hAnsi="Times New Roman"/>
          <w:sz w:val="20"/>
        </w:rPr>
      </w:pPr>
      <w:r>
        <w:rPr>
          <w:rFonts w:ascii="Times New Roman" w:hAnsi="Times New Roman"/>
          <w:sz w:val="20"/>
        </w:rPr>
        <w:t>(i) the resulting, surviving or transferee Person either (x) is the Company or (y) if not the Company, is a Qualified Successor Entity (such Qualified Successor Entity, the “</w:t>
      </w:r>
      <w:r>
        <w:rPr>
          <w:rFonts w:ascii="Times New Roman" w:hAnsi="Times New Roman"/>
          <w:b/>
          <w:sz w:val="20"/>
        </w:rPr>
        <w:t>Successor Entity</w:t>
      </w:r>
      <w:r>
        <w:rPr>
          <w:rFonts w:ascii="Times New Roman" w:hAnsi="Times New Roman"/>
          <w:sz w:val="20"/>
        </w:rPr>
        <w:t xml:space="preserve">”) duly organized and existing under the laws of the United States of America, any State thereof or the District of Columbia that expressly assumes (by executing and delivering to the Trustee, at or before the effective time of such Business Combination Event, a supplemental indenture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8.01(E)</w:t>
      </w:r>
      <w:r>
        <w:rPr>
          <w:rFonts w:ascii="Times New Roman" w:hAnsi="Times New Roman"/>
          <w:sz w:val="20"/>
        </w:rPr>
        <w:t xml:space="preserve">) all of the Company’s obligations under the Notes, and the Indenture with respect to the Notes; and </w:t>
      </w:r>
    </w:p>
    <w:p>
      <w:pPr>
        <w:pStyle w:val="TextBody"/>
        <w:bidi w:val="0"/>
        <w:spacing w:before="120" w:after="0"/>
        <w:jc w:val="left"/>
        <w:rPr>
          <w:rFonts w:ascii="Times New Roman" w:hAnsi="Times New Roman"/>
          <w:sz w:val="20"/>
        </w:rPr>
      </w:pPr>
      <w:r>
        <w:rPr>
          <w:rFonts w:ascii="Times New Roman" w:hAnsi="Times New Roman"/>
          <w:sz w:val="20"/>
        </w:rPr>
        <w:t xml:space="preserve">(ii) immediately after giving effect to such Business Combination Event, no Default will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Delivery of Officer’s Certificate and Opinion of Counsel to the Trustee</w:t>
      </w:r>
      <w:r>
        <w:rPr>
          <w:rFonts w:ascii="Times New Roman" w:hAnsi="Times New Roman"/>
          <w:sz w:val="20"/>
        </w:rPr>
        <w:t xml:space="preserve">. At or before the effective time of any Business Combination Event, the Company will deliver to the Trustee an Officer’s Certificate and Opinion of Counsel, each stating that (i) such Business Combination Event (and, if applicable, the related supplemental indenture) comply with </w:t>
      </w:r>
      <w:r>
        <w:rPr>
          <w:rFonts w:ascii="Times New Roman" w:hAnsi="Times New Roman"/>
          <w:b/>
          <w:sz w:val="20"/>
        </w:rPr>
        <w:t>Section</w:t>
      </w:r>
      <w:r>
        <w:rPr>
          <w:rFonts w:ascii="Times New Roman" w:hAnsi="Times New Roman"/>
          <w:sz w:val="20"/>
        </w:rPr>
        <w:t> </w:t>
      </w:r>
      <w:r>
        <w:rPr>
          <w:rFonts w:ascii="Times New Roman" w:hAnsi="Times New Roman"/>
          <w:b/>
          <w:sz w:val="20"/>
        </w:rPr>
        <w:t>6.01(A)</w:t>
      </w:r>
      <w:r>
        <w:rPr>
          <w:rFonts w:ascii="Times New Roman" w:hAnsi="Times New Roman"/>
          <w:sz w:val="20"/>
        </w:rPr>
        <w:t xml:space="preserve">; and (ii) all conditions precedent to such Business Combination Event provided in the Indenture have been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6.02. SUCCESSOR ENTITY SUBSTITUTED.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of any Business Combination Event that complies with </w:t>
      </w:r>
      <w:r>
        <w:rPr>
          <w:rFonts w:ascii="Times New Roman" w:hAnsi="Times New Roman"/>
          <w:b/>
          <w:sz w:val="20"/>
        </w:rPr>
        <w:t>Section</w:t>
      </w:r>
      <w:r>
        <w:rPr>
          <w:rFonts w:ascii="Times New Roman" w:hAnsi="Times New Roman"/>
          <w:sz w:val="20"/>
        </w:rPr>
        <w:t> </w:t>
      </w:r>
      <w:r>
        <w:rPr>
          <w:rFonts w:ascii="Times New Roman" w:hAnsi="Times New Roman"/>
          <w:b/>
          <w:sz w:val="20"/>
        </w:rPr>
        <w:t>6.01</w:t>
      </w:r>
      <w:r>
        <w:rPr>
          <w:rFonts w:ascii="Times New Roman" w:hAnsi="Times New Roman"/>
          <w:sz w:val="20"/>
        </w:rPr>
        <w:t xml:space="preserve">, the Successor Entity (if not the Company) will succeed to, and may exercise every right and power of, the Company under the Notes, and the Indenture with respect to the Notes, with the same effect as if such Successor Entity had been named as the Company in the Indenture and the Notes, and, except in the case of a lease, the predecessor Company will be discharged from its obligations under the Notes and the Indenture with respect to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6.03. EXCLUSION FOR ASSET TRANSFERS WITH WHOLLY OWNED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b/>
          <w:sz w:val="20"/>
        </w:rPr>
        <w:t>Article 6</w:t>
      </w:r>
      <w:r>
        <w:rPr>
          <w:rFonts w:ascii="Times New Roman" w:hAnsi="Times New Roman"/>
          <w:sz w:val="20"/>
        </w:rPr>
        <w:t xml:space="preserve">, this </w:t>
      </w:r>
      <w:r>
        <w:rPr>
          <w:rFonts w:ascii="Times New Roman" w:hAnsi="Times New Roman"/>
          <w:b/>
          <w:sz w:val="20"/>
        </w:rPr>
        <w:t>Article 6</w:t>
      </w:r>
      <w:r>
        <w:rPr>
          <w:rFonts w:ascii="Times New Roman" w:hAnsi="Times New Roman"/>
          <w:sz w:val="20"/>
        </w:rPr>
        <w:t xml:space="preserve"> will not apply to any transfer of assets (other than by merger or consolidation) between or among the Company and any one or more of its Wholly Owned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- 64 -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7. DEFAULTS AND REMEDIES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7.01.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Definition of Events of Default</w:t>
      </w:r>
      <w:r>
        <w:rPr>
          <w:rFonts w:ascii="Times New Roman" w:hAnsi="Times New Roman"/>
          <w:sz w:val="20"/>
        </w:rPr>
        <w:t>. “</w:t>
      </w:r>
      <w:r>
        <w:rPr>
          <w:rFonts w:ascii="Times New Roman" w:hAnsi="Times New Roman"/>
          <w:b/>
          <w:sz w:val="20"/>
        </w:rPr>
        <w:t>Event of Default</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default in the payment when due (whether at maturity, upon Redemption or Repurchase Upon Fundamental Change or otherwise) of the principal of, or the Redemption Price or Fundamental Change Repurchase Price for, any Note; </w:t>
      </w:r>
    </w:p>
    <w:p>
      <w:pPr>
        <w:pStyle w:val="TextBody"/>
        <w:bidi w:val="0"/>
        <w:spacing w:before="120" w:after="0"/>
        <w:jc w:val="left"/>
        <w:rPr>
          <w:rFonts w:ascii="Times New Roman" w:hAnsi="Times New Roman"/>
          <w:sz w:val="20"/>
        </w:rPr>
      </w:pPr>
      <w:r>
        <w:rPr>
          <w:rFonts w:ascii="Times New Roman" w:hAnsi="Times New Roman"/>
          <w:sz w:val="20"/>
        </w:rPr>
        <w:t xml:space="preserve">(ii) a default for thirty (30) consecutive days in the payment when due of interest on any Note;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Company’s failure to deliver, when required by the Indenture, a Fundamental Change Notice, or a notice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5.01(C)(i)(3)</w:t>
      </w:r>
      <w:r>
        <w:rPr>
          <w:rFonts w:ascii="Times New Roman" w:hAnsi="Times New Roman"/>
          <w:sz w:val="20"/>
        </w:rPr>
        <w:t xml:space="preserve">, if (in the case of any notice other than a notice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5.01(C)(i)(3)(a)</w:t>
      </w:r>
      <w:r>
        <w:rPr>
          <w:rFonts w:ascii="Times New Roman" w:hAnsi="Times New Roman"/>
          <w:sz w:val="20"/>
        </w:rPr>
        <w:t xml:space="preserve">) such failure is not cured within five (5) days after its occurrence; </w:t>
      </w:r>
    </w:p>
    <w:p>
      <w:pPr>
        <w:pStyle w:val="TextBody"/>
        <w:bidi w:val="0"/>
        <w:spacing w:before="120" w:after="0"/>
        <w:jc w:val="left"/>
        <w:rPr>
          <w:rFonts w:ascii="Times New Roman" w:hAnsi="Times New Roman"/>
          <w:sz w:val="20"/>
        </w:rPr>
      </w:pPr>
      <w:r>
        <w:rPr>
          <w:rFonts w:ascii="Times New Roman" w:hAnsi="Times New Roman"/>
          <w:sz w:val="20"/>
        </w:rPr>
        <w:t xml:space="preserve">(iv) a default in the Company’s obligation to Convert a Note in accordance with </w:t>
      </w:r>
      <w:r>
        <w:rPr>
          <w:rFonts w:ascii="Times New Roman" w:hAnsi="Times New Roman"/>
          <w:b/>
          <w:sz w:val="20"/>
        </w:rPr>
        <w:t>Article 5</w:t>
      </w:r>
      <w:r>
        <w:rPr>
          <w:rFonts w:ascii="Times New Roman" w:hAnsi="Times New Roman"/>
          <w:sz w:val="20"/>
        </w:rPr>
        <w:t xml:space="preserve"> upon the exercise of the Conversion right with respect thereto, if such default is not cured within five (5) days after its occurrence; </w:t>
      </w:r>
    </w:p>
    <w:p>
      <w:pPr>
        <w:pStyle w:val="TextBody"/>
        <w:bidi w:val="0"/>
        <w:spacing w:before="120" w:after="0"/>
        <w:jc w:val="left"/>
        <w:rPr>
          <w:rFonts w:ascii="Times New Roman" w:hAnsi="Times New Roman"/>
          <w:sz w:val="20"/>
        </w:rPr>
      </w:pPr>
      <w:r>
        <w:rPr>
          <w:rFonts w:ascii="Times New Roman" w:hAnsi="Times New Roman"/>
          <w:sz w:val="20"/>
        </w:rPr>
        <w:t xml:space="preserve">(v) a default in the Company’s obligations under </w:t>
      </w:r>
      <w:r>
        <w:rPr>
          <w:rFonts w:ascii="Times New Roman" w:hAnsi="Times New Roman"/>
          <w:b/>
          <w:sz w:val="20"/>
        </w:rPr>
        <w:t>Article 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a default in any of the Company’s obligations or agreements under the Indenture or the Notes (other than a default set forth in </w:t>
      </w:r>
      <w:r>
        <w:rPr>
          <w:rFonts w:ascii="Times New Roman" w:hAnsi="Times New Roman"/>
          <w:b/>
          <w:sz w:val="20"/>
        </w:rPr>
        <w:t>clause</w:t>
      </w:r>
      <w:r>
        <w:rPr>
          <w:rFonts w:ascii="Times New Roman" w:hAnsi="Times New Roman"/>
          <w:sz w:val="20"/>
        </w:rPr>
        <w:t> </w:t>
      </w:r>
      <w:r>
        <w:rPr>
          <w:rFonts w:ascii="Times New Roman" w:hAnsi="Times New Roman"/>
          <w:b/>
          <w:sz w:val="20"/>
        </w:rPr>
        <w:t>(i)</w:t>
      </w:r>
      <w:r>
        <w:rPr>
          <w:rFonts w:ascii="Times New Roman" w:hAnsi="Times New Roman"/>
          <w:sz w:val="20"/>
        </w:rPr>
        <w:t>, </w:t>
      </w:r>
      <w:r>
        <w:rPr>
          <w:rFonts w:ascii="Times New Roman" w:hAnsi="Times New Roman"/>
          <w:b/>
          <w:sz w:val="20"/>
        </w:rPr>
        <w:t>(ii)</w:t>
      </w:r>
      <w:r>
        <w:rPr>
          <w:rFonts w:ascii="Times New Roman" w:hAnsi="Times New Roman"/>
          <w:sz w:val="20"/>
        </w:rPr>
        <w:t>, </w:t>
      </w:r>
      <w:r>
        <w:rPr>
          <w:rFonts w:ascii="Times New Roman" w:hAnsi="Times New Roman"/>
          <w:b/>
          <w:sz w:val="20"/>
        </w:rPr>
        <w:t>(iii)</w:t>
      </w:r>
      <w:r>
        <w:rPr>
          <w:rFonts w:ascii="Times New Roman" w:hAnsi="Times New Roman"/>
          <w:sz w:val="20"/>
        </w:rPr>
        <w:t>, </w:t>
      </w:r>
      <w:r>
        <w:rPr>
          <w:rFonts w:ascii="Times New Roman" w:hAnsi="Times New Roman"/>
          <w:b/>
          <w:sz w:val="20"/>
        </w:rPr>
        <w:t>(iv)</w:t>
      </w:r>
      <w:r>
        <w:rPr>
          <w:rFonts w:ascii="Times New Roman" w:hAnsi="Times New Roman"/>
          <w:sz w:val="20"/>
        </w:rPr>
        <w:t xml:space="preserve"> or </w:t>
      </w:r>
      <w:r>
        <w:rPr>
          <w:rFonts w:ascii="Times New Roman" w:hAnsi="Times New Roman"/>
          <w:b/>
          <w:sz w:val="20"/>
        </w:rPr>
        <w:t>(v)</w:t>
      </w:r>
      <w:r>
        <w:rPr>
          <w:rFonts w:ascii="Times New Roman" w:hAnsi="Times New Roman"/>
          <w:sz w:val="20"/>
        </w:rPr>
        <w:t xml:space="preserve"> of this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where such default is not cured or waived within sixty (60) days after notice to the Company by the Trustee, or to the Company and the Trustee by Holders of at least twenty five percent (25%) of the aggregate principal amount of Notes then outstanding, which notice must specify such default, demand that it be remedied and state that such notice is a “Notice of Default”; </w:t>
      </w:r>
    </w:p>
    <w:p>
      <w:pPr>
        <w:pStyle w:val="TextBody"/>
        <w:bidi w:val="0"/>
        <w:spacing w:before="120" w:after="0"/>
        <w:jc w:val="left"/>
        <w:rPr>
          <w:rFonts w:ascii="Times New Roman" w:hAnsi="Times New Roman"/>
          <w:sz w:val="20"/>
        </w:rPr>
      </w:pPr>
      <w:r>
        <w:rPr>
          <w:rFonts w:ascii="Times New Roman" w:hAnsi="Times New Roman"/>
          <w:sz w:val="20"/>
        </w:rPr>
        <w:t xml:space="preserve">(vii) a default by the Company or any of the Company’s Significant Subsidiaries with respect to any one or more mortgages, agreements or other instruments under which there is outstanding, or by which there is secured or evidenced, any indebtedness for borrowed money of at least seventy-five million dollars ($75,000,000) (or its foreign currency equivalent) in the aggregate of the Company or any of the Company’s Significant Subsidiaries, whether such indebtedness exists as of the Issue Date or is thereafter created, where such default: </w:t>
      </w:r>
    </w:p>
    <w:p>
      <w:pPr>
        <w:pStyle w:val="TextBody"/>
        <w:bidi w:val="0"/>
        <w:spacing w:before="120" w:after="0"/>
        <w:jc w:val="left"/>
        <w:rPr>
          <w:rFonts w:ascii="Times New Roman" w:hAnsi="Times New Roman"/>
          <w:sz w:val="20"/>
        </w:rPr>
      </w:pPr>
      <w:r>
        <w:rPr>
          <w:rFonts w:ascii="Times New Roman" w:hAnsi="Times New Roman"/>
          <w:sz w:val="20"/>
        </w:rPr>
        <w:t xml:space="preserve">(1) constitutes a failure to pay the principal of such indebtedness when due and payable at its stated maturity, upon required repurchase, upon declaration of acceleration or otherwise, in each case after the expiration of any applicable grace period; or </w:t>
      </w:r>
    </w:p>
    <w:p>
      <w:pPr>
        <w:pStyle w:val="TextBody"/>
        <w:bidi w:val="0"/>
        <w:spacing w:before="120" w:after="0"/>
        <w:jc w:val="left"/>
        <w:rPr>
          <w:rFonts w:ascii="Times New Roman" w:hAnsi="Times New Roman"/>
          <w:sz w:val="20"/>
        </w:rPr>
      </w:pPr>
      <w:r>
        <w:rPr>
          <w:rFonts w:ascii="Times New Roman" w:hAnsi="Times New Roman"/>
          <w:sz w:val="20"/>
        </w:rPr>
        <w:t xml:space="preserve">(2) results in such indebtedness becoming or being declared due and payable before its stated maturity,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each case where such default is not cured or waived within thirty (30) days after notice to the Company by the Trustee or to the Company and the Trustee by Holders of at least twenty five percent (25%) of the aggregate principal amount of Notes then outstanding; </w:t>
      </w:r>
    </w:p>
    <w:p>
      <w:pPr>
        <w:pStyle w:val="TextBody"/>
        <w:bidi w:val="0"/>
        <w:spacing w:before="120" w:after="0"/>
        <w:jc w:val="left"/>
        <w:rPr>
          <w:rFonts w:ascii="Times New Roman" w:hAnsi="Times New Roman"/>
          <w:sz w:val="20"/>
        </w:rPr>
      </w:pPr>
      <w:r>
        <w:rPr>
          <w:rFonts w:ascii="Times New Roman" w:hAnsi="Times New Roman"/>
          <w:sz w:val="20"/>
        </w:rPr>
        <w:t xml:space="preserve">(viii) the Company or any of its Significant Subsidiaries, pursuant to or within the meaning of any Bankruptcy Law, either: </w:t>
      </w:r>
    </w:p>
    <w:p>
      <w:pPr>
        <w:pStyle w:val="TextBody"/>
        <w:bidi w:val="0"/>
        <w:spacing w:before="120" w:after="0"/>
        <w:jc w:val="left"/>
        <w:rPr>
          <w:rFonts w:ascii="Times New Roman" w:hAnsi="Times New Roman"/>
          <w:sz w:val="20"/>
        </w:rPr>
      </w:pPr>
      <w:r>
        <w:rPr>
          <w:rFonts w:ascii="Times New Roman" w:hAnsi="Times New Roman"/>
          <w:sz w:val="20"/>
        </w:rPr>
        <w:t xml:space="preserve">(1) commences a voluntary case or proceeding; </w:t>
      </w:r>
    </w:p>
    <w:p>
      <w:pPr>
        <w:pStyle w:val="TextBody"/>
        <w:bidi w:val="0"/>
        <w:spacing w:before="120" w:after="0"/>
        <w:jc w:val="left"/>
        <w:rPr>
          <w:rFonts w:ascii="Times New Roman" w:hAnsi="Times New Roman"/>
          <w:sz w:val="20"/>
        </w:rPr>
      </w:pPr>
      <w:r>
        <w:rPr>
          <w:rFonts w:ascii="Times New Roman" w:hAnsi="Times New Roman"/>
          <w:sz w:val="20"/>
        </w:rPr>
        <w:t xml:space="preserve">(2) consents to the entry of an order for relief against it in an involuntary case or proceeding; </w:t>
      </w:r>
    </w:p>
    <w:p>
      <w:pPr>
        <w:pStyle w:val="TextBody"/>
        <w:bidi w:val="0"/>
        <w:spacing w:before="120" w:after="0"/>
        <w:jc w:val="left"/>
        <w:rPr>
          <w:rFonts w:ascii="Times New Roman" w:hAnsi="Times New Roman"/>
          <w:sz w:val="20"/>
        </w:rPr>
      </w:pPr>
      <w:r>
        <w:rPr>
          <w:rFonts w:ascii="Times New Roman" w:hAnsi="Times New Roman"/>
          <w:sz w:val="20"/>
        </w:rPr>
        <w:t xml:space="preserve">(3) consents to the appointment of a custodian of it or for any substantial part of its property; </w:t>
      </w:r>
    </w:p>
    <w:p>
      <w:pPr>
        <w:pStyle w:val="TextBody"/>
        <w:bidi w:val="0"/>
        <w:spacing w:before="120" w:after="0"/>
        <w:jc w:val="left"/>
        <w:rPr>
          <w:rFonts w:ascii="Times New Roman" w:hAnsi="Times New Roman"/>
          <w:sz w:val="20"/>
        </w:rPr>
      </w:pPr>
      <w:r>
        <w:rPr>
          <w:rFonts w:ascii="Times New Roman" w:hAnsi="Times New Roman"/>
          <w:sz w:val="20"/>
        </w:rPr>
        <w:t xml:space="preserve">(4) makes a general assignment for the benefit of its creditors; </w:t>
      </w:r>
    </w:p>
    <w:p>
      <w:pPr>
        <w:pStyle w:val="TextBody"/>
        <w:bidi w:val="0"/>
        <w:spacing w:before="120" w:after="0"/>
        <w:jc w:val="left"/>
        <w:rPr>
          <w:rFonts w:ascii="Times New Roman" w:hAnsi="Times New Roman"/>
          <w:sz w:val="20"/>
        </w:rPr>
      </w:pPr>
      <w:r>
        <w:rPr>
          <w:rFonts w:ascii="Times New Roman" w:hAnsi="Times New Roman"/>
          <w:sz w:val="20"/>
        </w:rPr>
        <w:t xml:space="preserve">(5) takes any comparable action under any foreign Bankruptcy Law; or </w:t>
      </w:r>
    </w:p>
    <w:p>
      <w:pPr>
        <w:pStyle w:val="TextBody"/>
        <w:bidi w:val="0"/>
        <w:spacing w:before="120" w:after="0"/>
        <w:jc w:val="left"/>
        <w:rPr>
          <w:rFonts w:ascii="Times New Roman" w:hAnsi="Times New Roman"/>
          <w:sz w:val="20"/>
        </w:rPr>
      </w:pPr>
      <w:r>
        <w:rPr>
          <w:rFonts w:ascii="Times New Roman" w:hAnsi="Times New Roman"/>
          <w:sz w:val="20"/>
        </w:rPr>
        <w:t xml:space="preserve">(6) generally is not paying its debts as they become due; or </w:t>
      </w:r>
    </w:p>
    <w:p>
      <w:pPr>
        <w:pStyle w:val="TextBody"/>
        <w:bidi w:val="0"/>
        <w:spacing w:before="120" w:after="0"/>
        <w:jc w:val="left"/>
        <w:rPr>
          <w:rFonts w:ascii="Times New Roman" w:hAnsi="Times New Roman"/>
          <w:sz w:val="20"/>
        </w:rPr>
      </w:pPr>
      <w:r>
        <w:rPr>
          <w:rFonts w:ascii="Times New Roman" w:hAnsi="Times New Roman"/>
          <w:sz w:val="20"/>
        </w:rPr>
        <w:t xml:space="preserve">(ix) a court of competent jurisdiction enters an order or decree under any Bankruptcy Law that either: </w:t>
      </w:r>
    </w:p>
    <w:p>
      <w:pPr>
        <w:pStyle w:val="TextBody"/>
        <w:bidi w:val="0"/>
        <w:spacing w:before="120" w:after="0"/>
        <w:jc w:val="left"/>
        <w:rPr>
          <w:rFonts w:ascii="Times New Roman" w:hAnsi="Times New Roman"/>
          <w:sz w:val="20"/>
        </w:rPr>
      </w:pPr>
      <w:r>
        <w:rPr>
          <w:rFonts w:ascii="Times New Roman" w:hAnsi="Times New Roman"/>
          <w:sz w:val="20"/>
        </w:rPr>
        <w:t xml:space="preserve">(1) is for relief against the Company or any of its Significant Subsidiaries in an involuntary case or proceeding; </w:t>
      </w:r>
    </w:p>
    <w:p>
      <w:pPr>
        <w:pStyle w:val="TextBody"/>
        <w:bidi w:val="0"/>
        <w:spacing w:before="120" w:after="0"/>
        <w:jc w:val="left"/>
        <w:rPr>
          <w:rFonts w:ascii="Times New Roman" w:hAnsi="Times New Roman"/>
          <w:sz w:val="20"/>
        </w:rPr>
      </w:pPr>
      <w:r>
        <w:rPr>
          <w:rFonts w:ascii="Times New Roman" w:hAnsi="Times New Roman"/>
          <w:sz w:val="20"/>
        </w:rPr>
        <w:t xml:space="preserve">(2) appoints a custodian of the Company or any of its Significant Subsidiaries, or for any substantial part of the property of the Company or any of its Significant Subsidiaries; </w:t>
      </w:r>
    </w:p>
    <w:p>
      <w:pPr>
        <w:pStyle w:val="TextBody"/>
        <w:bidi w:val="0"/>
        <w:spacing w:before="120" w:after="0"/>
        <w:jc w:val="left"/>
        <w:rPr>
          <w:rFonts w:ascii="Times New Roman" w:hAnsi="Times New Roman"/>
          <w:sz w:val="20"/>
        </w:rPr>
      </w:pPr>
      <w:r>
        <w:rPr>
          <w:rFonts w:ascii="Times New Roman" w:hAnsi="Times New Roman"/>
          <w:sz w:val="20"/>
        </w:rPr>
        <w:t xml:space="preserve">(3) orders the winding up or liquidation of the Company or any of its Significant Subsidiaries; or </w:t>
      </w:r>
    </w:p>
    <w:p>
      <w:pPr>
        <w:pStyle w:val="TextBody"/>
        <w:bidi w:val="0"/>
        <w:spacing w:before="120" w:after="0"/>
        <w:jc w:val="left"/>
        <w:rPr>
          <w:rFonts w:ascii="Times New Roman" w:hAnsi="Times New Roman"/>
          <w:sz w:val="20"/>
        </w:rPr>
      </w:pPr>
      <w:r>
        <w:rPr>
          <w:rFonts w:ascii="Times New Roman" w:hAnsi="Times New Roman"/>
          <w:sz w:val="20"/>
        </w:rPr>
        <w:t xml:space="preserve">(4) grants any similar relief under any foreign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and, in each case under this </w:t>
      </w:r>
      <w:r>
        <w:rPr>
          <w:rFonts w:ascii="Times New Roman" w:hAnsi="Times New Roman"/>
          <w:b/>
          <w:sz w:val="20"/>
        </w:rPr>
        <w:t>Section</w:t>
      </w:r>
      <w:r>
        <w:rPr>
          <w:rFonts w:ascii="Times New Roman" w:hAnsi="Times New Roman"/>
          <w:sz w:val="20"/>
        </w:rPr>
        <w:t> </w:t>
      </w:r>
      <w:r>
        <w:rPr>
          <w:rFonts w:ascii="Times New Roman" w:hAnsi="Times New Roman"/>
          <w:b/>
          <w:sz w:val="20"/>
        </w:rPr>
        <w:t>7.01(A)(ix)</w:t>
      </w:r>
      <w:r>
        <w:rPr>
          <w:rFonts w:ascii="Times New Roman" w:hAnsi="Times New Roman"/>
          <w:sz w:val="20"/>
        </w:rPr>
        <w:t xml:space="preserve">, such order or decree remains unstayed and in effect for at least sixty (60) days.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Cause Irrelevant</w:t>
      </w:r>
      <w:r>
        <w:rPr>
          <w:rFonts w:ascii="Times New Roman" w:hAnsi="Times New Roman"/>
          <w:sz w:val="20"/>
        </w:rPr>
        <w:t xml:space="preserve">. Each of the events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will constitute an Event of Default regardless of the cause thereof or whether voluntary or involuntary or effected by operation of law or pursuant to any judgment, decree or order of any court or any order, rule or regulation of any administrative or governmental body.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7.02. ACCELERATION.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Automatic Acceleration in Certain Circumstances</w:t>
      </w:r>
      <w:r>
        <w:rPr>
          <w:rFonts w:ascii="Times New Roman" w:hAnsi="Times New Roman"/>
          <w:sz w:val="20"/>
        </w:rPr>
        <w:t xml:space="preserve">. If an Event of Default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7.01(A)(viii)</w:t>
      </w:r>
      <w:r>
        <w:rPr>
          <w:rFonts w:ascii="Times New Roman" w:hAnsi="Times New Roman"/>
          <w:sz w:val="20"/>
        </w:rPr>
        <w:t xml:space="preserve"> or </w:t>
      </w:r>
      <w:r>
        <w:rPr>
          <w:rFonts w:ascii="Times New Roman" w:hAnsi="Times New Roman"/>
          <w:b/>
          <w:sz w:val="20"/>
        </w:rPr>
        <w:t>7.01(A)(ix)</w:t>
      </w:r>
      <w:r>
        <w:rPr>
          <w:rFonts w:ascii="Times New Roman" w:hAnsi="Times New Roman"/>
          <w:sz w:val="20"/>
        </w:rPr>
        <w:t xml:space="preserve"> occurs with respect to the Company (and not solely with respect to a Significant Subsidiary of the Company), then the principal amount of, and all accrued and unpaid interest on, all of the Notes then outstanding will immediately become due and payable without any further action or notice by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Optional Acceleration</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if an Event of Default (other than an Event of Default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7.01(A)(viii)</w:t>
      </w:r>
      <w:r>
        <w:rPr>
          <w:rFonts w:ascii="Times New Roman" w:hAnsi="Times New Roman"/>
          <w:sz w:val="20"/>
        </w:rPr>
        <w:t xml:space="preserve"> or </w:t>
      </w:r>
      <w:r>
        <w:rPr>
          <w:rFonts w:ascii="Times New Roman" w:hAnsi="Times New Roman"/>
          <w:b/>
          <w:sz w:val="20"/>
        </w:rPr>
        <w:t>7.01(A)(ix)</w:t>
      </w:r>
      <w:r>
        <w:rPr>
          <w:rFonts w:ascii="Times New Roman" w:hAnsi="Times New Roman"/>
          <w:sz w:val="20"/>
        </w:rPr>
        <w:t xml:space="preserve"> with respect to the Company and not solely with respect to a Significant Subsidiary of the Company) occurs and is continuing, then the Trustee, by notice to the Company, or Holders of at least twenty five percent (25%) of the aggregate principal amount of Notes then outstanding, by notice to the Company and the Trustee, may declare the principal amount of, and all accrued and unpaid interest on, all of the Notes then outstanding to become due and payable immediately. For the avoidance of doubt, if such Event of Default is not continuing at the time such notice is provided (that is, such Event of Default has been cured or waived as of such time), then such notice will not be effective to cause such amounts to become due and payable immediately.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Rescission of Acceleration</w:t>
      </w:r>
      <w:r>
        <w:rPr>
          <w:rFonts w:ascii="Times New Roman" w:hAnsi="Times New Roman"/>
          <w:sz w:val="20"/>
        </w:rPr>
        <w:t xml:space="preserve">. Notwithstanding anything to the contrary in the Indenture or the Notes, the Holders of a majority in aggregate 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7.03. SOLE REMEDY FOR A FAILURE TO REPORT.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Notwithstanding anything to the contrary in the Indenture or the Notes, the Company may elect that the sole remedy for any Event of Default (a “</w:t>
      </w:r>
      <w:r>
        <w:rPr>
          <w:rFonts w:ascii="Times New Roman" w:hAnsi="Times New Roman"/>
          <w:b/>
          <w:sz w:val="20"/>
        </w:rPr>
        <w:t>Reporting Event of Default</w:t>
      </w:r>
      <w:r>
        <w:rPr>
          <w:rFonts w:ascii="Times New Roman" w:hAnsi="Times New Roman"/>
          <w:sz w:val="20"/>
        </w:rPr>
        <w:t xml:space="preserv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7.01(A)(vi)</w:t>
      </w:r>
      <w:r>
        <w:rPr>
          <w:rFonts w:ascii="Times New Roman" w:hAnsi="Times New Roman"/>
          <w:sz w:val="20"/>
        </w:rPr>
        <w:t xml:space="preserve"> arising from the Company’s failure to comply with </w:t>
      </w:r>
      <w:r>
        <w:rPr>
          <w:rFonts w:ascii="Times New Roman" w:hAnsi="Times New Roman"/>
          <w:b/>
          <w:sz w:val="20"/>
        </w:rPr>
        <w:t>Section</w:t>
      </w:r>
      <w:r>
        <w:rPr>
          <w:rFonts w:ascii="Times New Roman" w:hAnsi="Times New Roman"/>
          <w:sz w:val="20"/>
        </w:rPr>
        <w:t> </w:t>
      </w:r>
      <w:r>
        <w:rPr>
          <w:rFonts w:ascii="Times New Roman" w:hAnsi="Times New Roman"/>
          <w:b/>
          <w:sz w:val="20"/>
        </w:rPr>
        <w:t>3.02</w:t>
      </w:r>
      <w:r>
        <w:rPr>
          <w:rFonts w:ascii="Times New Roman" w:hAnsi="Times New Roman"/>
          <w:sz w:val="20"/>
        </w:rPr>
        <w:t xml:space="preserve"> (including Section 314(a)(1) of the Trust Indenture Act) will, for each of the first three hundred sixty five (365)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7.02</w:t>
      </w:r>
      <w:r>
        <w:rPr>
          <w:rFonts w:ascii="Times New Roman" w:hAnsi="Times New Roman"/>
          <w:sz w:val="20"/>
        </w:rPr>
        <w:t xml:space="preserve"> on account of the relevant Reporting Event of Default from, and including, the three hundred sixty sixth (366th) calendar day on which a Reporting Event of Default has occurred and is continuing or if the Company fails to pay any accrued and unpaid Special Interest when due; and (ii) Special Interest will cease to accrue on any Notes from, and including, such three hundred sixty sixth (366th) calendar day (it being understood that interest on any defaulted Special Interest will nonetheless accrue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2.05(B)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Amount and Payment of Special Interest</w:t>
      </w:r>
      <w:r>
        <w:rPr>
          <w:rFonts w:ascii="Times New Roman" w:hAnsi="Times New Roman"/>
          <w:sz w:val="20"/>
        </w:rPr>
        <w:t xml:space="preserve">. Any Special Interest that accrues on a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7.03(A)</w:t>
      </w:r>
      <w:r>
        <w:rPr>
          <w:rFonts w:ascii="Times New Roman" w:hAnsi="Times New Roman"/>
          <w:sz w:val="20"/>
        </w:rPr>
        <w:t xml:space="preserve"> will be payable on the same dates and in the same manner as the Stated Interest on such Note and will accrue at a rate per annum equal to one quarter of one percent (0.25%) of the principal amount thereof for the first one hundred eighty (180) days on which Special Interest accrues and, thereafter, at a rate per annum equal to one half of one percent (0.50%) of the principal amount thereof. For the avoidance of doubt, any Special Interest that accrues on a Note will be in addition to the Stated Interest that accrues on such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of Election</w:t>
      </w:r>
      <w:r>
        <w:rPr>
          <w:rFonts w:ascii="Times New Roman" w:hAnsi="Times New Roman"/>
          <w:sz w:val="20"/>
        </w:rPr>
        <w:t xml:space="preserve">. To make the election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7.03(A)</w:t>
      </w:r>
      <w:r>
        <w:rPr>
          <w:rFonts w:ascii="Times New Roman" w:hAnsi="Times New Roman"/>
          <w:sz w:val="20"/>
        </w:rPr>
        <w:t xml:space="preserve">, the Company must send to the Holders, the Trustee and the Paying Agent, before the date on which each Reporting Event of Default first occurs, a notice that (i) briefly describes the report(s) that the Company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Notice to Trustee and Paying Agent; Trustee’s Disclaimer</w:t>
      </w:r>
      <w:r>
        <w:rPr>
          <w:rFonts w:ascii="Times New Roman" w:hAnsi="Times New Roman"/>
          <w:sz w:val="20"/>
        </w:rPr>
        <w:t xml:space="preserve">. If Special Interest accrues on any Note, then, no later than five (5) Business 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Effect on Other Events of Default</w:t>
      </w:r>
      <w:r>
        <w:rPr>
          <w:rFonts w:ascii="Times New Roman" w:hAnsi="Times New Roman"/>
          <w:sz w:val="20"/>
        </w:rPr>
        <w:t xml:space="preserve">. No election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with respect to a Reporting Event of Default will affect the rights of any Holder with respect to any other Event of Default, including with respect to any other Reporting Event of Default.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7.04. OTHER REMEDIES.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Trustee May Pursue All Remedies</w:t>
      </w:r>
      <w:r>
        <w:rPr>
          <w:rFonts w:ascii="Times New Roman" w:hAnsi="Times New Roman"/>
          <w:sz w:val="20"/>
        </w:rPr>
        <w:t xml:space="preserve">. If an Event of Default occurs and is continuing, then the Trustee may pursue any available remedy to collect the payment of any amounts due with respect to the Notes or to enforce the performance of any provision of the Indenture or the Notes.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Procedural Matters</w:t>
      </w:r>
      <w:r>
        <w:rPr>
          <w:rFonts w:ascii="Times New Roman" w:hAnsi="Times New Roman"/>
          <w:sz w:val="20"/>
        </w:rPr>
        <w:t xml:space="preserve">. The Trustee may maintain a proceeding even if it does not possess any of the Notes or does not produce any of them 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7.05. WAIVER OF PAST DEFAULTS. </w:t>
      </w:r>
    </w:p>
    <w:p>
      <w:pPr>
        <w:pStyle w:val="TextBody"/>
        <w:bidi w:val="0"/>
        <w:spacing w:before="120" w:after="0"/>
        <w:jc w:val="left"/>
        <w:rPr>
          <w:rFonts w:ascii="Times New Roman" w:hAnsi="Times New Roman"/>
          <w:sz w:val="20"/>
        </w:rPr>
      </w:pPr>
      <w:r>
        <w:rPr>
          <w:rFonts w:ascii="Times New Roman" w:hAnsi="Times New Roman"/>
          <w:sz w:val="20"/>
        </w:rPr>
        <w:t xml:space="preserve">A Default that is (or, after notice, passage of time or both, would be) an Event of Default pursuant to </w:t>
      </w:r>
      <w:r>
        <w:rPr>
          <w:rFonts w:ascii="Times New Roman" w:hAnsi="Times New Roman"/>
          <w:b/>
          <w:sz w:val="20"/>
        </w:rPr>
        <w:t>clause</w:t>
      </w:r>
      <w:r>
        <w:rPr>
          <w:rFonts w:ascii="Times New Roman" w:hAnsi="Times New Roman"/>
          <w:sz w:val="20"/>
        </w:rPr>
        <w:t xml:space="preserve"> </w:t>
      </w:r>
      <w:r>
        <w:rPr>
          <w:rFonts w:ascii="Times New Roman" w:hAnsi="Times New Roman"/>
          <w:b/>
          <w:sz w:val="20"/>
        </w:rPr>
        <w:t>(i)</w:t>
      </w:r>
      <w:r>
        <w:rPr>
          <w:rFonts w:ascii="Times New Roman" w:hAnsi="Times New Roman"/>
          <w:sz w:val="20"/>
        </w:rPr>
        <w:t xml:space="preserve">, </w:t>
      </w:r>
      <w:r>
        <w:rPr>
          <w:rFonts w:ascii="Times New Roman" w:hAnsi="Times New Roman"/>
          <w:b/>
          <w:sz w:val="20"/>
        </w:rPr>
        <w:t>(ii)</w:t>
      </w:r>
      <w:r>
        <w:rPr>
          <w:rFonts w:ascii="Times New Roman" w:hAnsi="Times New Roman"/>
          <w:sz w:val="20"/>
        </w:rPr>
        <w:t xml:space="preserve">, </w:t>
      </w:r>
      <w:r>
        <w:rPr>
          <w:rFonts w:ascii="Times New Roman" w:hAnsi="Times New Roman"/>
          <w:b/>
          <w:sz w:val="20"/>
        </w:rPr>
        <w:t>(iv)</w:t>
      </w:r>
      <w:r>
        <w:rPr>
          <w:rFonts w:ascii="Times New Roman" w:hAnsi="Times New Roman"/>
          <w:sz w:val="20"/>
        </w:rPr>
        <w:t xml:space="preserve"> or </w:t>
      </w:r>
      <w:r>
        <w:rPr>
          <w:rFonts w:ascii="Times New Roman" w:hAnsi="Times New Roman"/>
          <w:b/>
          <w:sz w:val="20"/>
        </w:rPr>
        <w:t>(vi)</w:t>
      </w:r>
      <w:r>
        <w:rPr>
          <w:rFonts w:ascii="Times New Roman" w:hAnsi="Times New Roman"/>
          <w:sz w:val="20"/>
        </w:rPr>
        <w:t xml:space="preserve"> of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(that, in the case of </w:t>
      </w:r>
      <w:r>
        <w:rPr>
          <w:rFonts w:ascii="Times New Roman" w:hAnsi="Times New Roman"/>
          <w:b/>
          <w:sz w:val="20"/>
        </w:rPr>
        <w:t>clause (vi)</w:t>
      </w:r>
      <w:r>
        <w:rPr>
          <w:rFonts w:ascii="Times New Roman" w:hAnsi="Times New Roman"/>
          <w:sz w:val="20"/>
        </w:rPr>
        <w:t xml:space="preserve"> only, results from a Default under any covenant that cannot be amended without the consent of each affected Holder)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impair any right arising therefrom. Each such waiver of a Default will have the effect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8.04(D)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7.06. CURE OF DEFAULTS; ABILITY TO CURE OR WAIVE BEFORE EVENT OF DEFAULT OCCURS.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and without limiting the manner in which any Default can be cured, (A) a Default consisting of a failure to send a notice in accordance with the Indenture will be cured upon the sending of such notice; (B) a Default in making any payment on (or delivering any other consideration in respect of) any Note will be cured upon the delivery, in accordance with the Indenture, of such payment (or other consideration) together, if applicable, with Default Interest thereon; and (C) a Default that is (or, after notice, passage of time or both, would be) a Reporting Event of Default will be cured upon the filing of the relevant report(s) giving rise to such Default. In addition, for the avoidance of doubt, if a Default that is not an Event of Default is cured or waived before such Default would have constituted an Event of Default, then no Event of Default will result from such Default.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7.07. CONTROL BY MAJORITY. </w:t>
      </w:r>
    </w:p>
    <w:p>
      <w:pPr>
        <w:pStyle w:val="TextBody"/>
        <w:bidi w:val="0"/>
        <w:spacing w:before="120" w:after="0"/>
        <w:jc w:val="left"/>
        <w:rPr>
          <w:rFonts w:ascii="Times New Roman" w:hAnsi="Times New Roman"/>
          <w:sz w:val="20"/>
        </w:rPr>
      </w:pPr>
      <w:r>
        <w:rPr>
          <w:rFonts w:ascii="Times New Roman" w:hAnsi="Times New Roman"/>
          <w:sz w:val="20"/>
        </w:rPr>
        <w:t xml:space="preserve">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the Indenture or the Notes, or that, subject to </w:t>
      </w:r>
      <w:r>
        <w:rPr>
          <w:rFonts w:ascii="Times New Roman" w:hAnsi="Times New Roman"/>
          <w:b/>
          <w:sz w:val="20"/>
        </w:rPr>
        <w:t>Section</w:t>
      </w:r>
      <w:r>
        <w:rPr>
          <w:rFonts w:ascii="Times New Roman" w:hAnsi="Times New Roman"/>
          <w:sz w:val="20"/>
        </w:rPr>
        <w:t> </w:t>
      </w:r>
      <w:r>
        <w:rPr>
          <w:rFonts w:ascii="Times New Roman" w:hAnsi="Times New Roman"/>
          <w:b/>
          <w:sz w:val="20"/>
        </w:rPr>
        <w:t>10.01</w:t>
      </w:r>
      <w:r>
        <w:rPr>
          <w:rFonts w:ascii="Times New Roman" w:hAnsi="Times New Roman"/>
          <w:sz w:val="20"/>
        </w:rPr>
        <w:t xml:space="preserve">, the Trustee determines may be unduly prejudicial to the rights of other Holders or may involve the Trustee in liability, unless the Trustee is offered (and, if requested, provided with) security and indemnity satisfactory to the Trustee against any loss, liability or expense to the Trustee that may result from the Trustee’s following such direction.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7.08. LIMITATION ON SUITS. </w:t>
      </w:r>
    </w:p>
    <w:p>
      <w:pPr>
        <w:pStyle w:val="TextBody"/>
        <w:bidi w:val="0"/>
        <w:spacing w:before="120" w:after="0"/>
        <w:jc w:val="left"/>
        <w:rPr>
          <w:rFonts w:ascii="Times New Roman" w:hAnsi="Times New Roman"/>
          <w:sz w:val="20"/>
        </w:rPr>
      </w:pPr>
      <w:r>
        <w:rPr>
          <w:rFonts w:ascii="Times New Roman" w:hAnsi="Times New Roman"/>
          <w:sz w:val="20"/>
        </w:rPr>
        <w:t xml:space="preserve">No Holder may pursue any remedy with respect to the Indenture or the Notes (except to enforce (x) its rights to receive the principal of, or the Fundamental Change Repurchase Price or Redemption Price for, or any interest on, any Notes; or (y) the Company’s obligations to Convert any Notes pursuant to </w:t>
      </w:r>
      <w:r>
        <w:rPr>
          <w:rFonts w:ascii="Times New Roman" w:hAnsi="Times New Roman"/>
          <w:b/>
          <w:sz w:val="20"/>
        </w:rPr>
        <w:t>Article 5</w:t>
      </w:r>
      <w:r>
        <w:rPr>
          <w:rFonts w:ascii="Times New Roman" w:hAnsi="Times New Roman"/>
          <w:sz w:val="20"/>
        </w:rPr>
        <w:t xml:space="preserve">), unless: </w:t>
      </w:r>
    </w:p>
    <w:p>
      <w:pPr>
        <w:pStyle w:val="TextBody"/>
        <w:bidi w:val="0"/>
        <w:spacing w:before="120" w:after="0"/>
        <w:jc w:val="left"/>
        <w:rPr>
          <w:rFonts w:ascii="Times New Roman" w:hAnsi="Times New Roman"/>
          <w:sz w:val="20"/>
        </w:rPr>
      </w:pPr>
      <w:r>
        <w:rPr>
          <w:rFonts w:ascii="Times New Roman" w:hAnsi="Times New Roman"/>
          <w:sz w:val="20"/>
        </w:rPr>
        <w:t xml:space="preserve">(A) such Holder has previously delivered to the Trustee notice that an Event of Default is continuing; </w:t>
      </w:r>
    </w:p>
    <w:p>
      <w:pPr>
        <w:pStyle w:val="TextBody"/>
        <w:bidi w:val="0"/>
        <w:spacing w:before="240" w:after="0"/>
        <w:jc w:val="left"/>
        <w:rPr>
          <w:rFonts w:ascii="Times New Roman" w:hAnsi="Times New Roman"/>
          <w:sz w:val="20"/>
        </w:rPr>
      </w:pPr>
      <w:r>
        <w:rPr>
          <w:rFonts w:ascii="Times New Roman" w:hAnsi="Times New Roman"/>
          <w:sz w:val="20"/>
        </w:rPr>
        <w:t xml:space="preserve">(B) Holders of at least twenty five percent (25%) in aggregate principal amount of the Notes then outstanding deliver a request to the Trustee to pursue such remedy; </w:t>
      </w:r>
    </w:p>
    <w:p>
      <w:pPr>
        <w:pStyle w:val="TextBody"/>
        <w:bidi w:val="0"/>
        <w:spacing w:before="240" w:after="0"/>
        <w:jc w:val="left"/>
        <w:rPr>
          <w:rFonts w:ascii="Times New Roman" w:hAnsi="Times New Roman"/>
          <w:sz w:val="20"/>
        </w:rPr>
      </w:pPr>
      <w:r>
        <w:rPr>
          <w:rFonts w:ascii="Times New Roman" w:hAnsi="Times New Roman"/>
          <w:sz w:val="20"/>
        </w:rPr>
        <w:t xml:space="preserve">(C) such Holder or Holders offer and, if requested, provide to the Trustee security and indemnity satisfactory to the Trustee against any loss, liability or expense to the Trustee that may result from the Trustee’s following such request; </w:t>
      </w:r>
    </w:p>
    <w:p>
      <w:pPr>
        <w:pStyle w:val="TextBody"/>
        <w:bidi w:val="0"/>
        <w:spacing w:before="240" w:after="0"/>
        <w:jc w:val="left"/>
        <w:rPr>
          <w:rFonts w:ascii="Times New Roman" w:hAnsi="Times New Roman"/>
          <w:sz w:val="20"/>
        </w:rPr>
      </w:pPr>
      <w:r>
        <w:rPr>
          <w:rFonts w:ascii="Times New Roman" w:hAnsi="Times New Roman"/>
          <w:sz w:val="20"/>
        </w:rPr>
        <w:t xml:space="preserve">(D) the Trustee does not comply with such request within sixty (60) calendar days after its receipt of such request and such offer of security or indemnity; and </w:t>
      </w:r>
    </w:p>
    <w:p>
      <w:pPr>
        <w:pStyle w:val="TextBody"/>
        <w:bidi w:val="0"/>
        <w:spacing w:before="240" w:after="0"/>
        <w:jc w:val="left"/>
        <w:rPr>
          <w:rFonts w:ascii="Times New Roman" w:hAnsi="Times New Roman"/>
          <w:sz w:val="20"/>
        </w:rPr>
      </w:pPr>
      <w:r>
        <w:rPr>
          <w:rFonts w:ascii="Times New Roman" w:hAnsi="Times New Roman"/>
          <w:sz w:val="20"/>
        </w:rPr>
        <w:t xml:space="preserve">(E) during such sixty (60) calendar day period, Holders of a majority in aggregate principal amount of the Notes then outstanding do not deliver to the Trustee a direction that is inconsistent with such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Holder of a Note may not use the Indenture to prejudice the rights of another Holder or to obtain a preference or priority over another Holder. The Trustee will have no duty to determine whether any Holder’s use of the Indenture complies with the preceding sentence.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7.09. ABSOLUTE RIGHT OF HOLDERS TO RECEIVE PAYMENT AND CONVERSION CONSIDERATION AND TO INSTITUTE SUIT FOR THE ENFORCEMENT OF SUCH RIGHT.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the Indenture or the Notes (but without limiting </w:t>
      </w: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xml:space="preserve">), the right of each Holder of a Note to bring suit for the enforcement of any payment or delivery, as applicable, of the principal of, or the Fundamental Change Repurchase Price or Redemption Price for, or any interest on, or the Conversion Consideration due pursuant to </w:t>
      </w:r>
      <w:r>
        <w:rPr>
          <w:rFonts w:ascii="Times New Roman" w:hAnsi="Times New Roman"/>
          <w:b/>
          <w:sz w:val="20"/>
        </w:rPr>
        <w:t>Article 5</w:t>
      </w:r>
      <w:r>
        <w:rPr>
          <w:rFonts w:ascii="Times New Roman" w:hAnsi="Times New Roman"/>
          <w:sz w:val="20"/>
        </w:rPr>
        <w:t xml:space="preserve"> upon Conversion of, such Note on or after the respective due dates therefor provided in the Indenture and the Notes, will not be impaired or affected without the consent of such Holder.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7.10. COLLECTION SUIT BY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have the right, upon the occurrence and continuance of an Event of Default pursuant to </w:t>
      </w:r>
      <w:r>
        <w:rPr>
          <w:rFonts w:ascii="Times New Roman" w:hAnsi="Times New Roman"/>
          <w:b/>
          <w:sz w:val="20"/>
        </w:rPr>
        <w:t>clause</w:t>
      </w:r>
      <w:r>
        <w:rPr>
          <w:rFonts w:ascii="Times New Roman" w:hAnsi="Times New Roman"/>
          <w:sz w:val="20"/>
        </w:rPr>
        <w:t xml:space="preserve"> </w:t>
      </w:r>
      <w:r>
        <w:rPr>
          <w:rFonts w:ascii="Times New Roman" w:hAnsi="Times New Roman"/>
          <w:b/>
          <w:sz w:val="20"/>
        </w:rPr>
        <w:t>(i)</w:t>
      </w:r>
      <w:r>
        <w:rPr>
          <w:rFonts w:ascii="Times New Roman" w:hAnsi="Times New Roman"/>
          <w:sz w:val="20"/>
        </w:rPr>
        <w:t xml:space="preserve">, </w:t>
      </w:r>
      <w:r>
        <w:rPr>
          <w:rFonts w:ascii="Times New Roman" w:hAnsi="Times New Roman"/>
          <w:b/>
          <w:sz w:val="20"/>
        </w:rPr>
        <w:t>(ii)</w:t>
      </w:r>
      <w:r>
        <w:rPr>
          <w:rFonts w:ascii="Times New Roman" w:hAnsi="Times New Roman"/>
          <w:sz w:val="20"/>
        </w:rPr>
        <w:t xml:space="preserve"> or </w:t>
      </w:r>
      <w:r>
        <w:rPr>
          <w:rFonts w:ascii="Times New Roman" w:hAnsi="Times New Roman"/>
          <w:b/>
          <w:sz w:val="20"/>
        </w:rPr>
        <w:t>(iv)</w:t>
      </w:r>
      <w:r>
        <w:rPr>
          <w:rFonts w:ascii="Times New Roman" w:hAnsi="Times New Roman"/>
          <w:sz w:val="20"/>
        </w:rPr>
        <w:t xml:space="preserve"> of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to recover judgment in its own name and as trustee of an express trust against the Company for the total unpaid or undelivered principal of, or Fundamental Change Repurchase Price or Redemption Price for, or any interest on, or Conversion Consideration due pursuant to </w:t>
      </w:r>
      <w:r>
        <w:rPr>
          <w:rFonts w:ascii="Times New Roman" w:hAnsi="Times New Roman"/>
          <w:b/>
          <w:sz w:val="20"/>
        </w:rPr>
        <w:t>Article 5</w:t>
      </w:r>
      <w:r>
        <w:rPr>
          <w:rFonts w:ascii="Times New Roman" w:hAnsi="Times New Roman"/>
          <w:sz w:val="20"/>
        </w:rPr>
        <w:t xml:space="preserve"> upon Conversion of, the Notes, as applicable, and, to the extent lawful, any Default Interest on any Defaulted Amounts, and such further amounts sufficient to cover the costs and expenses of collection, including compensation provided for in </w:t>
      </w:r>
      <w:r>
        <w:rPr>
          <w:rFonts w:ascii="Times New Roman" w:hAnsi="Times New Roman"/>
          <w:b/>
          <w:sz w:val="20"/>
        </w:rPr>
        <w:t>Section</w:t>
      </w:r>
      <w:r>
        <w:rPr>
          <w:rFonts w:ascii="Times New Roman" w:hAnsi="Times New Roman"/>
          <w:sz w:val="20"/>
        </w:rPr>
        <w:t> </w:t>
      </w:r>
      <w:r>
        <w:rPr>
          <w:rFonts w:ascii="Times New Roman" w:hAnsi="Times New Roman"/>
          <w:b/>
          <w:sz w:val="20"/>
        </w:rPr>
        <w:t>10.06</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7.11. TRUSTEE MAY FILE PROOFS OF CLAIM. </w:t>
      </w:r>
    </w:p>
    <w:p>
      <w:pPr>
        <w:pStyle w:val="TextBody"/>
        <w:bidi w:val="0"/>
        <w:spacing w:before="120" w:after="0"/>
        <w:jc w:val="left"/>
        <w:rPr>
          <w:rFonts w:ascii="Times New Roman" w:hAnsi="Times New Roman"/>
          <w:sz w:val="20"/>
        </w:rPr>
      </w:pPr>
      <w:r>
        <w:rPr>
          <w:rFonts w:ascii="Times New Roman" w:hAnsi="Times New Roman"/>
          <w:sz w:val="20"/>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10.06</w:t>
      </w:r>
      <w:r>
        <w:rPr>
          <w:rFonts w:ascii="Times New Roman" w:hAnsi="Times New Roman"/>
          <w:sz w:val="20"/>
        </w:rPr>
        <w:t xml:space="preserve">. To the extent that the payment of any such compensation, expenses, disbursements, advances and other amounts out of the estate in such proceeding, is denied for any reason, payment of the same will be secured by a lien (senior to the rights of Holders) on, and will be paid out of, any and all distributions, dividends, money, securities and other properties that the Holders may be entitled to receive in such proceeding (whether in liquidation or under any plan of reorganization or arrangement or otherwise). Nothing in the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7.12. PRIORITIES.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pay or deliver in the following order any money or other property that it collects pursuant to this </w:t>
      </w:r>
      <w:r>
        <w:rPr>
          <w:rFonts w:ascii="Times New Roman" w:hAnsi="Times New Roman"/>
          <w:b/>
          <w:sz w:val="20"/>
        </w:rPr>
        <w:t>Article 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to the Trustee and its agents and attorneys for amounts due under </w:t>
      </w:r>
      <w:r>
        <w:rPr>
          <w:rFonts w:ascii="Times New Roman" w:hAnsi="Times New Roman"/>
          <w:b/>
          <w:sz w:val="20"/>
        </w:rPr>
        <w:t>Section</w:t>
      </w:r>
      <w:r>
        <w:rPr>
          <w:rFonts w:ascii="Times New Roman" w:hAnsi="Times New Roman"/>
          <w:sz w:val="20"/>
        </w:rPr>
        <w:t> </w:t>
      </w:r>
      <w:r>
        <w:rPr>
          <w:rFonts w:ascii="Times New Roman" w:hAnsi="Times New Roman"/>
          <w:b/>
          <w:sz w:val="20"/>
        </w:rPr>
        <w:t>10.06</w:t>
      </w:r>
      <w:r>
        <w:rPr>
          <w:rFonts w:ascii="Times New Roman" w:hAnsi="Times New Roman"/>
          <w:sz w:val="20"/>
        </w:rPr>
        <w:t xml:space="preserve">, including payment of all fees and compensation of, and all expenses and liabilities incurred, and all advances made, by, the Trustee (in each of its capacities under the Indenture, including as Note Agent) and the costs and expenses of collection; </w:t>
      </w:r>
    </w:p>
    <w:p>
      <w:pPr>
        <w:pStyle w:val="TextBody"/>
        <w:bidi w:val="0"/>
        <w:spacing w:before="120" w:after="0"/>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to Holders for unpaid amounts or other property due on the Notes, including the principal of, or the Fundamental Change Repurchase Price or Redemption Price for, or any interest on, or any Conversion Consideration due upon Conversion of, the Notes, ratably, and without preference or priority of any kind, according to such amounts or other property due and payable on all of the Notes; and </w:t>
      </w:r>
    </w:p>
    <w:p>
      <w:pPr>
        <w:pStyle w:val="TextBody"/>
        <w:bidi w:val="0"/>
        <w:spacing w:before="120" w:after="0"/>
        <w:jc w:val="left"/>
        <w:rPr>
          <w:rFonts w:ascii="Times New Roman" w:hAnsi="Times New Roman"/>
          <w:sz w:val="20"/>
        </w:rPr>
      </w:pPr>
      <w:r>
        <w:rPr>
          <w:rFonts w:ascii="Times New Roman" w:hAnsi="Times New Roman"/>
          <w:i/>
          <w:sz w:val="20"/>
        </w:rPr>
        <w:t>Third</w:t>
      </w:r>
      <w:r>
        <w:rPr>
          <w:rFonts w:ascii="Times New Roman" w:hAnsi="Times New Roman"/>
          <w:sz w:val="20"/>
        </w:rPr>
        <w:t xml:space="preserve">: to the Company or such other Person as a court of competent jurisdiction directs.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fix a record date and payment date for any payment or delivery to the Holders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7.12</w:t>
      </w:r>
      <w:r>
        <w:rPr>
          <w:rFonts w:ascii="Times New Roman" w:hAnsi="Times New Roman"/>
          <w:sz w:val="20"/>
        </w:rPr>
        <w:t xml:space="preserve">,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7.13. UNDERTAKING FOR COSTS. </w:t>
      </w:r>
    </w:p>
    <w:p>
      <w:pPr>
        <w:pStyle w:val="TextBody"/>
        <w:bidi w:val="0"/>
        <w:spacing w:before="120" w:after="0"/>
        <w:jc w:val="left"/>
        <w:rPr>
          <w:rFonts w:ascii="Times New Roman" w:hAnsi="Times New Roman"/>
          <w:sz w:val="20"/>
        </w:rPr>
      </w:pPr>
      <w:r>
        <w:rPr>
          <w:rFonts w:ascii="Times New Roman" w:hAnsi="Times New Roman"/>
          <w:sz w:val="20"/>
        </w:rPr>
        <w:t xml:space="preserve">In any suit for the enforcement of any right or remedy under the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w:t>
      </w:r>
      <w:r>
        <w:rPr>
          <w:rFonts w:ascii="Times New Roman" w:hAnsi="Times New Roman"/>
          <w:b/>
          <w:sz w:val="20"/>
        </w:rPr>
        <w:t>Section</w:t>
      </w:r>
      <w:r>
        <w:rPr>
          <w:rFonts w:ascii="Times New Roman" w:hAnsi="Times New Roman"/>
          <w:sz w:val="20"/>
        </w:rPr>
        <w:t> </w:t>
      </w:r>
      <w:r>
        <w:rPr>
          <w:rFonts w:ascii="Times New Roman" w:hAnsi="Times New Roman"/>
          <w:b/>
          <w:sz w:val="20"/>
        </w:rPr>
        <w:t>7.13</w:t>
      </w:r>
      <w:r>
        <w:rPr>
          <w:rFonts w:ascii="Times New Roman" w:hAnsi="Times New Roman"/>
          <w:sz w:val="20"/>
        </w:rPr>
        <w:t xml:space="preserve"> does not apply to any suit by the Trustee, any suit by a Holder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7.09</w:t>
      </w:r>
      <w:r>
        <w:rPr>
          <w:rFonts w:ascii="Times New Roman" w:hAnsi="Times New Roman"/>
          <w:sz w:val="20"/>
        </w:rPr>
        <w:t xml:space="preserve"> or any suit by one or more Holders of more than ten percent (10%) in aggregate principal amount of the Notes then outstanding.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8. AMENDMENTS, SUPPLEMENTS AND WAIVERS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8.01. WITHOUT THE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w:t>
      </w:r>
      <w:r>
        <w:rPr>
          <w:rFonts w:ascii="Times New Roman" w:hAnsi="Times New Roman"/>
          <w:b/>
          <w:sz w:val="20"/>
        </w:rPr>
        <w:t>Section</w:t>
      </w:r>
      <w:r>
        <w:rPr>
          <w:rFonts w:ascii="Times New Roman" w:hAnsi="Times New Roman"/>
          <w:sz w:val="20"/>
        </w:rPr>
        <w:t> </w:t>
      </w:r>
      <w:r>
        <w:rPr>
          <w:rFonts w:ascii="Times New Roman" w:hAnsi="Times New Roman"/>
          <w:b/>
          <w:sz w:val="20"/>
        </w:rPr>
        <w:t>8.02</w:t>
      </w:r>
      <w:r>
        <w:rPr>
          <w:rFonts w:ascii="Times New Roman" w:hAnsi="Times New Roman"/>
          <w:sz w:val="20"/>
        </w:rPr>
        <w:t xml:space="preserve">, the Company and the Trustee may amend or supplement the Indenture or the Notes without the consent of any Holder to: </w:t>
      </w:r>
    </w:p>
    <w:p>
      <w:pPr>
        <w:pStyle w:val="TextBody"/>
        <w:bidi w:val="0"/>
        <w:spacing w:before="120" w:after="0"/>
        <w:jc w:val="left"/>
        <w:rPr>
          <w:rFonts w:ascii="Times New Roman" w:hAnsi="Times New Roman"/>
          <w:sz w:val="20"/>
        </w:rPr>
      </w:pPr>
      <w:r>
        <w:rPr>
          <w:rFonts w:ascii="Times New Roman" w:hAnsi="Times New Roman"/>
          <w:sz w:val="20"/>
        </w:rPr>
        <w:t xml:space="preserve">(A) cure any ambiguity or correct any omission, defect or inconsistency in the Indenture or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add guarantees with respect to the Company’s obligations under the Indenture or the Notes; </w:t>
      </w:r>
    </w:p>
    <w:p>
      <w:pPr>
        <w:pStyle w:val="TextBody"/>
        <w:bidi w:val="0"/>
        <w:spacing w:before="240" w:after="0"/>
        <w:jc w:val="left"/>
        <w:rPr>
          <w:rFonts w:ascii="Times New Roman" w:hAnsi="Times New Roman"/>
          <w:sz w:val="20"/>
        </w:rPr>
      </w:pPr>
      <w:r>
        <w:rPr>
          <w:rFonts w:ascii="Times New Roman" w:hAnsi="Times New Roman"/>
          <w:sz w:val="20"/>
        </w:rPr>
        <w:t xml:space="preserve">(C) secure the Notes; </w:t>
      </w:r>
    </w:p>
    <w:p>
      <w:pPr>
        <w:pStyle w:val="TextBody"/>
        <w:bidi w:val="0"/>
        <w:spacing w:before="240" w:after="0"/>
        <w:jc w:val="left"/>
        <w:rPr>
          <w:rFonts w:ascii="Times New Roman" w:hAnsi="Times New Roman"/>
          <w:sz w:val="20"/>
        </w:rPr>
      </w:pPr>
      <w:r>
        <w:rPr>
          <w:rFonts w:ascii="Times New Roman" w:hAnsi="Times New Roman"/>
          <w:sz w:val="20"/>
        </w:rPr>
        <w:t xml:space="preserve">(D) add to the Company’s covenants or Events of Default for the benefit of the Holders or surrender any right or power conferred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(E) provide for the assumption of the Company’s obligations under the Indenture and the Notes pursuant to, and in compliance with, </w:t>
      </w:r>
      <w:r>
        <w:rPr>
          <w:rFonts w:ascii="Times New Roman" w:hAnsi="Times New Roman"/>
          <w:b/>
          <w:sz w:val="20"/>
        </w:rPr>
        <w:t>Article 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enter into supplemental indentures pursuant to, and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in connection with a Common Stock Change Event; </w:t>
      </w:r>
    </w:p>
    <w:p>
      <w:pPr>
        <w:pStyle w:val="TextBody"/>
        <w:bidi w:val="0"/>
        <w:spacing w:before="240" w:after="0"/>
        <w:jc w:val="left"/>
        <w:rPr>
          <w:rFonts w:ascii="Times New Roman" w:hAnsi="Times New Roman"/>
          <w:sz w:val="20"/>
        </w:rPr>
      </w:pPr>
      <w:r>
        <w:rPr>
          <w:rFonts w:ascii="Times New Roman" w:hAnsi="Times New Roman"/>
          <w:sz w:val="20"/>
        </w:rPr>
        <w:t xml:space="preserve">(G) irrevocably elect or eliminate any Settlement Method or Specified Dollar Amount;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election or elimination will affect any Settlement Method theretofore elected (or deemed to be elected) with respect to any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evidence or provide for the acceptance of the appointment, under the Indenture,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(I) conform the provisions of the Indenture and the Notes to the “Description of Notes” section of the Company’s preliminary prospectus supplement, dated October 5, 2026, as supplemented by the related pricing term sheet, dated October 6, 2026; </w:t>
      </w:r>
    </w:p>
    <w:p>
      <w:pPr>
        <w:pStyle w:val="TextBody"/>
        <w:bidi w:val="0"/>
        <w:spacing w:before="240" w:after="0"/>
        <w:jc w:val="left"/>
        <w:rPr>
          <w:rFonts w:ascii="Times New Roman" w:hAnsi="Times New Roman"/>
          <w:sz w:val="20"/>
        </w:rPr>
      </w:pPr>
      <w:r>
        <w:rPr>
          <w:rFonts w:ascii="Times New Roman" w:hAnsi="Times New Roman"/>
          <w:sz w:val="20"/>
        </w:rPr>
        <w:t xml:space="preserve">(J) provide for or confirm the issuance of additional Notes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provide for any transfer restrictions that apply to any Notes issued under the Indenture (other than the Initial Notes) that, at the time of their original issuance, constitute “restricted securities” within the meaning of Rule 144 under the Securities Act or that are originally issued in reliance upon Regulation 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(L) comply with any requirement of the SEC in connection with effecting or maintaining the qualification of the Indenture, or any related supplemental indenture, under the Trust Indenture Act, as then in effect; or </w:t>
      </w:r>
    </w:p>
    <w:p>
      <w:pPr>
        <w:pStyle w:val="TextBody"/>
        <w:bidi w:val="0"/>
        <w:spacing w:before="240" w:after="0"/>
        <w:jc w:val="left"/>
        <w:rPr>
          <w:rFonts w:ascii="Times New Roman" w:hAnsi="Times New Roman"/>
          <w:sz w:val="20"/>
        </w:rPr>
      </w:pPr>
      <w:r>
        <w:rPr>
          <w:rFonts w:ascii="Times New Roman" w:hAnsi="Times New Roman"/>
          <w:sz w:val="20"/>
        </w:rPr>
        <w:t xml:space="preserve">(M) make any other change to the Indenture or the Notes that does not, individually or in the aggregate with all other such changes, adversely affect the rights of the Holders, as such, in any material respect, as determined by the Company in good faith. </w:t>
      </w:r>
    </w:p>
    <w:p>
      <w:pPr>
        <w:pStyle w:val="TextBody"/>
        <w:bidi w:val="0"/>
        <w:spacing w:before="240" w:after="0"/>
        <w:jc w:val="left"/>
        <w:rPr>
          <w:rFonts w:ascii="Times New Roman" w:hAnsi="Times New Roman"/>
          <w:sz w:val="20"/>
        </w:rPr>
      </w:pPr>
      <w:r>
        <w:rPr>
          <w:rFonts w:ascii="Times New Roman" w:hAnsi="Times New Roman"/>
          <w:sz w:val="20"/>
        </w:rPr>
        <w:t xml:space="preserve">At the written request of any Holder of a Note or owner of a beneficial interest in a Global Note, the Company will provide a copy of the “Description of Notes” section and pricing term sheet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8.01(I)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8.02. WITH THE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Subject to </w:t>
      </w:r>
      <w:r>
        <w:rPr>
          <w:rFonts w:ascii="Times New Roman" w:hAnsi="Times New Roman"/>
          <w:b/>
          <w:sz w:val="20"/>
        </w:rPr>
        <w:t>Sections 8.01</w:t>
      </w:r>
      <w:r>
        <w:rPr>
          <w:rFonts w:ascii="Times New Roman" w:hAnsi="Times New Roman"/>
          <w:sz w:val="20"/>
        </w:rPr>
        <w:t xml:space="preserve">, </w:t>
      </w:r>
      <w:r>
        <w:rPr>
          <w:rFonts w:ascii="Times New Roman" w:hAnsi="Times New Roman"/>
          <w:b/>
          <w:sz w:val="20"/>
        </w:rPr>
        <w:t>7.05</w:t>
      </w:r>
      <w:r>
        <w:rPr>
          <w:rFonts w:ascii="Times New Roman" w:hAnsi="Times New Roman"/>
          <w:sz w:val="20"/>
        </w:rPr>
        <w:t xml:space="preserve"> and </w:t>
      </w:r>
      <w:r>
        <w:rPr>
          <w:rFonts w:ascii="Times New Roman" w:hAnsi="Times New Roman"/>
          <w:b/>
          <w:sz w:val="20"/>
        </w:rPr>
        <w:t>7.09</w:t>
      </w:r>
      <w:r>
        <w:rPr>
          <w:rFonts w:ascii="Times New Roman" w:hAnsi="Times New Roman"/>
          <w:sz w:val="20"/>
        </w:rPr>
        <w:t xml:space="preserve"> and the immediately following sentence, the Company and the Trustee may, with the consent of the Holders of a majority in aggregate principal amount of the Notes then outstanding, amend or supplement the Indenture or the Notes or waive compliance with any provision of the Indenture or the Notes. Notwithstanding anything to the contrary in the foregoing sentence, but subject to </w:t>
      </w: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xml:space="preserve">, without the consent of each affected Holder, no amendment or supplement to the Indenture or the Notes, or waiver of any provision of the Indenture or the Notes, may: </w:t>
      </w:r>
    </w:p>
    <w:p>
      <w:pPr>
        <w:pStyle w:val="TextBody"/>
        <w:bidi w:val="0"/>
        <w:spacing w:before="120" w:after="0"/>
        <w:jc w:val="left"/>
        <w:rPr>
          <w:rFonts w:ascii="Times New Roman" w:hAnsi="Times New Roman"/>
          <w:sz w:val="20"/>
        </w:rPr>
      </w:pPr>
      <w:r>
        <w:rPr>
          <w:rFonts w:ascii="Times New Roman" w:hAnsi="Times New Roman"/>
          <w:sz w:val="20"/>
        </w:rPr>
        <w:t xml:space="preserve">(i) reduce the principal, or change the stated maturity, of any Note; </w:t>
      </w:r>
    </w:p>
    <w:p>
      <w:pPr>
        <w:pStyle w:val="TextBody"/>
        <w:bidi w:val="0"/>
        <w:spacing w:before="120" w:after="0"/>
        <w:jc w:val="left"/>
        <w:rPr>
          <w:rFonts w:ascii="Times New Roman" w:hAnsi="Times New Roman"/>
          <w:sz w:val="20"/>
        </w:rPr>
      </w:pPr>
      <w:r>
        <w:rPr>
          <w:rFonts w:ascii="Times New Roman" w:hAnsi="Times New Roman"/>
          <w:sz w:val="20"/>
        </w:rPr>
        <w:t xml:space="preserve">(ii) reduce the Redemption Price or Fundamental Change Repurchase Price for any Note or change the times at which, or the circumstances under which, the Notes may or will be redeemed or repurchased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reduce the rate, or extend the time for the payment, of interest on any Note; </w:t>
      </w:r>
    </w:p>
    <w:p>
      <w:pPr>
        <w:pStyle w:val="TextBody"/>
        <w:bidi w:val="0"/>
        <w:spacing w:before="120" w:after="0"/>
        <w:jc w:val="left"/>
        <w:rPr>
          <w:rFonts w:ascii="Times New Roman" w:hAnsi="Times New Roman"/>
          <w:sz w:val="20"/>
        </w:rPr>
      </w:pPr>
      <w:r>
        <w:rPr>
          <w:rFonts w:ascii="Times New Roman" w:hAnsi="Times New Roman"/>
          <w:sz w:val="20"/>
        </w:rPr>
        <w:t xml:space="preserve">(iv) make any change that adversely affects the Conversion rights of any Note; </w:t>
      </w:r>
    </w:p>
    <w:p>
      <w:pPr>
        <w:pStyle w:val="TextBody"/>
        <w:bidi w:val="0"/>
        <w:spacing w:before="120" w:after="0"/>
        <w:jc w:val="left"/>
        <w:rPr>
          <w:rFonts w:ascii="Times New Roman" w:hAnsi="Times New Roman"/>
          <w:sz w:val="20"/>
        </w:rPr>
      </w:pPr>
      <w:r>
        <w:rPr>
          <w:rFonts w:ascii="Times New Roman" w:hAnsi="Times New Roman"/>
          <w:sz w:val="20"/>
        </w:rPr>
        <w:t xml:space="preserve">(v) impair the rights of any Holder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7.09</w:t>
      </w:r>
      <w:r>
        <w:rPr>
          <w:rFonts w:ascii="Times New Roman" w:hAnsi="Times New Roman"/>
          <w:sz w:val="20"/>
        </w:rPr>
        <w:t xml:space="preserve"> (as such section is in effect on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(vi) change the ranking of the Notes; </w:t>
      </w:r>
    </w:p>
    <w:p>
      <w:pPr>
        <w:pStyle w:val="TextBody"/>
        <w:bidi w:val="0"/>
        <w:spacing w:before="120" w:after="0"/>
        <w:jc w:val="left"/>
        <w:rPr>
          <w:rFonts w:ascii="Times New Roman" w:hAnsi="Times New Roman"/>
          <w:sz w:val="20"/>
        </w:rPr>
      </w:pPr>
      <w:r>
        <w:rPr>
          <w:rFonts w:ascii="Times New Roman" w:hAnsi="Times New Roman"/>
          <w:sz w:val="20"/>
        </w:rPr>
        <w:t xml:space="preserve">(vii) make any Note payable in money, or at a place of payment, other than that stated in the Indenture or the Note; </w:t>
      </w:r>
    </w:p>
    <w:p>
      <w:pPr>
        <w:pStyle w:val="TextBody"/>
        <w:bidi w:val="0"/>
        <w:spacing w:before="120" w:after="0"/>
        <w:jc w:val="left"/>
        <w:rPr>
          <w:rFonts w:ascii="Times New Roman" w:hAnsi="Times New Roman"/>
          <w:sz w:val="20"/>
        </w:rPr>
      </w:pPr>
      <w:r>
        <w:rPr>
          <w:rFonts w:ascii="Times New Roman" w:hAnsi="Times New Roman"/>
          <w:sz w:val="20"/>
        </w:rPr>
        <w:t xml:space="preserve">(viii) reduce the amount of Notes whose Holders must consent to any amendment, supplement, waiver or other modification; or </w:t>
      </w:r>
    </w:p>
    <w:p>
      <w:pPr>
        <w:pStyle w:val="TextBody"/>
        <w:bidi w:val="0"/>
        <w:spacing w:before="120" w:after="0"/>
        <w:jc w:val="left"/>
        <w:rPr>
          <w:rFonts w:ascii="Times New Roman" w:hAnsi="Times New Roman"/>
          <w:sz w:val="20"/>
        </w:rPr>
      </w:pPr>
      <w:r>
        <w:rPr>
          <w:rFonts w:ascii="Times New Roman" w:hAnsi="Times New Roman"/>
          <w:sz w:val="20"/>
        </w:rPr>
        <w:t xml:space="preserve">(ix) make any direct or indirect change to any amendment, supplement, waiver or modification provision of the Indenture or the Notes that requires the consent of each affected Holder.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Holders Need Not Approve the Particular Form of any Amendment</w:t>
      </w:r>
      <w:r>
        <w:rPr>
          <w:rFonts w:ascii="Times New Roman" w:hAnsi="Times New Roman"/>
          <w:sz w:val="20"/>
        </w:rPr>
        <w:t xml:space="preserve">. A consent of any Holder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8.02</w:t>
      </w:r>
      <w:r>
        <w:rPr>
          <w:rFonts w:ascii="Times New Roman" w:hAnsi="Times New Roman"/>
          <w:sz w:val="20"/>
        </w:rPr>
        <w:t xml:space="preserve"> need approve only the substance, and not necessarily the particular form, of the proposed amendment, supplement or waiver.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8.03. NOTICE OF AMENDMENTS, SUPPLEMENTS AND WAIVERS. </w:t>
      </w:r>
    </w:p>
    <w:p>
      <w:pPr>
        <w:pStyle w:val="TextBody"/>
        <w:bidi w:val="0"/>
        <w:spacing w:before="120" w:after="0"/>
        <w:jc w:val="left"/>
        <w:rPr>
          <w:rFonts w:ascii="Times New Roman" w:hAnsi="Times New Roman"/>
          <w:sz w:val="20"/>
        </w:rPr>
      </w:pPr>
      <w:r>
        <w:rPr>
          <w:rFonts w:ascii="Times New Roman" w:hAnsi="Times New Roman"/>
          <w:sz w:val="20"/>
        </w:rPr>
        <w:t xml:space="preserve">As soon as reasonably practicable after any amendment, supplement or waiver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xml:space="preserve"> or </w:t>
      </w:r>
      <w:r>
        <w:rPr>
          <w:rFonts w:ascii="Times New Roman" w:hAnsi="Times New Roman"/>
          <w:b/>
          <w:sz w:val="20"/>
        </w:rPr>
        <w:t>8.02</w:t>
      </w:r>
      <w:r>
        <w:rPr>
          <w:rFonts w:ascii="Times New Roman" w:hAnsi="Times New Roman"/>
          <w:sz w:val="20"/>
        </w:rPr>
        <w:t xml:space="preserve"> becomes effective, the Company will send to the Holders and the Trustee notice that (A) describes the substance of such amendment, supplement or waiver in reasonable detail and (B) states the effective date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not be required to provide such notice to the Holders if such amendment, supplement or waiver is included in a periodic report filed by the Company with the SEC within four (4) Business Days of its effectiveness. The failure to send, or the existence of any defect in, such notice will not impair or affect the validity of such amendment, supplement or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8.04. REVOCATION, EFFECT AND SOLICITATION OF CONSENTS; SPECIAL RECORD DATES; ETC.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Revocation and Effect of Consents</w:t>
      </w:r>
      <w:r>
        <w:rPr>
          <w:rFonts w:ascii="Times New Roman" w:hAnsi="Times New Roman"/>
          <w:sz w:val="20"/>
        </w:rPr>
        <w:t xml:space="preserve">. The consent of a Holder of a Note to an amendment, supplement or waiver will bind (and constitute the consent of) each subsequent Holder of any Note to the extent the same evidences any portion of the same indebtedness as the consenting Holder’s Note, subject to the right of any Holder of a Note to revoke (if not prohibited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8.04(B)</w:t>
      </w:r>
      <w:r>
        <w:rPr>
          <w:rFonts w:ascii="Times New Roman" w:hAnsi="Times New Roman"/>
          <w:sz w:val="20"/>
        </w:rPr>
        <w:t xml:space="preserve">) any such consent with respect to such Note by delivering notice of revocation to the Trustee before the time such amendment, supplement or waiver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Special Record Dates</w:t>
      </w:r>
      <w:r>
        <w:rPr>
          <w:rFonts w:ascii="Times New Roman" w:hAnsi="Times New Roman"/>
          <w:sz w:val="20"/>
        </w:rPr>
        <w:t xml:space="preserve">. The Company may, but is not required to, fix a record date for the purpose of determining the Holders entitled to consent or take any other action in connection with any amendment, supplement or waiver pursuant to this </w:t>
      </w:r>
      <w:r>
        <w:rPr>
          <w:rFonts w:ascii="Times New Roman" w:hAnsi="Times New Roman"/>
          <w:b/>
          <w:sz w:val="20"/>
        </w:rPr>
        <w:t>Article 8</w:t>
      </w:r>
      <w:r>
        <w:rPr>
          <w:rFonts w:ascii="Times New Roman" w:hAnsi="Times New Roman"/>
          <w:sz w:val="20"/>
        </w:rPr>
        <w:t xml:space="preserve">. If a record date is fixed, then, notwithstanding anything to the contrary in </w:t>
      </w:r>
      <w:r>
        <w:rPr>
          <w:rFonts w:ascii="Times New Roman" w:hAnsi="Times New Roman"/>
          <w:b/>
          <w:sz w:val="20"/>
        </w:rPr>
        <w:t>Section</w:t>
      </w:r>
      <w:r>
        <w:rPr>
          <w:rFonts w:ascii="Times New Roman" w:hAnsi="Times New Roman"/>
          <w:sz w:val="20"/>
        </w:rPr>
        <w:t> </w:t>
      </w:r>
      <w:r>
        <w:rPr>
          <w:rFonts w:ascii="Times New Roman" w:hAnsi="Times New Roman"/>
          <w:b/>
          <w:sz w:val="20"/>
        </w:rPr>
        <w:t>8.04(A)</w:t>
      </w:r>
      <w:r>
        <w:rPr>
          <w:rFonts w:ascii="Times New Roman" w:hAnsi="Times New Roman"/>
          <w:sz w:val="20"/>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consent will be valid or effective for more than one hundred and twenty (120) calendar days after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Solicitation of Consents</w:t>
      </w:r>
      <w:r>
        <w:rPr>
          <w:rFonts w:ascii="Times New Roman" w:hAnsi="Times New Roman"/>
          <w:sz w:val="20"/>
        </w:rPr>
        <w:t xml:space="preserve">. For the avoidance of doubt, each reference in the Indenture or the Notes to the consent of a Holder will be deemed to include any such consent obtained in connection with a repurchase of, or tender or exchange offer for, any Notes.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Effectiveness and Binding Effect</w:t>
      </w:r>
      <w:r>
        <w:rPr>
          <w:rFonts w:ascii="Times New Roman" w:hAnsi="Times New Roman"/>
          <w:sz w:val="20"/>
        </w:rPr>
        <w:t xml:space="preserve">. Each amendment or supplement to the Indenture or the Notes, or waiver of any Default, Event of Default or compliance with any provision of the Indenture or the Notes, will become effective in accordance with its terms and, when it becomes effective with respect to any Note (or any portion thereof), will thereafter bind every Holder of such Note (or such portion).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8.05. NOTATIONS AND EXCHANGES. </w:t>
      </w:r>
    </w:p>
    <w:p>
      <w:pPr>
        <w:pStyle w:val="TextBody"/>
        <w:bidi w:val="0"/>
        <w:spacing w:before="120" w:after="0"/>
        <w:jc w:val="left"/>
        <w:rPr>
          <w:rFonts w:ascii="Times New Roman" w:hAnsi="Times New Roman"/>
          <w:sz w:val="20"/>
        </w:rPr>
      </w:pPr>
      <w:r>
        <w:rPr>
          <w:rFonts w:ascii="Times New Roman" w:hAnsi="Times New Roman"/>
          <w:sz w:val="20"/>
        </w:rPr>
        <w:t xml:space="preserve">If any amendment, supplement or waiver changes the terms of a Note,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a new Note that reflects the changed terms. The failure to make any appropriate notation or issue a new Note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8.05</w:t>
      </w:r>
      <w:r>
        <w:rPr>
          <w:rFonts w:ascii="Times New Roman" w:hAnsi="Times New Roman"/>
          <w:sz w:val="20"/>
        </w:rPr>
        <w:t xml:space="preserve"> will not impair or affect the validity of such amendment, supplement or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8.06. TRUSTEE TO EXECUTE SUPPLEMENTAL INDENTURES.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execute and deliver any amendment or supplemental indenture authorized pursuant to this </w:t>
      </w:r>
      <w:r>
        <w:rPr>
          <w:rFonts w:ascii="Times New Roman" w:hAnsi="Times New Roman"/>
          <w:b/>
          <w:sz w:val="20"/>
        </w:rPr>
        <w:t>Article 8</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Trustee need not (but may, in its sole and absolute discretion) execute or deliver any such amendment or supplemental indenture that the Trustee concludes adversely affects the Trustee’s rights, duties, liabilities or immunities. In executing any amendment or supplemental indenture, the Trustee will be entitled to receive, and (subject to </w:t>
      </w:r>
      <w:r>
        <w:rPr>
          <w:rFonts w:ascii="Times New Roman" w:hAnsi="Times New Roman"/>
          <w:b/>
          <w:sz w:val="20"/>
        </w:rPr>
        <w:t>Sections</w:t>
      </w:r>
      <w:r>
        <w:rPr>
          <w:rFonts w:ascii="Times New Roman" w:hAnsi="Times New Roman"/>
          <w:sz w:val="20"/>
        </w:rPr>
        <w:t xml:space="preserve"> </w:t>
      </w:r>
      <w:r>
        <w:rPr>
          <w:rFonts w:ascii="Times New Roman" w:hAnsi="Times New Roman"/>
          <w:b/>
          <w:sz w:val="20"/>
        </w:rPr>
        <w:t>10.01</w:t>
      </w:r>
      <w:r>
        <w:rPr>
          <w:rFonts w:ascii="Times New Roman" w:hAnsi="Times New Roman"/>
          <w:sz w:val="20"/>
        </w:rPr>
        <w:t xml:space="preserve"> and </w:t>
      </w:r>
      <w:r>
        <w:rPr>
          <w:rFonts w:ascii="Times New Roman" w:hAnsi="Times New Roman"/>
          <w:b/>
          <w:sz w:val="20"/>
        </w:rPr>
        <w:t>10.02</w:t>
      </w:r>
      <w:r>
        <w:rPr>
          <w:rFonts w:ascii="Times New Roman" w:hAnsi="Times New Roman"/>
          <w:sz w:val="20"/>
        </w:rPr>
        <w:t xml:space="preserve">) will be fully protected in relying on, an Officer’s Certificate and an Opinion of Counsel stating that (A) the execution and delivery of such amendment or supplemental indenture is authorized or permitted by the Indenture; and (B) in the case of the Opinion of Counsel, such amendment or supplemental indenture is valid, binding and enforceable against the Company in accordance with its terms.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9. SATISFACTION AND DISCHARGE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9.01. TERMINATION OF COMPANY’S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be discharged, and will cease to be of further effect, as to all Notes issued under the Indenture, when: </w:t>
      </w:r>
    </w:p>
    <w:p>
      <w:pPr>
        <w:pStyle w:val="TextBody"/>
        <w:bidi w:val="0"/>
        <w:spacing w:before="120" w:after="0"/>
        <w:jc w:val="left"/>
        <w:rPr>
          <w:rFonts w:ascii="Times New Roman" w:hAnsi="Times New Roman"/>
          <w:sz w:val="20"/>
        </w:rPr>
      </w:pPr>
      <w:r>
        <w:rPr>
          <w:rFonts w:ascii="Times New Roman" w:hAnsi="Times New Roman"/>
          <w:sz w:val="20"/>
        </w:rPr>
        <w:t xml:space="preserve">(A) all Notes then outstanding (other than Notes replaced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have (i) been delivered to the Trustee for cancellation; or (ii) become due and payable (whether on a Redemption Date, a Fundamental Change Repurchase Date, the Maturity Date, upon Conversion or otherwise) for an amount of cash or Conversion Consideration, as applicable, that has been fixed;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or other property due on all Notes then outstanding (other than Notes replaced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paid all other amounts payable by it under the Indenture with respect to the Notes; and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delivered to the Trustee an Officer’s Certificate and an Opinion of Counsel, each stating that the conditions precedent to the discharge of the Indenture with respect to the Notes have been satisfied;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r>
        <w:rPr>
          <w:rFonts w:ascii="Times New Roman" w:hAnsi="Times New Roman"/>
          <w:b/>
          <w:sz w:val="20"/>
        </w:rPr>
        <w:t>Article 10</w:t>
      </w:r>
      <w:r>
        <w:rPr>
          <w:rFonts w:ascii="Times New Roman" w:hAnsi="Times New Roman"/>
          <w:sz w:val="20"/>
        </w:rPr>
        <w:t xml:space="preserve"> and </w:t>
      </w:r>
      <w:r>
        <w:rPr>
          <w:rFonts w:ascii="Times New Roman" w:hAnsi="Times New Roman"/>
          <w:b/>
          <w:sz w:val="20"/>
        </w:rPr>
        <w:t>Section</w:t>
      </w:r>
      <w:r>
        <w:rPr>
          <w:rFonts w:ascii="Times New Roman" w:hAnsi="Times New Roman"/>
          <w:sz w:val="20"/>
        </w:rPr>
        <w:t> </w:t>
      </w:r>
      <w:r>
        <w:rPr>
          <w:rFonts w:ascii="Times New Roman" w:hAnsi="Times New Roman"/>
          <w:b/>
          <w:sz w:val="20"/>
        </w:rPr>
        <w:t>11.01</w:t>
      </w:r>
      <w:r>
        <w:rPr>
          <w:rFonts w:ascii="Times New Roman" w:hAnsi="Times New Roman"/>
          <w:sz w:val="20"/>
        </w:rPr>
        <w:t xml:space="preserve"> will survive such discharge and, until no Notes remain outstanding,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and the obligations of the Trustee, the Paying Agent and the Conversion Agent with respect to money or other property deposited with them will survive such discharge. </w:t>
      </w:r>
    </w:p>
    <w:p>
      <w:pPr>
        <w:pStyle w:val="TextBody"/>
        <w:bidi w:val="0"/>
        <w:spacing w:before="240" w:after="0"/>
        <w:jc w:val="left"/>
        <w:rPr>
          <w:rFonts w:ascii="Times New Roman" w:hAnsi="Times New Roman"/>
          <w:sz w:val="20"/>
        </w:rPr>
      </w:pPr>
      <w:r>
        <w:rPr>
          <w:rFonts w:ascii="Times New Roman" w:hAnsi="Times New Roman"/>
          <w:sz w:val="20"/>
        </w:rPr>
        <w:t xml:space="preserve">At the Company’s request, the Trustee will acknowledge the satisfaction and discharge of the Indenture with respect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9.02. REPAYMENT TO COMPANY.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9.03. REINSTATEMENT.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the Paying Agent or the Conversion Agent is unable to apply any cash or other property deposited with it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9.01</w:t>
      </w:r>
      <w:r>
        <w:rPr>
          <w:rFonts w:ascii="Times New Roman" w:hAnsi="Times New Roman"/>
          <w:sz w:val="20"/>
        </w:rPr>
        <w:t xml:space="preserve"> because of any legal proceeding or any order or judgment of any court or other governmental authority that enjoins, restrains or otherwise prohibits such application, then the discharge of the Indenture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9.01</w:t>
      </w:r>
      <w:r>
        <w:rPr>
          <w:rFonts w:ascii="Times New Roman" w:hAnsi="Times New Roman"/>
          <w:sz w:val="20"/>
        </w:rPr>
        <w:t xml:space="preserve"> will be rescinded;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TRUSTEE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10.01. DUTIES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(A) If an Event of Default has occurred and is continuing, and a Responsible Officer of the Trustee has written notice or actual knowledge of the same, then, without limiting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10.02(F)</w:t>
      </w:r>
      <w:r>
        <w:rPr>
          <w:rFonts w:ascii="Times New Roman" w:hAnsi="Times New Roman"/>
          <w:sz w:val="20"/>
        </w:rPr>
        <w:t xml:space="preserve">, the Trustee will exercise such of the rights and powers vested in it by the Indenture, and use the same degree of care and skill in its exercise, as a prudent person would exercise or use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(B) Except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(i) the duties of the Trustee will be determined solely by the express provisions of the Indenture, and the Trustee need perform only those duties that are specifically set forth in the Indenture and no others, and no implied covenants or obligations will be read into the Indenture against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(ii) in the absence of bad faith or willful misconduct on its part, the Trustee may, without investigation, conclusively rely, as to the truth of the statements and the correctness of the opinions expressed therein, upon Officer’s Certificates or Opinions of Counsel that are provided to the Trustee and conform to the requirements of the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Trustee will examine the certificates and opinions to determine whether or not they conform to the requirements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not be relieved from liabilities for its negligence or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(i) this paragraph will not limit the effect of </w:t>
      </w:r>
      <w:r>
        <w:rPr>
          <w:rFonts w:ascii="Times New Roman" w:hAnsi="Times New Roman"/>
          <w:b/>
          <w:sz w:val="20"/>
        </w:rPr>
        <w:t>Section</w:t>
      </w:r>
      <w:r>
        <w:rPr>
          <w:rFonts w:ascii="Times New Roman" w:hAnsi="Times New Roman"/>
          <w:sz w:val="20"/>
        </w:rPr>
        <w:t> </w:t>
      </w:r>
      <w:r>
        <w:rPr>
          <w:rFonts w:ascii="Times New Roman" w:hAnsi="Times New Roman"/>
          <w:b/>
          <w:sz w:val="20"/>
        </w:rPr>
        <w:t>10.01(B)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Trustee will not be liable for any error of judgment made in good faith by a Responsible Officer, unless it is proved that the Trustee was negligent in ascertaining the pertinent facts; and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will not be liable with respect to any action it takes or omits to take in good faith in accordance with a direction received by it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 provision of the Indenture will require the Trustee to expend or risk its own funds or incur any liability. </w:t>
      </w:r>
    </w:p>
    <w:p>
      <w:pPr>
        <w:pStyle w:val="TextBody"/>
        <w:bidi w:val="0"/>
        <w:spacing w:before="240" w:after="0"/>
        <w:jc w:val="left"/>
        <w:rPr>
          <w:rFonts w:ascii="Times New Roman" w:hAnsi="Times New Roman"/>
          <w:sz w:val="20"/>
        </w:rPr>
      </w:pPr>
      <w:r>
        <w:rPr>
          <w:rFonts w:ascii="Times New Roman" w:hAnsi="Times New Roman"/>
          <w:sz w:val="20"/>
        </w:rPr>
        <w:t xml:space="preserve">(E) The Trustee will not be liable for interest on any money received by it, except as the Trustee may agree in writing with the Company. Money held in trust by the Trustee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(F) The Trustee will not be liable in its individual capacity for the obligations evidenced by the Notes. </w:t>
      </w:r>
    </w:p>
    <w:p>
      <w:pPr>
        <w:pStyle w:val="TextBody"/>
        <w:bidi w:val="0"/>
        <w:spacing w:before="240" w:after="0"/>
        <w:jc w:val="left"/>
        <w:rPr>
          <w:rFonts w:ascii="Times New Roman" w:hAnsi="Times New Roman"/>
          <w:sz w:val="20"/>
        </w:rPr>
      </w:pPr>
      <w:r>
        <w:rPr>
          <w:rFonts w:ascii="Times New Roman" w:hAnsi="Times New Roman"/>
          <w:sz w:val="20"/>
        </w:rPr>
        <w:t xml:space="preserve">(G) Each provision of the Indenture that in any way relates to the Trustee (including any provision that affects the liability of, or affords protection to, the Trustee) is subject to this </w:t>
      </w:r>
      <w:r>
        <w:rPr>
          <w:rFonts w:ascii="Times New Roman" w:hAnsi="Times New Roman"/>
          <w:b/>
          <w:sz w:val="20"/>
        </w:rPr>
        <w:t>Section</w:t>
      </w:r>
      <w:r>
        <w:rPr>
          <w:rFonts w:ascii="Times New Roman" w:hAnsi="Times New Roman"/>
          <w:sz w:val="20"/>
        </w:rPr>
        <w:t> </w:t>
      </w:r>
      <w:r>
        <w:rPr>
          <w:rFonts w:ascii="Times New Roman" w:hAnsi="Times New Roman"/>
          <w:b/>
          <w:sz w:val="20"/>
        </w:rPr>
        <w:t>10.01</w:t>
      </w:r>
      <w:r>
        <w:rPr>
          <w:rFonts w:ascii="Times New Roman" w:hAnsi="Times New Roman"/>
          <w:sz w:val="20"/>
        </w:rPr>
        <w:t xml:space="preserve">, regardless of whether such provision so expressly provides.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10.02. RIGHTS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conclusively rely on any document that it believes to be genuine and signed or presented by the proper Person, and the Trustee need not investigate any fact or matter stated in such document. </w:t>
      </w:r>
    </w:p>
    <w:p>
      <w:pPr>
        <w:pStyle w:val="TextBody"/>
        <w:bidi w:val="0"/>
        <w:spacing w:before="240" w:after="0"/>
        <w:jc w:val="left"/>
        <w:rPr>
          <w:rFonts w:ascii="Times New Roman" w:hAnsi="Times New Roman"/>
          <w:sz w:val="20"/>
        </w:rPr>
      </w:pPr>
      <w:r>
        <w:rPr>
          <w:rFonts w:ascii="Times New Roman" w:hAnsi="Times New Roman"/>
          <w:sz w:val="20"/>
        </w:rPr>
        <w:t xml:space="preserve">(B) Before the Trustee acts or refrains from acting, it may require an Officer’s Certificate,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constitute full and complete authorization of the Trustee to take or omit to take any action in good faith in reliance thereon without liability.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act through its attorneys and agents and will not be responsible for the misconduct or negligence of any such agent appointed with due care. </w:t>
      </w:r>
    </w:p>
    <w:p>
      <w:pPr>
        <w:pStyle w:val="TextBody"/>
        <w:bidi w:val="0"/>
        <w:spacing w:before="240" w:after="0"/>
        <w:jc w:val="left"/>
        <w:rPr>
          <w:rFonts w:ascii="Times New Roman" w:hAnsi="Times New Roman"/>
          <w:sz w:val="20"/>
        </w:rPr>
      </w:pPr>
      <w:r>
        <w:rPr>
          <w:rFonts w:ascii="Times New Roman" w:hAnsi="Times New Roman"/>
          <w:sz w:val="20"/>
        </w:rPr>
        <w:t xml:space="preserve">(D) The Trustee will not be liable for any action it takes or omits to take in good faith and that it believes to be authorized or within the rights or powers vested in it by the Indenture. </w:t>
      </w:r>
    </w:p>
    <w:p>
      <w:pPr>
        <w:pStyle w:val="TextBody"/>
        <w:bidi w:val="0"/>
        <w:spacing w:before="240" w:after="0"/>
        <w:jc w:val="left"/>
        <w:rPr>
          <w:rFonts w:ascii="Times New Roman" w:hAnsi="Times New Roman"/>
          <w:sz w:val="20"/>
        </w:rPr>
      </w:pPr>
      <w:r>
        <w:rPr>
          <w:rFonts w:ascii="Times New Roman" w:hAnsi="Times New Roman"/>
          <w:sz w:val="20"/>
        </w:rPr>
        <w:t xml:space="preserve">(E) Unless otherwise specifically provided in the Indenture, any demand, request, direction or notice from the Company will be sufficient if signed by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 The Trustee need not exercise any rights or powers vested in it by the Indenture at the request or direction of any Holder unless such Holder has offered (and, if requested, provided) the Trustee security or indemnity satisfactory to the Trustee against any loss, liability or expense that it may incur in complying with such request or direction.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Trustee will not be responsible or liable for any punitive, special, indirect or consequential loss or damage (including lost profits), even if the Trustee has been advised of the likelihood of such loss or damage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(H) The permissive rights of the Trustee set forth in the Indenture will not be construed as duties imposed on the Trustee. </w:t>
      </w:r>
    </w:p>
    <w:p>
      <w:pPr>
        <w:pStyle w:val="TextBody"/>
        <w:bidi w:val="0"/>
        <w:spacing w:before="240" w:after="0"/>
        <w:jc w:val="left"/>
        <w:rPr>
          <w:rFonts w:ascii="Times New Roman" w:hAnsi="Times New Roman"/>
          <w:sz w:val="20"/>
        </w:rPr>
      </w:pPr>
      <w:r>
        <w:rPr>
          <w:rFonts w:ascii="Times New Roman" w:hAnsi="Times New Roman"/>
          <w:sz w:val="20"/>
        </w:rPr>
        <w:t xml:space="preserve">(I) The Trustee will not be required to give any bond or surety in respect of the execution or performance of the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(J) Unless a Responsible Officer of the Trustee has received notice from the Company that Special Interest is owing or accruing, on the Notes, the Trustee may assume that no Special Interest is payable or accruing. </w:t>
      </w:r>
    </w:p>
    <w:p>
      <w:pPr>
        <w:pStyle w:val="TextBody"/>
        <w:bidi w:val="0"/>
        <w:spacing w:before="240" w:after="0"/>
        <w:jc w:val="left"/>
        <w:rPr>
          <w:rFonts w:ascii="Times New Roman" w:hAnsi="Times New Roman"/>
          <w:sz w:val="20"/>
        </w:rPr>
      </w:pPr>
      <w:r>
        <w:rPr>
          <w:rFonts w:ascii="Times New Roman" w:hAnsi="Times New Roman"/>
          <w:sz w:val="20"/>
        </w:rPr>
        <w:t xml:space="preserve">(K) The rights, privileges, protections, immunities and benefits given to the Trustee, including its right to be indemnified, are extended to, and will be enforceable by, the Trustee in each of its capacities under the Indenture, including as Note Agent. </w:t>
      </w:r>
    </w:p>
    <w:p>
      <w:pPr>
        <w:pStyle w:val="TextBody"/>
        <w:bidi w:val="0"/>
        <w:spacing w:before="240" w:after="0"/>
        <w:jc w:val="left"/>
        <w:rPr>
          <w:rFonts w:ascii="Times New Roman" w:hAnsi="Times New Roman"/>
          <w:sz w:val="20"/>
        </w:rPr>
      </w:pPr>
      <w:r>
        <w:rPr>
          <w:rFonts w:ascii="Times New Roman" w:hAnsi="Times New Roman"/>
          <w:sz w:val="20"/>
        </w:rPr>
        <w:t xml:space="preserve">(L) The Trustee will not be charged with knowledge of any document or agreement other than the Indenture and the Notes. </w:t>
      </w:r>
    </w:p>
    <w:p>
      <w:pPr>
        <w:pStyle w:val="TextBody"/>
        <w:bidi w:val="0"/>
        <w:spacing w:before="240" w:after="0"/>
        <w:jc w:val="left"/>
        <w:rPr>
          <w:rFonts w:ascii="Times New Roman" w:hAnsi="Times New Roman"/>
          <w:sz w:val="20"/>
        </w:rPr>
      </w:pPr>
      <w:r>
        <w:rPr>
          <w:rFonts w:ascii="Times New Roman" w:hAnsi="Times New Roman"/>
          <w:sz w:val="20"/>
        </w:rPr>
        <w:t xml:space="preserve">(M) Neither the Trustee nor any Note Agent will have any responsibility or liability to any person for any action taken or not taken by, or any records or any other aspect of the operations of, the Depositary (including the delivery of notices, or the making of payments, through the facilities of the Depositary) and may conclusively rely, without investigation, on any information provided by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10.03. INDIVIDUAL RIGHTS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in its individual or any other capacity, may become the owner or pledgee of any Note and may otherwise deal with the Company or any of its Affiliates with the same rights that it would have if it were not Trustee;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Trustee acquires a “conflicting interest” (within the meaning of Section 310(b) of the Trust Indenture Act), then it must eliminate such conflict within ninety (90) days or resign as Trustee. Each Note Agent will have the same rights and duties as the Trustee under this </w:t>
      </w:r>
      <w:r>
        <w:rPr>
          <w:rFonts w:ascii="Times New Roman" w:hAnsi="Times New Roman"/>
          <w:b/>
          <w:sz w:val="20"/>
        </w:rPr>
        <w:t>Section</w:t>
      </w:r>
      <w:r>
        <w:rPr>
          <w:rFonts w:ascii="Times New Roman" w:hAnsi="Times New Roman"/>
          <w:sz w:val="20"/>
        </w:rPr>
        <w:t> </w:t>
      </w:r>
      <w:r>
        <w:rPr>
          <w:rFonts w:ascii="Times New Roman" w:hAnsi="Times New Roman"/>
          <w:b/>
          <w:sz w:val="20"/>
        </w:rPr>
        <w:t>10.03</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10.04. TRUSTEE’S DISCLAIMER.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not be (A) responsible for, and makes no representation as to, the validity or adequacy of the Indenture or the Notes; (B) accountable for the Company’s use of the proceeds from the Notes or any money paid to the Company or upon the Company’s direction under any provision of the Indenture; (C) responsible for the use or application of any money received by any Paying Agent other than the Trustee; and (D) responsible for any statement or recital in the Indenture, the Notes or any other document relating to the sale of the Notes or the Indenture, other than the Trustee’s certificate of authentication.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10.05. NOTICE OF DEFAULTS. </w:t>
      </w:r>
    </w:p>
    <w:p>
      <w:pPr>
        <w:pStyle w:val="TextBody"/>
        <w:bidi w:val="0"/>
        <w:spacing w:before="120" w:after="0"/>
        <w:jc w:val="left"/>
        <w:rPr>
          <w:rFonts w:ascii="Times New Roman" w:hAnsi="Times New Roman"/>
          <w:sz w:val="20"/>
        </w:rPr>
      </w:pPr>
      <w:r>
        <w:rPr>
          <w:rFonts w:ascii="Times New Roman" w:hAnsi="Times New Roman"/>
          <w:sz w:val="20"/>
        </w:rPr>
        <w:t xml:space="preserve">If a Default occurs and is continuing and is actually known to a Responsible Officer of the Trustee, then the Trustee will send Holders a notice of such Default within ninety (90) days after it occurs or, if it is not actually known to a Responsible Officer of the Trustee at such time, promptly (and in any event within twenty (20) Business Days) after it becomes actually known to a Responsible Officer of the Trustee;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in the case of a Default in the payment of the principal of, or interest on, any Note, the Trustee may withhold such notice if and for so long as it in good faith determines that withholding such notice is in the interests of the Holders. For the avoidance of doubt, the Trustee will not be required to deliver such notice at any time after such Default is cured or waived. The Trustee will not be deemed to have notice or be charged with knowledge of any Default or Event of Default unless (A) written notice thereof has been received by a Responsible Officer; and (B) such notice references the Notes and the Indenture and states on its face that a Default or Event of Default, as applicable, has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10.06. COMPENSATION AND INDEMNITY. </w:t>
      </w:r>
    </w:p>
    <w:p>
      <w:pPr>
        <w:pStyle w:val="TextBody"/>
        <w:bidi w:val="0"/>
        <w:spacing w:before="120" w:after="0"/>
        <w:jc w:val="left"/>
        <w:rPr>
          <w:rFonts w:ascii="Times New Roman" w:hAnsi="Times New Roman"/>
          <w:sz w:val="20"/>
        </w:rPr>
      </w:pPr>
      <w:r>
        <w:rPr>
          <w:rFonts w:ascii="Times New Roman" w:hAnsi="Times New Roman"/>
          <w:sz w:val="20"/>
        </w:rPr>
        <w:t xml:space="preserve">(A) The Company will, from time to time, pay the Trustee (in each of its capacities under the Indenture) and its directors, officers, employees and agents, in their capacity as such, reasonable compensation for its acceptance of the Indenture and services under the Indenture as separately agreed to by the Company and the Trustee.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the Indenture, including the reasonable compensation, disbursements and expenses of the Trustee’s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(B) The Company will indemnify the Trustee (in each of its capacities under the Indenture) and its directors, officers, employees and agents, in their capacities as such, against any and all losses, liabilities or expenses incurred by it arising out of or in connection with the acceptance or administration of its duties under the Indenture, including the costs and expenses of enforcing the Indenture against the Company (including this </w:t>
      </w:r>
      <w:r>
        <w:rPr>
          <w:rFonts w:ascii="Times New Roman" w:hAnsi="Times New Roman"/>
          <w:b/>
          <w:sz w:val="20"/>
        </w:rPr>
        <w:t>Section</w:t>
      </w:r>
      <w:r>
        <w:rPr>
          <w:rFonts w:ascii="Times New Roman" w:hAnsi="Times New Roman"/>
          <w:sz w:val="20"/>
        </w:rPr>
        <w:t> </w:t>
      </w:r>
      <w:r>
        <w:rPr>
          <w:rFonts w:ascii="Times New Roman" w:hAnsi="Times New Roman"/>
          <w:b/>
          <w:sz w:val="20"/>
        </w:rPr>
        <w:t>10.06</w:t>
      </w:r>
      <w:r>
        <w:rPr>
          <w:rFonts w:ascii="Times New Roman" w:hAnsi="Times New Roman"/>
          <w:sz w:val="20"/>
        </w:rPr>
        <w:t xml:space="preserve">) and defending itself against any claim (whether asserted by the Company, any Holder or any other Person) or liability in connection with the exercise or performance of any of its powers or duties under the Indenture, except to the extent any such loss, liability or expense is attributable (as determined by a final decision of a court of competent jurisdiction) to its negligence or willful misconduct. The Trustee will promptly notify the Company of any claim for which it may seek indemnity, but the Trustee’s failure to so notify the Company will not relieve the Company of its obligations under this </w:t>
      </w:r>
      <w:r>
        <w:rPr>
          <w:rFonts w:ascii="Times New Roman" w:hAnsi="Times New Roman"/>
          <w:b/>
          <w:sz w:val="20"/>
        </w:rPr>
        <w:t>Section</w:t>
      </w:r>
      <w:r>
        <w:rPr>
          <w:rFonts w:ascii="Times New Roman" w:hAnsi="Times New Roman"/>
          <w:sz w:val="20"/>
        </w:rPr>
        <w:t> </w:t>
      </w:r>
      <w:r>
        <w:rPr>
          <w:rFonts w:ascii="Times New Roman" w:hAnsi="Times New Roman"/>
          <w:b/>
          <w:sz w:val="20"/>
        </w:rPr>
        <w:t>10.06(B)</w:t>
      </w:r>
      <w:r>
        <w:rPr>
          <w:rFonts w:ascii="Times New Roman" w:hAnsi="Times New Roman"/>
          <w:sz w:val="20"/>
        </w:rPr>
        <w:t xml:space="preserve">, except to the extent the Company is materially prejudiced by such failure. The Company will defend such claim, and the Trustee will cooperate in such defense.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 </w:t>
      </w:r>
    </w:p>
    <w:p>
      <w:pPr>
        <w:pStyle w:val="TextBody"/>
        <w:bidi w:val="0"/>
        <w:spacing w:before="240" w:after="0"/>
        <w:jc w:val="left"/>
        <w:rPr>
          <w:rFonts w:ascii="Times New Roman" w:hAnsi="Times New Roman"/>
          <w:sz w:val="20"/>
        </w:rPr>
      </w:pPr>
      <w:r>
        <w:rPr>
          <w:rFonts w:ascii="Times New Roman" w:hAnsi="Times New Roman"/>
          <w:sz w:val="20"/>
        </w:rPr>
        <w:t xml:space="preserve">(C) The obligations of the Company under this </w:t>
      </w:r>
      <w:r>
        <w:rPr>
          <w:rFonts w:ascii="Times New Roman" w:hAnsi="Times New Roman"/>
          <w:b/>
          <w:sz w:val="20"/>
        </w:rPr>
        <w:t>Section</w:t>
      </w:r>
      <w:r>
        <w:rPr>
          <w:rFonts w:ascii="Times New Roman" w:hAnsi="Times New Roman"/>
          <w:sz w:val="20"/>
        </w:rPr>
        <w:t> </w:t>
      </w:r>
      <w:r>
        <w:rPr>
          <w:rFonts w:ascii="Times New Roman" w:hAnsi="Times New Roman"/>
          <w:b/>
          <w:sz w:val="20"/>
        </w:rPr>
        <w:t>10.06</w:t>
      </w:r>
      <w:r>
        <w:rPr>
          <w:rFonts w:ascii="Times New Roman" w:hAnsi="Times New Roman"/>
          <w:sz w:val="20"/>
        </w:rPr>
        <w:t xml:space="preserve"> will survive the resignation or removal of the Trustee and the discharge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secure the Company’s payment obligations in this </w:t>
      </w:r>
      <w:r>
        <w:rPr>
          <w:rFonts w:ascii="Times New Roman" w:hAnsi="Times New Roman"/>
          <w:b/>
          <w:sz w:val="20"/>
        </w:rPr>
        <w:t>Section</w:t>
      </w:r>
      <w:r>
        <w:rPr>
          <w:rFonts w:ascii="Times New Roman" w:hAnsi="Times New Roman"/>
          <w:sz w:val="20"/>
        </w:rPr>
        <w:t> </w:t>
      </w:r>
      <w:r>
        <w:rPr>
          <w:rFonts w:ascii="Times New Roman" w:hAnsi="Times New Roman"/>
          <w:b/>
          <w:sz w:val="20"/>
        </w:rPr>
        <w:t>10.06</w:t>
      </w:r>
      <w:r>
        <w:rPr>
          <w:rFonts w:ascii="Times New Roman" w:hAnsi="Times New Roman"/>
          <w:sz w:val="20"/>
        </w:rPr>
        <w:t xml:space="preserve">, the Trustee will have a lien prior to the Notes on all money or property held or collected by the Trustee, except that held in trust to pay principal of, or interest on, particular Notes, which lien will survive the discharge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(E) If the Trustee incurs expenses or renders services after an Event of Default pursuant to </w:t>
      </w:r>
      <w:r>
        <w:rPr>
          <w:rFonts w:ascii="Times New Roman" w:hAnsi="Times New Roman"/>
          <w:b/>
          <w:sz w:val="20"/>
        </w:rPr>
        <w:t>clause</w:t>
      </w:r>
      <w:r>
        <w:rPr>
          <w:rFonts w:ascii="Times New Roman" w:hAnsi="Times New Roman"/>
          <w:sz w:val="20"/>
        </w:rPr>
        <w:t xml:space="preserve"> </w:t>
      </w:r>
      <w:r>
        <w:rPr>
          <w:rFonts w:ascii="Times New Roman" w:hAnsi="Times New Roman"/>
          <w:b/>
          <w:sz w:val="20"/>
        </w:rPr>
        <w:t>(viii)</w:t>
      </w:r>
      <w:r>
        <w:rPr>
          <w:rFonts w:ascii="Times New Roman" w:hAnsi="Times New Roman"/>
          <w:sz w:val="20"/>
        </w:rPr>
        <w:t xml:space="preserve"> or </w:t>
      </w:r>
      <w:r>
        <w:rPr>
          <w:rFonts w:ascii="Times New Roman" w:hAnsi="Times New Roman"/>
          <w:b/>
          <w:sz w:val="20"/>
        </w:rPr>
        <w:t>(ix)</w:t>
      </w:r>
      <w:r>
        <w:rPr>
          <w:rFonts w:ascii="Times New Roman" w:hAnsi="Times New Roman"/>
          <w:sz w:val="20"/>
        </w:rPr>
        <w:t xml:space="preserve"> of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occurs, then such expenses and the compensation for such services (including the fees and expenses of its agents and counsel) are intended to constitute expenses of administration under any Bankruptcy Law.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10.07. REPLACEMENT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10.07</w:t>
      </w:r>
      <w:r>
        <w:rPr>
          <w:rFonts w:ascii="Times New Roman" w:hAnsi="Times New Roman"/>
          <w:sz w:val="20"/>
        </w:rPr>
        <w:t xml:space="preserve">, a resignation or removal of the Trustee, and the appointment of a successor Trustee, will become effective only upon such successor Trustee’s acceptance of appointment as provided in this </w:t>
      </w:r>
      <w:r>
        <w:rPr>
          <w:rFonts w:ascii="Times New Roman" w:hAnsi="Times New Roman"/>
          <w:b/>
          <w:sz w:val="20"/>
        </w:rPr>
        <w:t>Section</w:t>
      </w:r>
      <w:r>
        <w:rPr>
          <w:rFonts w:ascii="Times New Roman" w:hAnsi="Times New Roman"/>
          <w:sz w:val="20"/>
        </w:rPr>
        <w:t> </w:t>
      </w:r>
      <w:r>
        <w:rPr>
          <w:rFonts w:ascii="Times New Roman" w:hAnsi="Times New Roman"/>
          <w:b/>
          <w:sz w:val="20"/>
        </w:rPr>
        <w:t>10.07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Trustee may resign at any time and be discharged from the trust created by the Indenture by so notifying the Company. The Holders of a majority in aggregate principal amount of the Notes then outstanding may remove the Trustee by so notifying the Trustee and the Company in writing. The Company may remove the Trustee if: </w:t>
      </w:r>
    </w:p>
    <w:p>
      <w:pPr>
        <w:pStyle w:val="TextBody"/>
        <w:bidi w:val="0"/>
        <w:spacing w:before="120" w:after="0"/>
        <w:jc w:val="left"/>
        <w:rPr>
          <w:rFonts w:ascii="Times New Roman" w:hAnsi="Times New Roman"/>
          <w:sz w:val="20"/>
        </w:rPr>
      </w:pPr>
      <w:r>
        <w:rPr>
          <w:rFonts w:ascii="Times New Roman" w:hAnsi="Times New Roman"/>
          <w:sz w:val="20"/>
        </w:rPr>
        <w:t xml:space="preserve">(i) the Trustee fails to comply with </w:t>
      </w:r>
      <w:r>
        <w:rPr>
          <w:rFonts w:ascii="Times New Roman" w:hAnsi="Times New Roman"/>
          <w:b/>
          <w:sz w:val="20"/>
        </w:rPr>
        <w:t>Section</w:t>
      </w:r>
      <w:r>
        <w:rPr>
          <w:rFonts w:ascii="Times New Roman" w:hAnsi="Times New Roman"/>
          <w:sz w:val="20"/>
        </w:rPr>
        <w:t> </w:t>
      </w:r>
      <w:r>
        <w:rPr>
          <w:rFonts w:ascii="Times New Roman" w:hAnsi="Times New Roman"/>
          <w:b/>
          <w:sz w:val="20"/>
        </w:rPr>
        <w:t>10.09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is adjudged to be bankrupt or insolvent or an order for relief is entered with respect to the Trustee under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(iii) a custodian or public officer takes charge of the Trustee or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(iv) the Trustee becomes incapable of acting. </w:t>
      </w:r>
    </w:p>
    <w:p>
      <w:pPr>
        <w:pStyle w:val="TextBody"/>
        <w:bidi w:val="0"/>
        <w:spacing w:before="240" w:after="0"/>
        <w:jc w:val="left"/>
        <w:rPr>
          <w:rFonts w:ascii="Times New Roman" w:hAnsi="Times New Roman"/>
          <w:sz w:val="20"/>
        </w:rPr>
      </w:pPr>
      <w:r>
        <w:rPr>
          <w:rFonts w:ascii="Times New Roman" w:hAnsi="Times New Roman"/>
          <w:sz w:val="20"/>
        </w:rPr>
        <w:t xml:space="preserve">(C) If the Trustee resigns or is removed, or if a vacancy exists in the office of the Trustee for any reason, then (i) the Company will promptly appoint a successor Trustee; and (ii) at any time within one (1) year after the successor Trustee takes office, the Holders of a majority in aggregate principal amount of the Notes then outstanding may appoint a successor Trustee to replace such successor Trustee appointed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If a successor Trustee does not take office within sixty (60)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(E) If the Trustee, after written request by a Holder of at least six (6) months, fails to comply with </w:t>
      </w:r>
      <w:r>
        <w:rPr>
          <w:rFonts w:ascii="Times New Roman" w:hAnsi="Times New Roman"/>
          <w:b/>
          <w:sz w:val="20"/>
        </w:rPr>
        <w:t>Section</w:t>
      </w:r>
      <w:r>
        <w:rPr>
          <w:rFonts w:ascii="Times New Roman" w:hAnsi="Times New Roman"/>
          <w:sz w:val="20"/>
        </w:rPr>
        <w:t> </w:t>
      </w:r>
      <w:r>
        <w:rPr>
          <w:rFonts w:ascii="Times New Roman" w:hAnsi="Times New Roman"/>
          <w:b/>
          <w:sz w:val="20"/>
        </w:rPr>
        <w:t>10.09</w:t>
      </w:r>
      <w:r>
        <w:rPr>
          <w:rFonts w:ascii="Times New Roman" w:hAnsi="Times New Roman"/>
          <w:sz w:val="20"/>
        </w:rPr>
        <w:t xml:space="preserve">, then such Holder may petition any court of competent jurisdiction for the removal of the Trustee and the appointment of a successor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the Indenture. The successor Trustee will send notice of its succession to Holders. The retiring Trustee will, upon payment of all amounts due to it under the Indenture, promptly transfer all property held by it as Trustee to the successor Trustee, which property will, for the avoidance of doubt, be subject to the lien provided for in </w:t>
      </w:r>
      <w:r>
        <w:rPr>
          <w:rFonts w:ascii="Times New Roman" w:hAnsi="Times New Roman"/>
          <w:b/>
          <w:sz w:val="20"/>
        </w:rPr>
        <w:t>Section</w:t>
      </w:r>
      <w:r>
        <w:rPr>
          <w:rFonts w:ascii="Times New Roman" w:hAnsi="Times New Roman"/>
          <w:sz w:val="20"/>
        </w:rPr>
        <w:t> </w:t>
      </w:r>
      <w:r>
        <w:rPr>
          <w:rFonts w:ascii="Times New Roman" w:hAnsi="Times New Roman"/>
          <w:b/>
          <w:sz w:val="20"/>
        </w:rPr>
        <w:t>10.06(D)</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10.08. SUCCESSOR TRUSTEE BY MERGER, ETC. </w:t>
      </w:r>
    </w:p>
    <w:p>
      <w:pPr>
        <w:pStyle w:val="TextBody"/>
        <w:bidi w:val="0"/>
        <w:spacing w:before="120" w:after="0"/>
        <w:jc w:val="left"/>
        <w:rPr>
          <w:rFonts w:ascii="Times New Roman" w:hAnsi="Times New Roman"/>
          <w:sz w:val="20"/>
        </w:rPr>
      </w:pPr>
      <w:r>
        <w:rPr>
          <w:rFonts w:ascii="Times New Roman" w:hAnsi="Times New Roman"/>
          <w:sz w:val="20"/>
        </w:rPr>
        <w:t xml:space="preserve">Any entity into which the Trustee may be merged or converted or with which it may be consolidated, or any entity resulting from any merger, conversion or consolidation to which the Trustee is a party, or any entity succeeding to all or substantially all of the corporate trust business of the Trustee, will (without the execution or filing of any paper or any further act on the part of any of the parties to the Indenture) be the successor of the Trustee under the Indenture, </w:t>
      </w:r>
      <w:r>
        <w:rPr>
          <w:rFonts w:ascii="Times New Roman" w:hAnsi="Times New Roman"/>
          <w:i/>
          <w:sz w:val="20"/>
        </w:rPr>
        <w:t>provided</w:t>
      </w:r>
      <w:r>
        <w:rPr>
          <w:rFonts w:ascii="Times New Roman" w:hAnsi="Times New Roman"/>
          <w:sz w:val="20"/>
        </w:rPr>
        <w:t xml:space="preserve"> that such entity is otherwise qualified and eligible to act as such under this </w:t>
      </w:r>
      <w:r>
        <w:rPr>
          <w:rFonts w:ascii="Times New Roman" w:hAnsi="Times New Roman"/>
          <w:b/>
          <w:sz w:val="20"/>
        </w:rPr>
        <w:t>Article 10</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10.09. ELIGIBILITY; DISQUALIFICATION. </w:t>
      </w:r>
    </w:p>
    <w:p>
      <w:pPr>
        <w:pStyle w:val="TextBody"/>
        <w:bidi w:val="0"/>
        <w:spacing w:before="120" w:after="0"/>
        <w:jc w:val="left"/>
        <w:rPr>
          <w:rFonts w:ascii="Times New Roman" w:hAnsi="Times New Roman"/>
          <w:sz w:val="20"/>
        </w:rPr>
      </w:pPr>
      <w:r>
        <w:rPr>
          <w:rFonts w:ascii="Times New Roman" w:hAnsi="Times New Roman"/>
          <w:sz w:val="20"/>
        </w:rPr>
        <w:t xml:space="preserve">There will at all times be a Trustee under the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11. MISCELLANEOUS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11.01. NOTICES. </w:t>
      </w:r>
    </w:p>
    <w:p>
      <w:pPr>
        <w:pStyle w:val="TextBody"/>
        <w:bidi w:val="0"/>
        <w:spacing w:before="120" w:after="0"/>
        <w:jc w:val="left"/>
        <w:rPr>
          <w:rFonts w:ascii="Times New Roman" w:hAnsi="Times New Roman"/>
          <w:sz w:val="20"/>
        </w:rPr>
      </w:pPr>
      <w:r>
        <w:rPr>
          <w:rFonts w:ascii="Times New Roman" w:hAnsi="Times New Roman"/>
          <w:sz w:val="20"/>
        </w:rPr>
        <w:t xml:space="preserve">Any notice or communication by the Company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Vaxcyte, Inc. </w:t>
      </w:r>
    </w:p>
    <w:p>
      <w:pPr>
        <w:pStyle w:val="TextBody"/>
        <w:bidi w:val="0"/>
        <w:spacing w:before="0" w:after="0"/>
        <w:jc w:val="left"/>
        <w:rPr>
          <w:rFonts w:ascii="Times New Roman" w:hAnsi="Times New Roman"/>
          <w:sz w:val="20"/>
        </w:rPr>
      </w:pPr>
      <w:r>
        <w:rPr>
          <w:rFonts w:ascii="Times New Roman" w:hAnsi="Times New Roman"/>
          <w:sz w:val="20"/>
        </w:rPr>
        <w:t xml:space="preserve">825 Industrial Road, Suite 300 </w:t>
      </w:r>
    </w:p>
    <w:p>
      <w:pPr>
        <w:pStyle w:val="TextBody"/>
        <w:bidi w:val="0"/>
        <w:spacing w:before="0" w:after="0"/>
        <w:jc w:val="left"/>
        <w:rPr>
          <w:rFonts w:ascii="Times New Roman" w:hAnsi="Times New Roman"/>
          <w:sz w:val="20"/>
        </w:rPr>
      </w:pPr>
      <w:r>
        <w:rPr>
          <w:rFonts w:ascii="Times New Roman" w:hAnsi="Times New Roman"/>
          <w:sz w:val="20"/>
        </w:rPr>
        <w:t xml:space="preserve">San Carlos, California 94070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Skadden, Arps, Slate, Meagher &amp; Flom LLP </w:t>
      </w:r>
    </w:p>
    <w:p>
      <w:pPr>
        <w:pStyle w:val="TextBody"/>
        <w:bidi w:val="0"/>
        <w:spacing w:before="0" w:after="0"/>
        <w:jc w:val="left"/>
        <w:rPr>
          <w:rFonts w:ascii="Times New Roman" w:hAnsi="Times New Roman"/>
          <w:sz w:val="20"/>
        </w:rPr>
      </w:pPr>
      <w:r>
        <w:rPr>
          <w:rFonts w:ascii="Times New Roman" w:hAnsi="Times New Roman"/>
          <w:sz w:val="20"/>
        </w:rPr>
        <w:t xml:space="preserve">One Manhattan West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10001 </w:t>
      </w:r>
    </w:p>
    <w:p>
      <w:pPr>
        <w:pStyle w:val="TextBody"/>
        <w:bidi w:val="0"/>
        <w:spacing w:before="0" w:after="0"/>
        <w:jc w:val="left"/>
        <w:rPr>
          <w:rFonts w:ascii="Times New Roman" w:hAnsi="Times New Roman"/>
          <w:sz w:val="20"/>
        </w:rPr>
      </w:pPr>
      <w:r>
        <w:rPr>
          <w:rFonts w:ascii="Times New Roman" w:hAnsi="Times New Roman"/>
          <w:sz w:val="20"/>
        </w:rPr>
        <w:t xml:space="preserve">Facsimile: (212) 735-2000 </w:t>
      </w:r>
    </w:p>
    <w:p>
      <w:pPr>
        <w:pStyle w:val="TextBody"/>
        <w:bidi w:val="0"/>
        <w:spacing w:before="0" w:after="0"/>
        <w:jc w:val="left"/>
        <w:rPr>
          <w:rFonts w:ascii="Times New Roman" w:hAnsi="Times New Roman"/>
          <w:sz w:val="20"/>
        </w:rPr>
      </w:pPr>
      <w:r>
        <w:rPr>
          <w:rFonts w:ascii="Times New Roman" w:hAnsi="Times New Roman"/>
          <w:sz w:val="20"/>
        </w:rPr>
        <w:t xml:space="preserve">Attention: Michael J. Hong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1 California Street, Suite 2600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94111 </w:t>
      </w:r>
    </w:p>
    <w:p>
      <w:pPr>
        <w:pStyle w:val="TextBody"/>
        <w:bidi w:val="0"/>
        <w:spacing w:before="0" w:after="0"/>
        <w:jc w:val="left"/>
        <w:rPr>
          <w:rFonts w:ascii="Times New Roman" w:hAnsi="Times New Roman"/>
          <w:sz w:val="20"/>
        </w:rPr>
      </w:pPr>
      <w:r>
        <w:rPr>
          <w:rFonts w:ascii="Times New Roman" w:hAnsi="Times New Roman"/>
          <w:sz w:val="20"/>
        </w:rPr>
        <w:t xml:space="preserve">Attention: David A. Jason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preceding paragraph, notices to the Trustee or any Note Agent must be in writing and will be deemed to have been given upon actual receipt by the Trustee or such Note Agent,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the Trustee, by notice to the other, may designate additional or different addresses (including facsimile numbers and electronic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will be deemed original signatures for all purposes. Any person that uses electronic signatures or electronic methods to send communications to the Trustee assumes all risks arising out of such use, including the risk of the Trustee acting on an unauthorized communication and the risk of interception or misuse by third parties. Notwithstanding anything to the contrary in this paragraph, the Trustee may, in any instance and in its sole discretion, require that an original document bearing a manual signature be delivered to the Trustee in lieu of, or in addition to, any such electronic communication. </w:t>
      </w:r>
    </w:p>
    <w:p>
      <w:pPr>
        <w:pStyle w:val="TextBody"/>
        <w:bidi w:val="0"/>
        <w:spacing w:before="240" w:after="0"/>
        <w:jc w:val="left"/>
        <w:rPr>
          <w:rFonts w:ascii="Times New Roman" w:hAnsi="Times New Roman"/>
          <w:sz w:val="20"/>
        </w:rPr>
      </w:pPr>
      <w:r>
        <w:rPr>
          <w:rFonts w:ascii="Times New Roman" w:hAnsi="Times New Roman"/>
          <w:sz w:val="20"/>
        </w:rPr>
        <w:t xml:space="preserve">All notices and communications (other than those sent to Holders) will be deemed to have been duly given: (A) at the time delivered by hand, if personally delivered; (B) five (5) Business Days after being deposited in the mail, postage prepaid, if mailed; (C) when receipt is acknowledged, if transmitted by facsimile, electronic transmission or other similar means of unsecured electronic communication; and (D) the next Business Day after timely delivery to the courier, if sent by overnight air courier guaranteeing next day delivery. </w:t>
      </w:r>
    </w:p>
    <w:p>
      <w:pPr>
        <w:pStyle w:val="TextBody"/>
        <w:bidi w:val="0"/>
        <w:spacing w:before="240" w:after="0"/>
        <w:jc w:val="left"/>
        <w:rPr>
          <w:rFonts w:ascii="Times New Roman" w:hAnsi="Times New Roman"/>
          <w:sz w:val="20"/>
        </w:rPr>
      </w:pPr>
      <w:r>
        <w:rPr>
          <w:rFonts w:ascii="Times New Roman" w:hAnsi="Times New Roman"/>
          <w:sz w:val="20"/>
        </w:rPr>
        <w:t xml:space="preserve">All notices or communications required to be made to a Holder pursuant to the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notice or communication to a Holder of a Global Note will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Times New Roman" w:hAnsi="Times New Roman"/>
          <w:i/>
          <w:sz w:val="20"/>
        </w:rPr>
        <w:t>provided</w:t>
      </w:r>
      <w:r>
        <w:rPr>
          <w:rFonts w:ascii="Times New Roman" w:hAnsi="Times New Roman"/>
          <w:sz w:val="20"/>
        </w:rPr>
        <w:t xml:space="preserve">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 </w:t>
      </w:r>
    </w:p>
    <w:p>
      <w:pPr>
        <w:pStyle w:val="TextBody"/>
        <w:bidi w:val="0"/>
        <w:spacing w:before="240" w:after="0"/>
        <w:jc w:val="left"/>
        <w:rPr>
          <w:rFonts w:ascii="Times New Roman" w:hAnsi="Times New Roman"/>
          <w:sz w:val="20"/>
        </w:rPr>
      </w:pPr>
      <w:r>
        <w:rPr>
          <w:rFonts w:ascii="Times New Roman" w:hAnsi="Times New Roman"/>
          <w:sz w:val="20"/>
        </w:rPr>
        <w:t xml:space="preserve">If a notice or communication is mailed or sent in the manner provided above within the time prescribed, it will be deemed to have been duly given, whether or not the addressee receives it.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Indenture or the Notes, (A) whenever any provision of the Indenture requires a party to send notice to another party, no such notice need be sent if the sending party and the recipient are the same Person acting in different capacities (and, for purposes of the interpretation of the Indenture, such notice will be deemed to have been duly sent at the time otherwise required by the Indenture); and (B) whenever any provision of the Indenture requires a party to send notice to more than one receiving party, and each receiving party is the same Person acting in different capacities, then only one such notice need be sent to such Person.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11.02. DELIVERY OF OFFICER’S CERTIFICATE AND OPINION OF COUNSEL AS TO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Upon any request or application by the Company to the Trustee to take any action under the Indenture (other than the initial authentication of Notes under the Indenture), the Company will furnish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(A) an Officer’s Certificate that complies with </w:t>
      </w:r>
      <w:r>
        <w:rPr>
          <w:rFonts w:ascii="Times New Roman" w:hAnsi="Times New Roman"/>
          <w:b/>
          <w:sz w:val="20"/>
        </w:rPr>
        <w:t>Section</w:t>
      </w:r>
      <w:r>
        <w:rPr>
          <w:rFonts w:ascii="Times New Roman" w:hAnsi="Times New Roman"/>
          <w:sz w:val="20"/>
        </w:rPr>
        <w:t> </w:t>
      </w:r>
      <w:r>
        <w:rPr>
          <w:rFonts w:ascii="Times New Roman" w:hAnsi="Times New Roman"/>
          <w:b/>
          <w:sz w:val="20"/>
        </w:rPr>
        <w:t>11.03</w:t>
      </w:r>
      <w:r>
        <w:rPr>
          <w:rFonts w:ascii="Times New Roman" w:hAnsi="Times New Roman"/>
          <w:sz w:val="20"/>
        </w:rPr>
        <w:t xml:space="preserve"> and states that, in the opinion of the signatory thereto, all conditions precedent and covenants, if any, provided for in the Indenture relating to such action have been satisfied; and </w:t>
      </w:r>
    </w:p>
    <w:p>
      <w:pPr>
        <w:pStyle w:val="TextBody"/>
        <w:bidi w:val="0"/>
        <w:spacing w:before="240" w:after="0"/>
        <w:jc w:val="left"/>
        <w:rPr>
          <w:rFonts w:ascii="Times New Roman" w:hAnsi="Times New Roman"/>
          <w:sz w:val="20"/>
        </w:rPr>
      </w:pPr>
      <w:r>
        <w:rPr>
          <w:rFonts w:ascii="Times New Roman" w:hAnsi="Times New Roman"/>
          <w:sz w:val="20"/>
        </w:rPr>
        <w:t xml:space="preserve">(B) an Opinion of Counsel that complies with </w:t>
      </w:r>
      <w:r>
        <w:rPr>
          <w:rFonts w:ascii="Times New Roman" w:hAnsi="Times New Roman"/>
          <w:b/>
          <w:sz w:val="20"/>
        </w:rPr>
        <w:t>Section</w:t>
      </w:r>
      <w:r>
        <w:rPr>
          <w:rFonts w:ascii="Times New Roman" w:hAnsi="Times New Roman"/>
          <w:sz w:val="20"/>
        </w:rPr>
        <w:t> </w:t>
      </w:r>
      <w:r>
        <w:rPr>
          <w:rFonts w:ascii="Times New Roman" w:hAnsi="Times New Roman"/>
          <w:b/>
          <w:sz w:val="20"/>
        </w:rPr>
        <w:t>11.03</w:t>
      </w:r>
      <w:r>
        <w:rPr>
          <w:rFonts w:ascii="Times New Roman" w:hAnsi="Times New Roman"/>
          <w:sz w:val="20"/>
        </w:rPr>
        <w:t xml:space="preserve"> and states that, in the opinion of such counsel, all such conditions precedent and covenants, if any, have been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11.03. STATEMENTS REQUIRED IN OFFICER’S CERTIFICATE AND OPINION OF COUNSEL. </w:t>
      </w:r>
    </w:p>
    <w:p>
      <w:pPr>
        <w:pStyle w:val="TextBody"/>
        <w:bidi w:val="0"/>
        <w:spacing w:before="120" w:after="0"/>
        <w:jc w:val="left"/>
        <w:rPr>
          <w:rFonts w:ascii="Times New Roman" w:hAnsi="Times New Roman"/>
          <w:sz w:val="20"/>
        </w:rPr>
      </w:pPr>
      <w:r>
        <w:rPr>
          <w:rFonts w:ascii="Times New Roman" w:hAnsi="Times New Roman"/>
          <w:sz w:val="20"/>
        </w:rPr>
        <w:t xml:space="preserve">Each Officer’s Certificate (other than an Officer’s Certificate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3.03</w:t>
      </w:r>
      <w:r>
        <w:rPr>
          <w:rFonts w:ascii="Times New Roman" w:hAnsi="Times New Roman"/>
          <w:sz w:val="20"/>
        </w:rPr>
        <w:t xml:space="preserve">) or Opinion of Counsel with respect to compliance with a covenant or condition provided for in the Indenture will include: </w:t>
      </w:r>
    </w:p>
    <w:p>
      <w:pPr>
        <w:pStyle w:val="TextBody"/>
        <w:bidi w:val="0"/>
        <w:spacing w:before="120" w:after="0"/>
        <w:jc w:val="left"/>
        <w:rPr>
          <w:rFonts w:ascii="Times New Roman" w:hAnsi="Times New Roman"/>
          <w:sz w:val="20"/>
        </w:rPr>
      </w:pPr>
      <w:r>
        <w:rPr>
          <w:rFonts w:ascii="Times New Roman" w:hAnsi="Times New Roman"/>
          <w:sz w:val="20"/>
        </w:rPr>
        <w:t xml:space="preserve">(A) a statement that the signatory thereto has read such covenant or condition; </w:t>
      </w:r>
    </w:p>
    <w:p>
      <w:pPr>
        <w:pStyle w:val="TextBody"/>
        <w:bidi w:val="0"/>
        <w:spacing w:before="24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statements or opinions contained therein are 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 statement that, in the opinion of such signatory, he, she or it has made such examination or investigation as is necessary to enable him, her or it to express an informed opinion as to whether or not such covenant or condition has been satisfied; and </w:t>
      </w:r>
    </w:p>
    <w:p>
      <w:pPr>
        <w:pStyle w:val="TextBody"/>
        <w:bidi w:val="0"/>
        <w:spacing w:before="240" w:after="0"/>
        <w:jc w:val="left"/>
        <w:rPr>
          <w:rFonts w:ascii="Times New Roman" w:hAnsi="Times New Roman"/>
          <w:sz w:val="20"/>
        </w:rPr>
      </w:pPr>
      <w:r>
        <w:rPr>
          <w:rFonts w:ascii="Times New Roman" w:hAnsi="Times New Roman"/>
          <w:sz w:val="20"/>
        </w:rPr>
        <w:t xml:space="preserve">(D) a statement as to whether, in the opinion of such signatory, such covenant or condition has been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11.04. RULES BY THE TRUSTEE, THE REGISTRAR, THE PAYING AGENT AND THE CONVERSION AGENT.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make reasonable rules for action by or at a meeting of Holders. Each of the Registrar, the Paying Agent and the Conversion Agent may make reasonable rules and set reasonable requirements for its functions.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11.05. NO PERSONAL LIABILITY OF DIRECTORS, OFFICERS, EMPLOYEES AND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 past, present or future director, officer, employee, 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11.06. GOVERNING LAW; WAIVER OF JURY TRIAL.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NOTES, AND ANY CLAIM, CONTROVERSY OR DISPUTE ARISING UNDER OR RELATED TO THE INDENTURE OR THE NOTES, WILL BE GOVERNED BY AND CONSTRUED IN ACCORDANCE WITH THE LAWS OF THE STATE OF NEW YORK. EACH OF THE COMPANY AND THE TRUSTEE IRREVOCABLY WAIVES, TO THE FULLEST EXTENT PERMITTED BY APPLICABLE LAW, ANY AND ALL RIGHT TO TRIAL BY JURY IN ANY LEGAL PROCEEDING ARISING OUT OF OR RELATING TO THE INDENTURE, THE NOTES OR THE TRANSACTIONS CONTEMPLATED BY THE INDENTURE OR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11.07. SUBMISSION TO JURISDICTION. </w:t>
      </w:r>
    </w:p>
    <w:p>
      <w:pPr>
        <w:pStyle w:val="TextBody"/>
        <w:bidi w:val="0"/>
        <w:spacing w:before="120" w:after="0"/>
        <w:jc w:val="left"/>
        <w:rPr>
          <w:rFonts w:ascii="Times New Roman" w:hAnsi="Times New Roman"/>
          <w:sz w:val="20"/>
        </w:rPr>
      </w:pPr>
      <w:r>
        <w:rPr>
          <w:rFonts w:ascii="Times New Roman" w:hAnsi="Times New Roman"/>
          <w:sz w:val="20"/>
        </w:rPr>
        <w:t>Any legal suit, action or proceeding arising out of or based upon the Indenture or the transactions contemplated by the Indenture may be instituted in the federal courts of the United States of America located in the City of New York or the courts of the State of New York, in each case located in the City of New York (collectively, the “</w:t>
      </w:r>
      <w:r>
        <w:rPr>
          <w:rFonts w:ascii="Times New Roman" w:hAnsi="Times New Roman"/>
          <w:b/>
          <w:sz w:val="20"/>
        </w:rPr>
        <w:t>Specified Courts</w:t>
      </w:r>
      <w:r>
        <w:rPr>
          <w:rFonts w:ascii="Times New Roman" w:hAnsi="Times New Roman"/>
          <w:sz w:val="20"/>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11.01</w:t>
      </w:r>
      <w:r>
        <w:rPr>
          <w:rFonts w:ascii="Times New Roman" w:hAnsi="Times New Roman"/>
          <w:sz w:val="20"/>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11.08. NO ADVERSE INTERPRETATION OF OTHER AGREEMENTS. </w:t>
      </w:r>
    </w:p>
    <w:p>
      <w:pPr>
        <w:pStyle w:val="TextBody"/>
        <w:bidi w:val="0"/>
        <w:spacing w:before="120" w:after="0"/>
        <w:jc w:val="left"/>
        <w:rPr>
          <w:rFonts w:ascii="Times New Roman" w:hAnsi="Times New Roman"/>
          <w:sz w:val="20"/>
        </w:rPr>
      </w:pPr>
      <w:r>
        <w:rPr>
          <w:rFonts w:ascii="Times New Roman" w:hAnsi="Times New Roman"/>
          <w:sz w:val="20"/>
        </w:rPr>
        <w:t xml:space="preserve">Neither the Indenture nor the Notes may be used to interpret any other indenture, note, loan or debt agreement of the Company or its Subsidiaries or of any other Person, and no such indenture, note, loan or debt agreement may be used to interpret the Indenture or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11.09. SUCCESSORS. </w:t>
      </w:r>
    </w:p>
    <w:p>
      <w:pPr>
        <w:pStyle w:val="TextBody"/>
        <w:bidi w:val="0"/>
        <w:spacing w:before="120" w:after="0"/>
        <w:jc w:val="left"/>
        <w:rPr>
          <w:rFonts w:ascii="Times New Roman" w:hAnsi="Times New Roman"/>
          <w:sz w:val="20"/>
        </w:rPr>
      </w:pPr>
      <w:r>
        <w:rPr>
          <w:rFonts w:ascii="Times New Roman" w:hAnsi="Times New Roman"/>
          <w:sz w:val="20"/>
        </w:rPr>
        <w:t xml:space="preserve">All agreements of the Company in the Indenture and the Notes will bind its successors. All agreements of the Trustee in the Indenture will bind its successors.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11.10. FORCE MAJEURE. </w:t>
      </w:r>
    </w:p>
    <w:p>
      <w:pPr>
        <w:pStyle w:val="TextBody"/>
        <w:bidi w:val="0"/>
        <w:spacing w:before="120" w:after="0"/>
        <w:jc w:val="left"/>
        <w:rPr>
          <w:rFonts w:ascii="Times New Roman" w:hAnsi="Times New Roman"/>
          <w:sz w:val="20"/>
        </w:rPr>
      </w:pPr>
      <w:r>
        <w:rPr>
          <w:rFonts w:ascii="Times New Roman" w:hAnsi="Times New Roman"/>
          <w:sz w:val="20"/>
        </w:rPr>
        <w:t xml:space="preserve">The Trustee and each Note Agent will not incur any liability for not performing any act or fulfilling any duty, obligation or responsibility under the Indenture or the Notes by reason of any occurrence beyond its control (including any act or provision of any present or future law or regulation or governmental authority, act of God or war, civil unrest, local or national disturbance or disaster, act of terrorism or unavailability of the Federal Reserve Bank wire or facsimile or other wire or communication facility).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11.11. U.S.A. PATRIOT ACT. </w:t>
      </w:r>
    </w:p>
    <w:p>
      <w:pPr>
        <w:pStyle w:val="TextBody"/>
        <w:bidi w:val="0"/>
        <w:spacing w:before="120" w:after="0"/>
        <w:jc w:val="left"/>
        <w:rPr>
          <w:rFonts w:ascii="Times New Roman" w:hAnsi="Times New Roman"/>
          <w:sz w:val="20"/>
        </w:rPr>
      </w:pPr>
      <w:r>
        <w:rPr>
          <w:rFonts w:ascii="Times New Roman" w:hAnsi="Times New Roman"/>
          <w:sz w:val="20"/>
        </w:rPr>
        <w:t xml:space="preserve">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11.12. CALCULATIONS.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the Indenture, the Company will be responsible for making all calculations called for under the Indenture or the Notes, including determinations of the Last Reported Sale Price, the Daily Conversion Value, the Daily Cash Amount, the Daily Share Amount, the Daily VWAP, the Trading Price, accrued interest on the Notes, the Redemption Price, the Fundamental Change Repurchase Price and the Conversion Rate.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 written request therefor. For the avoidance of doubt, the Trustee will not be obligated to make or confirm any calculations or other amounts called for under the Indenture or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11.13. SEVERABILITY. </w:t>
      </w:r>
    </w:p>
    <w:p>
      <w:pPr>
        <w:pStyle w:val="TextBody"/>
        <w:bidi w:val="0"/>
        <w:spacing w:before="120" w:after="0"/>
        <w:jc w:val="left"/>
        <w:rPr>
          <w:rFonts w:ascii="Times New Roman" w:hAnsi="Times New Roman"/>
          <w:sz w:val="20"/>
        </w:rPr>
      </w:pPr>
      <w:r>
        <w:rPr>
          <w:rFonts w:ascii="Times New Roman" w:hAnsi="Times New Roman"/>
          <w:sz w:val="20"/>
        </w:rPr>
        <w:t xml:space="preserve">If any provision of the Indenture or the Notes is invalid, illegal or unenforceable, then the validity, legality and enforceability of the remaining provisions of the Indenture or the Notes will not in any way be affected or impaired thereby.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11.14. COUNTERPARTS. </w:t>
      </w:r>
    </w:p>
    <w:p>
      <w:pPr>
        <w:pStyle w:val="TextBody"/>
        <w:bidi w:val="0"/>
        <w:spacing w:before="120" w:after="0"/>
        <w:jc w:val="left"/>
        <w:rPr>
          <w:rFonts w:ascii="Times New Roman" w:hAnsi="Times New Roman"/>
          <w:sz w:val="20"/>
        </w:rPr>
      </w:pPr>
      <w:r>
        <w:rPr>
          <w:rFonts w:ascii="Times New Roman" w:hAnsi="Times New Roman"/>
          <w:sz w:val="20"/>
        </w:rPr>
        <w:t xml:space="preserve">The parties may sign any number of copies of the Indenture. Each signed copy will be an original, and all of them together represent the same agreement. Delivery of an executed counterpart of the Indenture by facsimile, electronically in portable document format or in any other format will be effective as delivery of a manually executed counterpart.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11.15. TABLE OF CONTENTS, HEADINGS, ETC. </w:t>
      </w:r>
    </w:p>
    <w:p>
      <w:pPr>
        <w:pStyle w:val="TextBody"/>
        <w:bidi w:val="0"/>
        <w:spacing w:before="120" w:after="0"/>
        <w:jc w:val="left"/>
        <w:rPr>
          <w:rFonts w:ascii="Times New Roman" w:hAnsi="Times New Roman"/>
          <w:sz w:val="20"/>
        </w:rPr>
      </w:pPr>
      <w:r>
        <w:rPr>
          <w:rFonts w:ascii="Times New Roman" w:hAnsi="Times New Roman"/>
          <w:sz w:val="20"/>
        </w:rPr>
        <w:t xml:space="preserve">The table of contents and the headings of the Articles and Sections of the Indenture have been inserted for convenience of reference only, are not to be considered a part of the Indenture and will in no way modify or restrict any of the terms or provisions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11.16. WITHHOLDING TAXES.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a Note agrees, and each beneficial owner of an interest in a Global Note, by its acquisition of such interest, is deemed to agree, that if the Company or other applicable withholding agent (including the Trustee) pays withholding taxes or backup withholding on behalf of such Holder or beneficial owner as a result of an adjustment or the non-occurrence of an adjustment to the Conversion Rate, then the Company or such withholding agent, as applicable, may, at its option, set off such payments against payments of cash or the delivery of other Conversion Consideration on such Note, any payments on the Common Stock or proceeds of any sale, exchange or other disposition of such Note received by, or other funds or assets of, such Holder or the beneficial owner of such Note.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11.17. TRUST INDENTURE ACT CONTROLS. </w:t>
      </w:r>
    </w:p>
    <w:p>
      <w:pPr>
        <w:pStyle w:val="TextBody"/>
        <w:bidi w:val="0"/>
        <w:spacing w:before="120" w:after="0"/>
        <w:jc w:val="left"/>
        <w:rPr>
          <w:rFonts w:ascii="Times New Roman" w:hAnsi="Times New Roman"/>
          <w:sz w:val="20"/>
        </w:rPr>
      </w:pPr>
      <w:r>
        <w:rPr>
          <w:rFonts w:ascii="Times New Roman" w:hAnsi="Times New Roman"/>
          <w:sz w:val="20"/>
        </w:rPr>
        <w:t xml:space="preserve">If any provision of the Indenture limits, qualifies or conflicts with another provision that is required to be included in the Indenture by the Trust Indenture Act, then required provision of the Trust Indenture Act will control.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b/>
          <w:i/>
          <w:sz w:val="20"/>
        </w:rPr>
        <w:t>The Remainder of This Page Intentionally Left Blank; 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to this Supplemental Indenture have caused this Supplemental Indenture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3"/>
        <w:gridCol w:w="61"/>
        <w:gridCol w:w="3648"/>
      </w:tblGrid>
      <w:tr>
        <w:trPr/>
        <w:tc>
          <w:tcPr>
            <w:tcW w:w="37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w:t>
            </w:r>
            <w:r>
              <w:rPr>
                <w:sz w:val="20"/>
              </w:rPr>
              <w:t>AXCYTE</w:t>
            </w:r>
            <w:r>
              <w:rPr/>
              <w:t>, I</w:t>
            </w:r>
            <w:r>
              <w:rPr>
                <w:sz w:val="20"/>
              </w:rPr>
              <w:t>NC</w:t>
            </w:r>
            <w:r>
              <w:rPr/>
              <w:t>.</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283"/>
              <w:jc w:val="left"/>
              <w:rPr/>
            </w:pPr>
            <w:r>
              <w:rPr/>
              <w:t>/s/ Andrew Guggenhime</w:t>
            </w:r>
          </w:p>
        </w:tc>
      </w:tr>
      <w:tr>
        <w:trPr/>
        <w:tc>
          <w:tcPr>
            <w:tcW w:w="37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 Andrew Guggenhime</w:t>
            </w:r>
          </w:p>
        </w:tc>
      </w:tr>
      <w:tr>
        <w:trPr/>
        <w:tc>
          <w:tcPr>
            <w:tcW w:w="37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 President and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w:t>
            </w:r>
            <w:r>
              <w:rPr>
                <w:sz w:val="20"/>
              </w:rPr>
              <w:t>ANK</w:t>
            </w:r>
            <w:r>
              <w:rPr/>
              <w:t xml:space="preserve"> T</w:t>
            </w:r>
            <w:r>
              <w:rPr>
                <w:sz w:val="20"/>
              </w:rPr>
              <w:t>RUST</w:t>
            </w:r>
            <w:r>
              <w:rPr/>
              <w:t xml:space="preserve"> C</w:t>
            </w:r>
            <w:r>
              <w:rPr>
                <w:sz w:val="20"/>
              </w:rPr>
              <w:t>OMPANY</w:t>
            </w:r>
            <w:r>
              <w:rPr/>
              <w:t>, N</w:t>
            </w:r>
            <w:r>
              <w:rPr>
                <w:sz w:val="20"/>
              </w:rPr>
              <w:t>ATIONAL</w:t>
            </w:r>
            <w:r>
              <w:rPr/>
              <w:t xml:space="preserve"> A</w:t>
            </w:r>
            <w:r>
              <w:rPr>
                <w:sz w:val="20"/>
              </w:rPr>
              <w:t>SSOCIATION</w:t>
            </w:r>
            <w:r>
              <w:rPr/>
              <w:t>, as Trustee</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283"/>
              <w:jc w:val="left"/>
              <w:rPr/>
            </w:pPr>
            <w:r>
              <w:rPr/>
              <w:t>/s/ David A. Jason</w:t>
            </w:r>
          </w:p>
        </w:tc>
      </w:tr>
      <w:tr>
        <w:trPr/>
        <w:tc>
          <w:tcPr>
            <w:tcW w:w="37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 David A. Jason</w:t>
            </w:r>
          </w:p>
        </w:tc>
      </w:tr>
      <w:tr>
        <w:trPr/>
        <w:tc>
          <w:tcPr>
            <w:tcW w:w="37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Supplemental Indenture]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FORM OF NOTE </w:t>
      </w:r>
    </w:p>
    <w:p>
      <w:pPr>
        <w:pStyle w:val="TextBody"/>
        <w:bidi w:val="0"/>
        <w:spacing w:before="120" w:after="0"/>
        <w:jc w:val="center"/>
        <w:rPr>
          <w:rFonts w:ascii="Times New Roman" w:hAnsi="Times New Roman"/>
          <w:sz w:val="20"/>
        </w:rPr>
      </w:pPr>
      <w:r>
        <w:rPr>
          <w:rFonts w:ascii="Times New Roman" w:hAnsi="Times New Roman"/>
          <w:sz w:val="20"/>
        </w:rPr>
        <w:t>[</w:t>
      </w:r>
      <w:r>
        <w:rPr>
          <w:rFonts w:ascii="Times New Roman" w:hAnsi="Times New Roman"/>
          <w:i/>
          <w:sz w:val="20"/>
        </w:rPr>
        <w:t>Insert Global Note Legend, if applicable</w:t>
      </w:r>
      <w:r>
        <w:rPr>
          <w:rFonts w:ascii="Times New Roman" w:hAnsi="Times New Roman"/>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VAXCYTE, INC. </w:t>
      </w:r>
    </w:p>
    <w:p>
      <w:pPr>
        <w:pStyle w:val="TextBody"/>
        <w:bidi w:val="0"/>
        <w:spacing w:before="120" w:after="0"/>
        <w:jc w:val="center"/>
        <w:rPr>
          <w:rFonts w:ascii="Times New Roman" w:hAnsi="Times New Roman"/>
          <w:sz w:val="20"/>
        </w:rPr>
      </w:pPr>
      <w:r>
        <w:rPr>
          <w:rFonts w:ascii="Times New Roman" w:hAnsi="Times New Roman"/>
          <w:sz w:val="20"/>
        </w:rPr>
        <w:t>1.50</w:t>
      </w:r>
      <w:r>
        <w:rPr>
          <w:rFonts w:ascii="Times New Roman" w:hAnsi="Times New Roman"/>
          <w:b/>
          <w:sz w:val="20"/>
        </w:rPr>
        <w:t>% Convertible Senior Note due 2032</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1"/>
        <w:gridCol w:w="123"/>
        <w:gridCol w:w="4921"/>
      </w:tblGrid>
      <w:tr>
        <w:trPr/>
        <w:tc>
          <w:tcPr>
            <w:tcW w:w="516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5161" w:type="dxa"/>
            <w:tcBorders/>
          </w:tcPr>
          <w:p>
            <w:pPr>
              <w:pStyle w:val="TableContents"/>
              <w:bidi w:val="0"/>
              <w:spacing w:before="0" w:after="283"/>
              <w:jc w:val="left"/>
              <w:rPr/>
            </w:pPr>
            <w:r>
              <w:rPr/>
              <w:t>CUSIP No.: [  ]</w:t>
            </w:r>
          </w:p>
        </w:tc>
        <w:tc>
          <w:tcPr>
            <w:tcW w:w="123" w:type="dxa"/>
            <w:tcBorders/>
            <w:vAlign w:val="bottom"/>
          </w:tcPr>
          <w:p>
            <w:pPr>
              <w:pStyle w:val="TableContents"/>
              <w:bidi w:val="0"/>
              <w:spacing w:before="0" w:after="283"/>
              <w:jc w:val="left"/>
              <w:rPr/>
            </w:pPr>
            <w:r>
              <w:rPr/>
              <w:t>  </w:t>
            </w:r>
          </w:p>
        </w:tc>
        <w:tc>
          <w:tcPr>
            <w:tcW w:w="4921" w:type="dxa"/>
            <w:tcBorders/>
          </w:tcPr>
          <w:p>
            <w:pPr>
              <w:pStyle w:val="TableContents"/>
              <w:bidi w:val="0"/>
              <w:spacing w:before="0" w:after="283"/>
              <w:jc w:val="right"/>
              <w:rPr/>
            </w:pPr>
            <w:r>
              <w:rPr/>
              <w:t>Certificate No. [  ]</w:t>
            </w:r>
          </w:p>
        </w:tc>
      </w:tr>
      <w:tr>
        <w:trPr/>
        <w:tc>
          <w:tcPr>
            <w:tcW w:w="5161" w:type="dxa"/>
            <w:tcBorders/>
          </w:tcPr>
          <w:p>
            <w:pPr>
              <w:pStyle w:val="TableContents"/>
              <w:bidi w:val="0"/>
              <w:spacing w:before="0" w:after="283"/>
              <w:jc w:val="left"/>
              <w:rPr/>
            </w:pPr>
            <w:r>
              <w:rPr/>
              <w:t>ISIN No.: [  ]</w:t>
            </w:r>
          </w:p>
        </w:tc>
        <w:tc>
          <w:tcPr>
            <w:tcW w:w="123" w:type="dxa"/>
            <w:tcBorders/>
            <w:vAlign w:val="bottom"/>
          </w:tcPr>
          <w:p>
            <w:pPr>
              <w:pStyle w:val="TableContents"/>
              <w:bidi w:val="0"/>
              <w:spacing w:before="0" w:after="283"/>
              <w:jc w:val="left"/>
              <w:rPr/>
            </w:pPr>
            <w:r>
              <w:rPr/>
              <w:t>  </w:t>
            </w:r>
          </w:p>
        </w:tc>
        <w:tc>
          <w:tcPr>
            <w:tcW w:w="4921"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Vaxcyte, Inc., a Delaware corporation, for value received, promises to pay to [Cede &amp; Co.], or its registered assigns, the principal sum of [  ] dollars ($[  ]) [(as revised by the attached Schedule of Exchanges of Interests in the Global Note)]* on October 15, 2032 and to pay interest thereon, as provided in the Indenture referred to below, until the principal and all accrued and unpaid interest are paid or duly provided for.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6"/>
        <w:gridCol w:w="123"/>
        <w:gridCol w:w="7836"/>
      </w:tblGrid>
      <w:tr>
        <w:trPr/>
        <w:tc>
          <w:tcPr>
            <w:tcW w:w="224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836" w:type="dxa"/>
            <w:tcBorders/>
            <w:vAlign w:val="center"/>
          </w:tcPr>
          <w:p>
            <w:pPr>
              <w:pStyle w:val="TableContents"/>
              <w:bidi w:val="0"/>
              <w:spacing w:before="0" w:after="283"/>
              <w:jc w:val="left"/>
              <w:rPr>
                <w:sz w:val="4"/>
                <w:szCs w:val="4"/>
              </w:rPr>
            </w:pPr>
            <w:r>
              <w:rPr>
                <w:sz w:val="4"/>
                <w:szCs w:val="4"/>
              </w:rPr>
            </w:r>
          </w:p>
        </w:tc>
      </w:tr>
      <w:tr>
        <w:trPr/>
        <w:tc>
          <w:tcPr>
            <w:tcW w:w="2246" w:type="dxa"/>
            <w:tcBorders/>
          </w:tcPr>
          <w:p>
            <w:pPr>
              <w:pStyle w:val="TableContents"/>
              <w:bidi w:val="0"/>
              <w:spacing w:before="0" w:after="283"/>
              <w:jc w:val="left"/>
              <w:rPr/>
            </w:pPr>
            <w:r>
              <w:rPr/>
              <w:t>Interest Payment Dates:</w:t>
            </w:r>
          </w:p>
        </w:tc>
        <w:tc>
          <w:tcPr>
            <w:tcW w:w="123" w:type="dxa"/>
            <w:tcBorders/>
            <w:vAlign w:val="bottom"/>
          </w:tcPr>
          <w:p>
            <w:pPr>
              <w:pStyle w:val="TableContents"/>
              <w:bidi w:val="0"/>
              <w:spacing w:before="0" w:after="283"/>
              <w:jc w:val="left"/>
              <w:rPr/>
            </w:pPr>
            <w:r>
              <w:rPr/>
              <w:t>  </w:t>
            </w:r>
          </w:p>
        </w:tc>
        <w:tc>
          <w:tcPr>
            <w:tcW w:w="7836" w:type="dxa"/>
            <w:tcBorders/>
          </w:tcPr>
          <w:p>
            <w:pPr>
              <w:pStyle w:val="TableContents"/>
              <w:bidi w:val="0"/>
              <w:spacing w:before="0" w:after="283"/>
              <w:jc w:val="left"/>
              <w:rPr/>
            </w:pPr>
            <w:r>
              <w:rPr/>
              <w:t>April 15 and October 15 of each year, commencing on [</w:t>
            </w:r>
            <w:r>
              <w:rPr>
                <w:i/>
              </w:rPr>
              <w:t>date</w:t>
            </w:r>
            <w:r>
              <w:rPr/>
              <w:t>].</w:t>
            </w:r>
          </w:p>
        </w:tc>
      </w:tr>
      <w:tr>
        <w:trPr>
          <w:trHeight w:val="120" w:hRule="atLeast"/>
        </w:trPr>
        <w:tc>
          <w:tcPr>
            <w:tcW w:w="2246" w:type="dxa"/>
            <w:tcBorders/>
            <w:vAlign w:val="center"/>
          </w:tcPr>
          <w:p>
            <w:pPr>
              <w:pStyle w:val="TableContents"/>
              <w:bidi w:val="0"/>
              <w:spacing w:before="0" w:after="283"/>
              <w:jc w:val="left"/>
              <w:rPr>
                <w:sz w:val="4"/>
                <w:szCs w:val="4"/>
              </w:rPr>
            </w:pPr>
            <w:r>
              <w:rPr>
                <w:sz w:val="4"/>
                <w:szCs w:val="4"/>
              </w:rPr>
            </w:r>
          </w:p>
        </w:tc>
        <w:tc>
          <w:tcPr>
            <w:tcW w:w="7959" w:type="dxa"/>
            <w:gridSpan w:val="2"/>
            <w:tcBorders/>
            <w:vAlign w:val="center"/>
          </w:tcPr>
          <w:p>
            <w:pPr>
              <w:pStyle w:val="TableContents"/>
              <w:bidi w:val="0"/>
              <w:spacing w:before="0" w:after="283"/>
              <w:jc w:val="left"/>
              <w:rPr>
                <w:sz w:val="4"/>
                <w:szCs w:val="4"/>
              </w:rPr>
            </w:pPr>
            <w:r>
              <w:rPr>
                <w:sz w:val="4"/>
                <w:szCs w:val="4"/>
              </w:rPr>
            </w:r>
          </w:p>
        </w:tc>
      </w:tr>
      <w:tr>
        <w:trPr/>
        <w:tc>
          <w:tcPr>
            <w:tcW w:w="2246" w:type="dxa"/>
            <w:tcBorders/>
          </w:tcPr>
          <w:p>
            <w:pPr>
              <w:pStyle w:val="TableContents"/>
              <w:bidi w:val="0"/>
              <w:spacing w:before="0" w:after="283"/>
              <w:jc w:val="left"/>
              <w:rPr/>
            </w:pPr>
            <w:r>
              <w:rPr/>
              <w:t>Regular Record Dates:</w:t>
            </w:r>
          </w:p>
        </w:tc>
        <w:tc>
          <w:tcPr>
            <w:tcW w:w="123" w:type="dxa"/>
            <w:tcBorders/>
            <w:vAlign w:val="bottom"/>
          </w:tcPr>
          <w:p>
            <w:pPr>
              <w:pStyle w:val="TableContents"/>
              <w:bidi w:val="0"/>
              <w:spacing w:before="0" w:after="283"/>
              <w:jc w:val="left"/>
              <w:rPr/>
            </w:pPr>
            <w:r>
              <w:rPr/>
              <w:t>  </w:t>
            </w:r>
          </w:p>
        </w:tc>
        <w:tc>
          <w:tcPr>
            <w:tcW w:w="7836" w:type="dxa"/>
            <w:tcBorders/>
          </w:tcPr>
          <w:p>
            <w:pPr>
              <w:pStyle w:val="TableContents"/>
              <w:bidi w:val="0"/>
              <w:spacing w:before="0" w:after="283"/>
              <w:jc w:val="left"/>
              <w:rPr/>
            </w:pPr>
            <w:r>
              <w:rPr/>
              <w:t>April 1 and October 1.</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provisions of this Note are set forth on the other side of this Note.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b/>
          <w:i/>
          <w:sz w:val="20"/>
        </w:rPr>
        <w:t>The Remainder of This Page Intentionally Left Blank; Signature Page Follows</w:t>
      </w:r>
      <w:r>
        <w:rPr>
          <w:rFonts w:ascii="Times New Roman" w:hAnsi="Times New Roman"/>
          <w:sz w:val="20"/>
        </w:rPr>
        <w:t xml:space="preser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bracketed language for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Vaxcyte, Inc. has caused this instrument to be duly executed as of the date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6"/>
        <w:gridCol w:w="111"/>
        <w:gridCol w:w="4133"/>
        <w:gridCol w:w="111"/>
        <w:gridCol w:w="397"/>
        <w:gridCol w:w="111"/>
        <w:gridCol w:w="375"/>
        <w:gridCol w:w="111"/>
        <w:gridCol w:w="4360"/>
      </w:tblGrid>
      <w:tr>
        <w:trPr/>
        <w:tc>
          <w:tcPr>
            <w:tcW w:w="496"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133"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360"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7"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4846" w:type="dxa"/>
            <w:gridSpan w:val="3"/>
            <w:tcBorders/>
          </w:tcPr>
          <w:p>
            <w:pPr>
              <w:pStyle w:val="TableContents"/>
              <w:bidi w:val="0"/>
              <w:spacing w:before="0" w:after="283"/>
              <w:jc w:val="left"/>
              <w:rPr/>
            </w:pPr>
            <w:r>
              <w:rPr/>
              <w:t>V</w:t>
            </w:r>
            <w:r>
              <w:rPr>
                <w:sz w:val="20"/>
              </w:rPr>
              <w:t>AXCYTE</w:t>
            </w:r>
            <w:r>
              <w:rPr/>
              <w:t>, I</w:t>
            </w:r>
            <w:r>
              <w:rPr>
                <w:sz w:val="20"/>
              </w:rPr>
              <w:t>NC</w:t>
            </w:r>
            <w:r>
              <w:rPr/>
              <w:t>.</w:t>
            </w:r>
          </w:p>
        </w:tc>
      </w:tr>
      <w:tr>
        <w:trPr>
          <w:trHeight w:val="240" w:hRule="atLeast"/>
        </w:trPr>
        <w:tc>
          <w:tcPr>
            <w:tcW w:w="496" w:type="dxa"/>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86" w:type="dxa"/>
            <w:gridSpan w:val="2"/>
            <w:tcBorders/>
            <w:vAlign w:val="center"/>
          </w:tcPr>
          <w:p>
            <w:pPr>
              <w:pStyle w:val="TableContents"/>
              <w:bidi w:val="0"/>
              <w:spacing w:before="0" w:after="283"/>
              <w:jc w:val="left"/>
              <w:rPr>
                <w:sz w:val="4"/>
                <w:szCs w:val="4"/>
              </w:rPr>
            </w:pPr>
            <w:r>
              <w:rPr>
                <w:sz w:val="4"/>
                <w:szCs w:val="4"/>
              </w:rPr>
            </w:r>
          </w:p>
        </w:tc>
        <w:tc>
          <w:tcPr>
            <w:tcW w:w="4471" w:type="dxa"/>
            <w:gridSpan w:val="2"/>
            <w:tcBorders/>
            <w:vAlign w:val="center"/>
          </w:tcPr>
          <w:p>
            <w:pPr>
              <w:pStyle w:val="TableContents"/>
              <w:bidi w:val="0"/>
              <w:spacing w:before="0" w:after="283"/>
              <w:jc w:val="left"/>
              <w:rPr>
                <w:sz w:val="4"/>
                <w:szCs w:val="4"/>
              </w:rPr>
            </w:pPr>
            <w:r>
              <w:rPr>
                <w:sz w:val="4"/>
                <w:szCs w:val="4"/>
              </w:rPr>
            </w:r>
          </w:p>
        </w:tc>
      </w:tr>
      <w:tr>
        <w:trPr/>
        <w:tc>
          <w:tcPr>
            <w:tcW w:w="496" w:type="dxa"/>
            <w:tcBorders/>
          </w:tcPr>
          <w:p>
            <w:pPr>
              <w:pStyle w:val="TableContents"/>
              <w:bidi w:val="0"/>
              <w:spacing w:before="0" w:after="283"/>
              <w:jc w:val="left"/>
              <w:rPr/>
            </w:pPr>
            <w:r>
              <w:rPr/>
              <w:t>Date:</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4133" w:type="dxa"/>
            <w:tcBorders>
              <w:bottom w:val="single" w:sz="2" w:space="0" w:color="000000"/>
            </w:tcBorders>
            <w:tcMar>
              <w:bottom w:w="28" w:type="dxa"/>
            </w:tcMa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397"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75" w:type="dxa"/>
            <w:tcBorders/>
          </w:tcPr>
          <w:p>
            <w:pPr>
              <w:pStyle w:val="TableContents"/>
              <w:bidi w:val="0"/>
              <w:spacing w:before="0" w:after="283"/>
              <w:jc w:val="left"/>
              <w:rPr/>
            </w:pPr>
            <w:r>
              <w:rPr/>
              <w:t>By:</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4360" w:type="dxa"/>
            <w:tcBorders>
              <w:bottom w:val="single" w:sz="2" w:space="0" w:color="000000"/>
            </w:tcBorders>
            <w:tcMar>
              <w:bottom w:w="28" w:type="dxa"/>
            </w:tcMar>
          </w:tcPr>
          <w:p>
            <w:pPr>
              <w:pStyle w:val="TableContents"/>
              <w:bidi w:val="0"/>
              <w:spacing w:before="0" w:after="283"/>
              <w:jc w:val="left"/>
              <w:rPr/>
            </w:pPr>
            <w:r>
              <w:rPr/>
              <w:t> </w:t>
            </w:r>
          </w:p>
        </w:tc>
      </w:tr>
      <w:tr>
        <w:trPr/>
        <w:tc>
          <w:tcPr>
            <w:tcW w:w="496"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413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7"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7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4360" w:type="dxa"/>
            <w:tcBorders/>
            <w:vAlign w:val="bottom"/>
          </w:tcPr>
          <w:p>
            <w:pPr>
              <w:pStyle w:val="TableContents"/>
              <w:bidi w:val="0"/>
              <w:spacing w:before="0" w:after="283"/>
              <w:jc w:val="left"/>
              <w:rPr/>
            </w:pPr>
            <w:r>
              <w:rPr/>
              <w:t>Name:</w:t>
            </w:r>
          </w:p>
        </w:tc>
      </w:tr>
      <w:tr>
        <w:trPr/>
        <w:tc>
          <w:tcPr>
            <w:tcW w:w="496"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413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97"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7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4360"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as Trustee, certifies that this is one of the Notes referred to in the within-mentioned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1"/>
        <w:gridCol w:w="109"/>
        <w:gridCol w:w="4121"/>
        <w:gridCol w:w="109"/>
        <w:gridCol w:w="395"/>
        <w:gridCol w:w="109"/>
        <w:gridCol w:w="351"/>
        <w:gridCol w:w="109"/>
        <w:gridCol w:w="4421"/>
      </w:tblGrid>
      <w:tr>
        <w:trPr/>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12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421" w:type="dxa"/>
            <w:tcBorders/>
            <w:vAlign w:val="center"/>
          </w:tcPr>
          <w:p>
            <w:pPr>
              <w:pStyle w:val="TableContents"/>
              <w:bidi w:val="0"/>
              <w:spacing w:before="0" w:after="283"/>
              <w:jc w:val="left"/>
              <w:rPr>
                <w:sz w:val="4"/>
                <w:szCs w:val="4"/>
              </w:rPr>
            </w:pPr>
            <w:r>
              <w:rPr>
                <w:sz w:val="4"/>
                <w:szCs w:val="4"/>
              </w:rPr>
            </w:r>
          </w:p>
        </w:tc>
      </w:tr>
      <w:tr>
        <w:trPr/>
        <w:tc>
          <w:tcPr>
            <w:tcW w:w="481" w:type="dxa"/>
            <w:tcBorders/>
          </w:tcPr>
          <w:p>
            <w:pPr>
              <w:pStyle w:val="TableContents"/>
              <w:bidi w:val="0"/>
              <w:spacing w:before="0" w:after="283"/>
              <w:jc w:val="left"/>
              <w:rPr/>
            </w:pPr>
            <w:r>
              <w:rPr/>
              <w:t>Date:</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4121" w:type="dxa"/>
            <w:tcBorders>
              <w:bottom w:val="single" w:sz="2" w:space="0" w:color="000000"/>
            </w:tcBorders>
            <w:tcMar>
              <w:bottom w:w="28" w:type="dxa"/>
            </w:tcMa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pPr>
            <w:r>
              <w:rPr/>
              <w:t>By:</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4421" w:type="dxa"/>
            <w:tcBorders>
              <w:bottom w:val="single" w:sz="2" w:space="0" w:color="000000"/>
            </w:tcBorders>
            <w:tcMar>
              <w:bottom w:w="28" w:type="dxa"/>
            </w:tcMar>
          </w:tcPr>
          <w:p>
            <w:pPr>
              <w:pStyle w:val="TableContents"/>
              <w:bidi w:val="0"/>
              <w:spacing w:before="0" w:after="283"/>
              <w:jc w:val="left"/>
              <w:rPr/>
            </w:pPr>
            <w:r>
              <w:rPr/>
              <w:t> </w:t>
            </w:r>
          </w:p>
        </w:tc>
      </w:tr>
      <w:tr>
        <w:trPr/>
        <w:tc>
          <w:tcPr>
            <w:tcW w:w="48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12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421" w:type="dxa"/>
            <w:tcBorders/>
            <w:vAlign w:val="bottom"/>
          </w:tcPr>
          <w:p>
            <w:pPr>
              <w:pStyle w:val="TableContents"/>
              <w:bidi w:val="0"/>
              <w:spacing w:before="0" w:after="283"/>
              <w:jc w:val="center"/>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VAXCYTE, INC. </w:t>
      </w:r>
    </w:p>
    <w:p>
      <w:pPr>
        <w:pStyle w:val="TextBody"/>
        <w:bidi w:val="0"/>
        <w:spacing w:before="120" w:after="0"/>
        <w:jc w:val="center"/>
        <w:rPr>
          <w:rFonts w:ascii="Times New Roman" w:hAnsi="Times New Roman"/>
          <w:sz w:val="20"/>
        </w:rPr>
      </w:pPr>
      <w:r>
        <w:rPr>
          <w:rFonts w:ascii="Times New Roman" w:hAnsi="Times New Roman"/>
          <w:sz w:val="20"/>
        </w:rPr>
        <w:t>1.50</w:t>
      </w:r>
      <w:r>
        <w:rPr>
          <w:rFonts w:ascii="Times New Roman" w:hAnsi="Times New Roman"/>
          <w:b/>
          <w:sz w:val="20"/>
        </w:rPr>
        <w:t>% Convertible Senior Note due 2032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notes of Vaxcyte, Inc., a Delaware corporation (the “</w:t>
      </w:r>
      <w:r>
        <w:rPr>
          <w:rFonts w:ascii="Times New Roman" w:hAnsi="Times New Roman"/>
          <w:b/>
          <w:sz w:val="20"/>
        </w:rPr>
        <w:t>Company</w:t>
      </w:r>
      <w:r>
        <w:rPr>
          <w:rFonts w:ascii="Times New Roman" w:hAnsi="Times New Roman"/>
          <w:sz w:val="20"/>
        </w:rPr>
        <w:t>”), designated as its 1.50% Convertible Senior Notes due 2032 (the “</w:t>
      </w:r>
      <w:r>
        <w:rPr>
          <w:rFonts w:ascii="Times New Roman" w:hAnsi="Times New Roman"/>
          <w:b/>
          <w:sz w:val="20"/>
        </w:rPr>
        <w:t>Notes</w:t>
      </w:r>
      <w:r>
        <w:rPr>
          <w:rFonts w:ascii="Times New Roman" w:hAnsi="Times New Roman"/>
          <w:sz w:val="20"/>
        </w:rPr>
        <w:t>”), all issued or to be issued pursuant to the indenture (the “</w:t>
      </w:r>
      <w:r>
        <w:rPr>
          <w:rFonts w:ascii="Times New Roman" w:hAnsi="Times New Roman"/>
          <w:b/>
          <w:sz w:val="20"/>
        </w:rPr>
        <w:t>Base Indenture</w:t>
      </w:r>
      <w:r>
        <w:rPr>
          <w:rFonts w:ascii="Times New Roman" w:hAnsi="Times New Roman"/>
          <w:sz w:val="20"/>
        </w:rPr>
        <w:t>”), dated as of October 9, 2026, and the first supplemental indenture (as the same may be amended from time to time, the “</w:t>
      </w:r>
      <w:r>
        <w:rPr>
          <w:rFonts w:ascii="Times New Roman" w:hAnsi="Times New Roman"/>
          <w:b/>
          <w:sz w:val="20"/>
        </w:rPr>
        <w:t>Supplemental Indenture</w:t>
      </w:r>
      <w:r>
        <w:rPr>
          <w:rFonts w:ascii="Times New Roman" w:hAnsi="Times New Roman"/>
          <w:sz w:val="20"/>
        </w:rPr>
        <w:t>,” and the Base Indenture, as amended by the Supplemental Indenture, and as the same may be further amended or supplemented from time to time with respect to the Notes, the “</w:t>
      </w:r>
      <w:r>
        <w:rPr>
          <w:rFonts w:ascii="Times New Roman" w:hAnsi="Times New Roman"/>
          <w:b/>
          <w:sz w:val="20"/>
        </w:rPr>
        <w:t>Indenture</w:t>
      </w:r>
      <w:r>
        <w:rPr>
          <w:rFonts w:ascii="Times New Roman" w:hAnsi="Times New Roman"/>
          <w:sz w:val="20"/>
        </w:rPr>
        <w:t xml:space="preserve">”), dated as of October 9, 2026, each between the Company and U.S. Bank Trust Company, National Association, as trustee. Capitalized terms used in this Note without definition have the respective meanings ascribed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Interest</w:t>
      </w:r>
      <w:r>
        <w:rPr>
          <w:rFonts w:ascii="Times New Roman" w:hAnsi="Times New Roman"/>
          <w:sz w:val="20"/>
        </w:rPr>
        <w:t>. This Note will accrue interest at a rate and in the manner set forth in Section 2.05 of the Supplemental Indenture. Stated Interest on this Note will begin to accrue from, and including, [</w:t>
      </w:r>
      <w:r>
        <w:rPr>
          <w:rFonts w:ascii="Times New Roman" w:hAnsi="Times New Roman"/>
          <w:i/>
          <w:sz w:val="20"/>
        </w:rPr>
        <w:t>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Maturity</w:t>
      </w:r>
      <w:r>
        <w:rPr>
          <w:rFonts w:ascii="Times New Roman" w:hAnsi="Times New Roman"/>
          <w:sz w:val="20"/>
        </w:rPr>
        <w:t xml:space="preserve">. This Note will mature on October 15, 2032, unless earlier repurchased, redeemed or Converted.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Method of Payment</w:t>
      </w:r>
      <w:r>
        <w:rPr>
          <w:rFonts w:ascii="Times New Roman" w:hAnsi="Times New Roman"/>
          <w:sz w:val="20"/>
        </w:rPr>
        <w:t xml:space="preserve">. Cash amounts due on this Note will be paid in the manner set forth in Section 2.04 of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Persons Deemed Owners</w:t>
      </w:r>
      <w:r>
        <w:rPr>
          <w:rFonts w:ascii="Times New Roman" w:hAnsi="Times New Roman"/>
          <w:sz w:val="20"/>
        </w:rPr>
        <w:t xml:space="preserve">. The Holder of this Note will be treated as the owner of this Note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sz w:val="20"/>
        </w:rPr>
        <w:t>Denominations; Transfers and Exchanges</w:t>
      </w:r>
      <w:r>
        <w:rPr>
          <w:rFonts w:ascii="Times New Roman" w:hAnsi="Times New Roman"/>
          <w:sz w:val="20"/>
        </w:rPr>
        <w:t xml:space="preserve">. All Notes will be in registered form, without coupons, in principal amounts equal to any Authorized Denominations. Subject to the terms of the Indenture, the Holder of this Note may transfer or exchange this Note by presenting it to the Registrar and delivering any required documentation or other materials.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b/>
          <w:sz w:val="20"/>
        </w:rPr>
        <w:t>Right of Holders to Require the Company to Repurchase Notes Upon a Fundamental Change</w:t>
      </w:r>
      <w:r>
        <w:rPr>
          <w:rFonts w:ascii="Times New Roman" w:hAnsi="Times New Roman"/>
          <w:sz w:val="20"/>
        </w:rPr>
        <w:t xml:space="preserve">. If a Fundamental Change (other than an Exempted Fundamental Change) occurs prior to the Maturity Date, then each Holder will have the right to require the Company to repurchase such Holder’s Notes (or any portion thereof in an Authorized Denomination) for cash in the manner, and subject to the terms, set forth in Section 4.02 of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rPr>
        <w:t>Right of the Company to Redeem the Notes</w:t>
      </w:r>
      <w:r>
        <w:rPr>
          <w:rFonts w:ascii="Times New Roman" w:hAnsi="Times New Roman"/>
          <w:sz w:val="20"/>
        </w:rPr>
        <w:t xml:space="preserve">. The Company will have the right to redeem the Notes for cash in the manner, and subject to the terms, set forth in Section 4.03 of the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b/>
          <w:sz w:val="20"/>
        </w:rPr>
        <w:t>Conversion</w:t>
      </w:r>
      <w:r>
        <w:rPr>
          <w:rFonts w:ascii="Times New Roman" w:hAnsi="Times New Roman"/>
          <w:sz w:val="20"/>
        </w:rPr>
        <w:t xml:space="preserve">. The Holder of this Note may Convert this Note into Conversion Consideration in the manner, and subject to the terms, set forth in Article 5 of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b/>
          <w:sz w:val="20"/>
        </w:rPr>
        <w:t>When the Company May Merge, Etc</w:t>
      </w:r>
      <w:r>
        <w:rPr>
          <w:rFonts w:ascii="Times New Roman" w:hAnsi="Times New Roman"/>
          <w:sz w:val="20"/>
        </w:rPr>
        <w:t xml:space="preserve">. Article 6 of the Supplemental Indenture places limited restrictions on the Company’s ability to be a party to a Business Combination Event.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rPr>
        <w:t>Defaults and Remedies</w:t>
      </w:r>
      <w:r>
        <w:rPr>
          <w:rFonts w:ascii="Times New Roman" w:hAnsi="Times New Roman"/>
          <w:sz w:val="20"/>
        </w:rPr>
        <w:t xml:space="preserve">. If an Event of Default occurs, then the principal amount of, and all accrued and unpaid interest on, all of the Notes then outstanding may (and, in certain circumstances, will automatically) become due and payable in the manner, and subject to the terms, set forth in Article 7 of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Amendments, Supplements and Waivers</w:t>
      </w:r>
      <w:r>
        <w:rPr>
          <w:rFonts w:ascii="Times New Roman" w:hAnsi="Times New Roman"/>
          <w:sz w:val="20"/>
        </w:rPr>
        <w:t xml:space="preserve">. The Company and the Trustee may amend or supplement the Indenture or the Notes or waive compliance with any provision of the Indenture or the Notes in the manner, and subject to the terms, set forth in Section 7.05 and Article 8 of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No Personal Liability of Directors, Officers, Employees and Stockholders</w:t>
      </w:r>
      <w:r>
        <w:rPr>
          <w:rFonts w:ascii="Times New Roman" w:hAnsi="Times New Roman"/>
          <w:sz w:val="20"/>
        </w:rPr>
        <w:t xml:space="preserve">. No past, present or future director, officer, employee, 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rPr>
        <w:t>Authentication</w:t>
      </w:r>
      <w:r>
        <w:rPr>
          <w:rFonts w:ascii="Times New Roman" w:hAnsi="Times New Roman"/>
          <w:sz w:val="20"/>
        </w:rPr>
        <w:t xml:space="preserve">. No Note will be valid until it is authenticated by the Trustee. A Note will be deemed to be duly authenticated only when an authorized signatory of the Trustee (or a duly appointed authenticating agent) manually signs the certificate of authentication of such Note.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rPr>
        <w:t>Abbreviations</w:t>
      </w:r>
      <w:r>
        <w:rPr>
          <w:rFonts w:ascii="Times New Roman" w:hAnsi="Times New Roman"/>
          <w:sz w:val="20"/>
        </w:rPr>
        <w:t xml:space="preserve">. Customary abbreviations may be used in the name of a Holder or its assignee, such as TEN COM (tenants in common), TEN ENT (tenants by the entireties), JT TEN (joint tenants with right of survivorship and not as tenants in common), CUST (custodian), and U/G/M/A (Uniform Gift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rPr>
        <w:t>Governing Law</w:t>
      </w:r>
      <w:r>
        <w:rPr>
          <w:rFonts w:ascii="Times New Roman" w:hAnsi="Times New Roman"/>
          <w:sz w:val="20"/>
        </w:rPr>
        <w:t xml:space="preserve">. THIS NOTE, AND ANY CLAIM, CONTROVERSY OR DISPUTE ARISING UNDER OR RELATED TO THIS NOTE, WILL BE GOVERNED BY AND CONSTRUED IN ACCORDANCE WITH THE LAWS OF THE STATE OF NEW YORK.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request a copy of the Indenture, which the Company will provide to any Holder at no charge, please send a written request to the following address: </w:t>
      </w:r>
    </w:p>
    <w:p>
      <w:pPr>
        <w:pStyle w:val="TextBody"/>
        <w:bidi w:val="0"/>
        <w:spacing w:before="120" w:after="0"/>
        <w:jc w:val="center"/>
        <w:rPr>
          <w:rFonts w:ascii="Times New Roman" w:hAnsi="Times New Roman"/>
          <w:sz w:val="20"/>
        </w:rPr>
      </w:pPr>
      <w:r>
        <w:rPr>
          <w:rFonts w:ascii="Times New Roman" w:hAnsi="Times New Roman"/>
          <w:sz w:val="20"/>
        </w:rPr>
        <w:t xml:space="preserve">Vaxcyte, Inc. </w:t>
      </w:r>
    </w:p>
    <w:p>
      <w:pPr>
        <w:pStyle w:val="TextBody"/>
        <w:bidi w:val="0"/>
        <w:spacing w:before="0" w:after="0"/>
        <w:jc w:val="center"/>
        <w:rPr>
          <w:rFonts w:ascii="Times New Roman" w:hAnsi="Times New Roman"/>
          <w:sz w:val="20"/>
        </w:rPr>
      </w:pPr>
      <w:r>
        <w:rPr>
          <w:rFonts w:ascii="Times New Roman" w:hAnsi="Times New Roman"/>
          <w:sz w:val="20"/>
        </w:rPr>
        <w:t xml:space="preserve">825 Industrial Road, Suite 300 </w:t>
      </w:r>
    </w:p>
    <w:p>
      <w:pPr>
        <w:pStyle w:val="TextBody"/>
        <w:bidi w:val="0"/>
        <w:spacing w:before="0" w:after="0"/>
        <w:jc w:val="center"/>
        <w:rPr>
          <w:rFonts w:ascii="Times New Roman" w:hAnsi="Times New Roman"/>
          <w:sz w:val="20"/>
        </w:rPr>
      </w:pPr>
      <w:r>
        <w:rPr>
          <w:rFonts w:ascii="Times New Roman" w:hAnsi="Times New Roman"/>
          <w:sz w:val="20"/>
        </w:rPr>
        <w:t xml:space="preserve">San Carlos, California 94070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Financial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OF EXCHANGES OF INTERESTS IN THE GLOBAL NOTE* </w:t>
      </w:r>
    </w:p>
    <w:p>
      <w:pPr>
        <w:pStyle w:val="TextBody"/>
        <w:bidi w:val="0"/>
        <w:spacing w:before="120" w:after="0"/>
        <w:jc w:val="center"/>
        <w:rPr>
          <w:rFonts w:ascii="Times New Roman" w:hAnsi="Times New Roman"/>
          <w:sz w:val="20"/>
        </w:rPr>
      </w:pPr>
      <w:r>
        <w:rPr>
          <w:rFonts w:ascii="Times New Roman" w:hAnsi="Times New Roman"/>
          <w:sz w:val="20"/>
        </w:rPr>
        <w:t xml:space="preserve">INITIAL PRINCIPAL AMOUNT OF THIS GLOBAL NOTE: $[  ]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exchanges, transfers or cancellations of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75"/>
        <w:gridCol w:w="60"/>
        <w:gridCol w:w="2478"/>
        <w:gridCol w:w="108"/>
        <w:gridCol w:w="2561"/>
        <w:gridCol w:w="121"/>
        <w:gridCol w:w="2202"/>
      </w:tblGrid>
      <w:tr>
        <w:trPr/>
        <w:tc>
          <w:tcPr>
            <w:tcW w:w="26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60" w:type="dxa"/>
            <w:tcBorders/>
            <w:vAlign w:val="bottom"/>
          </w:tcPr>
          <w:p>
            <w:pPr>
              <w:pStyle w:val="TableContents"/>
              <w:bidi w:val="0"/>
              <w:spacing w:before="0" w:after="283"/>
              <w:jc w:val="left"/>
              <w:rPr/>
            </w:pPr>
            <w:r>
              <w:rPr/>
              <w:t> </w:t>
            </w:r>
          </w:p>
        </w:tc>
        <w:tc>
          <w:tcPr>
            <w:tcW w:w="247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 Increase</w:t>
            </w:r>
          </w:p>
          <w:p>
            <w:pPr>
              <w:pStyle w:val="TableContents"/>
              <w:bidi w:val="0"/>
              <w:spacing w:before="0" w:after="0"/>
              <w:jc w:val="center"/>
              <w:rPr>
                <w:rFonts w:ascii="Times New Roman" w:hAnsi="Times New Roman"/>
                <w:b/>
                <w:sz w:val="16"/>
              </w:rPr>
            </w:pPr>
            <w:r>
              <w:rPr>
                <w:rFonts w:ascii="Times New Roman" w:hAnsi="Times New Roman"/>
                <w:b/>
                <w:sz w:val="16"/>
              </w:rPr>
              <w:t>(Decrease) in</w:t>
            </w:r>
          </w:p>
          <w:p>
            <w:pPr>
              <w:pStyle w:val="TableContents"/>
              <w:bidi w:val="0"/>
              <w:spacing w:before="0" w:after="0"/>
              <w:jc w:val="center"/>
              <w:rPr>
                <w:rFonts w:ascii="Times New Roman" w:hAnsi="Times New Roman"/>
                <w:b/>
                <w:sz w:val="16"/>
              </w:rPr>
            </w:pPr>
            <w:r>
              <w:rPr>
                <w:rFonts w:ascii="Times New Roman" w:hAnsi="Times New Roman"/>
                <w:b/>
                <w:sz w:val="16"/>
              </w:rPr>
              <w:t>Principal Amount of</w:t>
            </w:r>
          </w:p>
          <w:p>
            <w:pPr>
              <w:pStyle w:val="TableContents"/>
              <w:bidi w:val="0"/>
              <w:spacing w:before="0" w:after="20"/>
              <w:jc w:val="center"/>
              <w:rPr>
                <w:rFonts w:ascii="Times New Roman" w:hAnsi="Times New Roman"/>
                <w:b/>
                <w:sz w:val="16"/>
              </w:rPr>
            </w:pPr>
            <w:r>
              <w:rPr>
                <w:rFonts w:ascii="Times New Roman" w:hAnsi="Times New Roman"/>
                <w:b/>
                <w:sz w:val="16"/>
              </w:rPr>
              <w:t>this Global Note</w:t>
            </w:r>
          </w:p>
        </w:tc>
        <w:tc>
          <w:tcPr>
            <w:tcW w:w="108" w:type="dxa"/>
            <w:tcBorders/>
            <w:vAlign w:val="bottom"/>
          </w:tcPr>
          <w:p>
            <w:pPr>
              <w:pStyle w:val="TableContents"/>
              <w:bidi w:val="0"/>
              <w:spacing w:before="0" w:after="283"/>
              <w:jc w:val="left"/>
              <w:rPr/>
            </w:pPr>
            <w:r>
              <w:rPr/>
              <w:t> </w:t>
            </w:r>
          </w:p>
        </w:tc>
        <w:tc>
          <w:tcPr>
            <w:tcW w:w="256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Principal Amount of</w:t>
            </w:r>
          </w:p>
          <w:p>
            <w:pPr>
              <w:pStyle w:val="TableContents"/>
              <w:bidi w:val="0"/>
              <w:spacing w:before="0" w:after="0"/>
              <w:jc w:val="center"/>
              <w:rPr>
                <w:rFonts w:ascii="Times New Roman" w:hAnsi="Times New Roman"/>
                <w:b/>
                <w:sz w:val="16"/>
              </w:rPr>
            </w:pPr>
            <w:r>
              <w:rPr>
                <w:rFonts w:ascii="Times New Roman" w:hAnsi="Times New Roman"/>
                <w:b/>
                <w:sz w:val="16"/>
              </w:rPr>
              <w:t>this Global Note</w:t>
            </w:r>
          </w:p>
          <w:p>
            <w:pPr>
              <w:pStyle w:val="TableContents"/>
              <w:bidi w:val="0"/>
              <w:spacing w:before="0" w:after="0"/>
              <w:jc w:val="center"/>
              <w:rPr>
                <w:rFonts w:ascii="Times New Roman" w:hAnsi="Times New Roman"/>
                <w:b/>
                <w:sz w:val="16"/>
              </w:rPr>
            </w:pPr>
            <w:r>
              <w:rPr>
                <w:rFonts w:ascii="Times New Roman" w:hAnsi="Times New Roman"/>
                <w:b/>
                <w:sz w:val="16"/>
              </w:rPr>
              <w:t>After Such Increase</w:t>
            </w:r>
          </w:p>
          <w:p>
            <w:pPr>
              <w:pStyle w:val="TableContents"/>
              <w:bidi w:val="0"/>
              <w:spacing w:before="0" w:after="20"/>
              <w:jc w:val="center"/>
              <w:rPr>
                <w:rFonts w:ascii="Times New Roman" w:hAnsi="Times New Roman"/>
                <w:b/>
                <w:sz w:val="16"/>
              </w:rPr>
            </w:pPr>
            <w:r>
              <w:rPr>
                <w:rFonts w:ascii="Times New Roman" w:hAnsi="Times New Roman"/>
                <w:b/>
                <w:sz w:val="16"/>
              </w:rPr>
              <w:t>(Decrease)</w:t>
            </w:r>
          </w:p>
        </w:tc>
        <w:tc>
          <w:tcPr>
            <w:tcW w:w="121" w:type="dxa"/>
            <w:tcBorders/>
            <w:vAlign w:val="bottom"/>
          </w:tcPr>
          <w:p>
            <w:pPr>
              <w:pStyle w:val="TableContents"/>
              <w:bidi w:val="0"/>
              <w:spacing w:before="0" w:after="283"/>
              <w:jc w:val="left"/>
              <w:rPr/>
            </w:pPr>
            <w:r>
              <w:rPr/>
              <w:t>  </w:t>
            </w:r>
          </w:p>
        </w:tc>
        <w:tc>
          <w:tcPr>
            <w:tcW w:w="220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Signature of</w:t>
            </w:r>
          </w:p>
          <w:p>
            <w:pPr>
              <w:pStyle w:val="TableContents"/>
              <w:bidi w:val="0"/>
              <w:spacing w:before="0" w:after="0"/>
              <w:jc w:val="center"/>
              <w:rPr>
                <w:rFonts w:ascii="Times New Roman" w:hAnsi="Times New Roman"/>
                <w:b/>
                <w:sz w:val="16"/>
              </w:rPr>
            </w:pPr>
            <w:r>
              <w:rPr>
                <w:rFonts w:ascii="Times New Roman" w:hAnsi="Times New Roman"/>
                <w:b/>
                <w:sz w:val="16"/>
              </w:rPr>
              <w:t>Authorized</w:t>
            </w:r>
          </w:p>
          <w:p>
            <w:pPr>
              <w:pStyle w:val="TableContents"/>
              <w:bidi w:val="0"/>
              <w:spacing w:before="0" w:after="20"/>
              <w:jc w:val="center"/>
              <w:rPr>
                <w:rFonts w:ascii="Times New Roman" w:hAnsi="Times New Roman"/>
                <w:b/>
                <w:sz w:val="16"/>
              </w:rPr>
            </w:pPr>
            <w:r>
              <w:rPr>
                <w:rFonts w:ascii="Times New Roman" w:hAnsi="Times New Roman"/>
                <w:b/>
                <w:sz w:val="16"/>
              </w:rPr>
              <w:t>Signatory of Trustee</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18"/>
        <w:gridCol w:w="9987"/>
      </w:tblGrid>
      <w:tr>
        <w:trPr/>
        <w:tc>
          <w:tcPr>
            <w:tcW w:w="218" w:type="dxa"/>
            <w:tcBorders/>
          </w:tcPr>
          <w:p>
            <w:pPr>
              <w:pStyle w:val="TableContents"/>
              <w:bidi w:val="0"/>
              <w:spacing w:before="0" w:after="283"/>
              <w:jc w:val="left"/>
              <w:rPr/>
            </w:pPr>
            <w:r>
              <w:rPr/>
              <w:t>* </w:t>
            </w:r>
          </w:p>
        </w:tc>
        <w:tc>
          <w:tcPr>
            <w:tcW w:w="99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for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CONVERSION NOTICE </w:t>
      </w:r>
    </w:p>
    <w:p>
      <w:pPr>
        <w:pStyle w:val="TextBody"/>
        <w:bidi w:val="0"/>
        <w:spacing w:before="120" w:after="0"/>
        <w:jc w:val="center"/>
        <w:rPr>
          <w:rFonts w:ascii="Times New Roman" w:hAnsi="Times New Roman"/>
          <w:sz w:val="24"/>
        </w:rPr>
      </w:pPr>
      <w:r>
        <w:rPr>
          <w:rFonts w:ascii="Times New Roman" w:hAnsi="Times New Roman"/>
          <w:sz w:val="24"/>
        </w:rPr>
        <w:t xml:space="preserve">VAXCYTE, INC. </w:t>
      </w:r>
    </w:p>
    <w:p>
      <w:pPr>
        <w:pStyle w:val="TextBody"/>
        <w:bidi w:val="0"/>
        <w:spacing w:before="120" w:after="0"/>
        <w:jc w:val="center"/>
        <w:rPr>
          <w:rFonts w:ascii="Times New Roman" w:hAnsi="Times New Roman"/>
          <w:sz w:val="20"/>
        </w:rPr>
      </w:pPr>
      <w:r>
        <w:rPr>
          <w:rFonts w:ascii="Times New Roman" w:hAnsi="Times New Roman"/>
          <w:sz w:val="20"/>
        </w:rPr>
        <w:t xml:space="preserve">1.50% Convertible Senior Notes due 2032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by executing and delivering this Conversion Notice, the undersigned Holder of the Note identified below directs the Company to Convert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entire principal amount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aggregate principal amount 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 identified by CUSIP No. </w:t>
      </w:r>
      <w:r>
        <w:rPr>
          <w:rFonts w:ascii="Times New Roman" w:hAnsi="Times New Roman"/>
          <w:sz w:val="20"/>
          <w:u w:val="single"/>
        </w:rPr>
        <w:t>    </w:t>
      </w:r>
      <w:r>
        <w:rPr>
          <w:rFonts w:ascii="Times New Roman" w:hAnsi="Times New Roman"/>
          <w:sz w:val="20"/>
        </w:rPr>
        <w:t xml:space="preserve"> and Certificate No.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that if the Conversion Date of a Note to be Converted is after a Regular Record Date and before the next Interest Payment Date, then such Note, when surrendered for Conversion, must, in certain circumstances, be accompanied with an amount of cash equal to the interest that would have accrued on such Note to, but excluding, such Interest Payment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7"/>
        <w:gridCol w:w="102"/>
        <w:gridCol w:w="405"/>
        <w:gridCol w:w="102"/>
        <w:gridCol w:w="309"/>
        <w:gridCol w:w="102"/>
        <w:gridCol w:w="4588"/>
      </w:tblGrid>
      <w:tr>
        <w:trPr/>
        <w:tc>
          <w:tcPr>
            <w:tcW w:w="459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88" w:type="dxa"/>
            <w:tcBorders/>
            <w:vAlign w:val="center"/>
          </w:tcPr>
          <w:p>
            <w:pPr>
              <w:pStyle w:val="TableContents"/>
              <w:bidi w:val="0"/>
              <w:spacing w:before="0" w:after="283"/>
              <w:jc w:val="left"/>
              <w:rPr>
                <w:sz w:val="4"/>
                <w:szCs w:val="4"/>
              </w:rPr>
            </w:pPr>
            <w:r>
              <w:rPr>
                <w:sz w:val="4"/>
                <w:szCs w:val="4"/>
              </w:rPr>
            </w:r>
          </w:p>
        </w:tc>
      </w:tr>
      <w:tr>
        <w:trPr/>
        <w:tc>
          <w:tcPr>
            <w:tcW w:w="4597" w:type="dxa"/>
            <w:tcBorders/>
          </w:tcPr>
          <w:p>
            <w:pPr>
              <w:pStyle w:val="TableContents"/>
              <w:bidi w:val="0"/>
              <w:spacing w:before="0" w:after="283"/>
              <w:jc w:val="left"/>
              <w:rPr/>
            </w:pPr>
            <w:r>
              <w:rPr/>
              <w:t>Date: </w:t>
            </w:r>
            <w:r>
              <w:rPr>
                <w:u w:val="single"/>
              </w:rPr>
              <w:t>       </w:t>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999" w:type="dxa"/>
            <w:gridSpan w:val="3"/>
            <w:tcBorders/>
          </w:tcPr>
          <w:p>
            <w:pPr>
              <w:pStyle w:val="TableContents"/>
              <w:pBdr>
                <w:bottom w:val="single" w:sz="2" w:space="1" w:color="000000"/>
              </w:pBdr>
              <w:bidi w:val="0"/>
              <w:spacing w:before="0" w:after="20"/>
              <w:jc w:val="left"/>
              <w:rPr/>
            </w:pPr>
            <w:r>
              <w:rPr/>
              <w:t> </w:t>
            </w:r>
          </w:p>
        </w:tc>
      </w:tr>
      <w:tr>
        <w:trPr/>
        <w:tc>
          <w:tcPr>
            <w:tcW w:w="45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999" w:type="dxa"/>
            <w:gridSpan w:val="3"/>
            <w:tcBorders/>
          </w:tcPr>
          <w:p>
            <w:pPr>
              <w:pStyle w:val="TableContents"/>
              <w:bidi w:val="0"/>
              <w:spacing w:before="0" w:after="283"/>
              <w:jc w:val="center"/>
              <w:rPr/>
            </w:pPr>
            <w:r>
              <w:rPr/>
              <w:t>(Legal Name of Holder)</w:t>
            </w:r>
          </w:p>
        </w:tc>
      </w:tr>
      <w:tr>
        <w:trPr>
          <w:trHeight w:val="240" w:hRule="atLeast"/>
        </w:trPr>
        <w:tc>
          <w:tcPr>
            <w:tcW w:w="4597"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11" w:type="dxa"/>
            <w:gridSpan w:val="2"/>
            <w:tcBorders/>
            <w:vAlign w:val="center"/>
          </w:tcPr>
          <w:p>
            <w:pPr>
              <w:pStyle w:val="TableContents"/>
              <w:bidi w:val="0"/>
              <w:spacing w:before="0" w:after="283"/>
              <w:jc w:val="left"/>
              <w:rPr>
                <w:sz w:val="4"/>
                <w:szCs w:val="4"/>
              </w:rPr>
            </w:pPr>
            <w:r>
              <w:rPr>
                <w:sz w:val="4"/>
                <w:szCs w:val="4"/>
              </w:rPr>
            </w:r>
          </w:p>
        </w:tc>
        <w:tc>
          <w:tcPr>
            <w:tcW w:w="4690" w:type="dxa"/>
            <w:gridSpan w:val="2"/>
            <w:tcBorders/>
            <w:vAlign w:val="center"/>
          </w:tcPr>
          <w:p>
            <w:pPr>
              <w:pStyle w:val="TableContents"/>
              <w:bidi w:val="0"/>
              <w:spacing w:before="0" w:after="283"/>
              <w:jc w:val="left"/>
              <w:rPr>
                <w:sz w:val="4"/>
                <w:szCs w:val="4"/>
              </w:rPr>
            </w:pPr>
            <w:r>
              <w:rPr>
                <w:sz w:val="4"/>
                <w:szCs w:val="4"/>
              </w:rPr>
            </w:r>
          </w:p>
        </w:tc>
      </w:tr>
      <w:tr>
        <w:trPr/>
        <w:tc>
          <w:tcPr>
            <w:tcW w:w="45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588" w:type="dxa"/>
            <w:tcBorders>
              <w:bottom w:val="single" w:sz="2" w:space="0" w:color="000000"/>
            </w:tcBorders>
            <w:tcMar>
              <w:bottom w:w="28" w:type="dxa"/>
            </w:tcMar>
          </w:tcPr>
          <w:p>
            <w:pPr>
              <w:pStyle w:val="TableContents"/>
              <w:bidi w:val="0"/>
              <w:spacing w:before="0" w:after="283"/>
              <w:jc w:val="left"/>
              <w:rPr/>
            </w:pPr>
            <w:r>
              <w:rPr/>
              <w:t> </w:t>
            </w:r>
          </w:p>
        </w:tc>
      </w:tr>
      <w:tr>
        <w:trPr/>
        <w:tc>
          <w:tcPr>
            <w:tcW w:w="45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88" w:type="dxa"/>
            <w:tcBorders/>
          </w:tcPr>
          <w:p>
            <w:pPr>
              <w:pStyle w:val="TableContents"/>
              <w:bidi w:val="0"/>
              <w:spacing w:before="0" w:after="283"/>
              <w:jc w:val="left"/>
              <w:rPr/>
            </w:pPr>
            <w:r>
              <w:rPr/>
              <w:t>Name:</w:t>
            </w:r>
          </w:p>
        </w:tc>
      </w:tr>
      <w:tr>
        <w:trPr/>
        <w:tc>
          <w:tcPr>
            <w:tcW w:w="45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88" w:type="dxa"/>
            <w:tcBorders/>
            <w:vAlign w:val="bottom"/>
          </w:tcPr>
          <w:p>
            <w:pPr>
              <w:pStyle w:val="TableContents"/>
              <w:bidi w:val="0"/>
              <w:spacing w:before="0" w:after="283"/>
              <w:jc w:val="left"/>
              <w:rPr/>
            </w:pPr>
            <w:r>
              <w:rPr/>
              <w:t>Title:</w:t>
            </w:r>
          </w:p>
        </w:tc>
      </w:tr>
      <w:tr>
        <w:trPr>
          <w:trHeight w:val="240" w:hRule="atLeast"/>
        </w:trPr>
        <w:tc>
          <w:tcPr>
            <w:tcW w:w="4597"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5101" w:type="dxa"/>
            <w:gridSpan w:val="4"/>
            <w:tcBorders/>
            <w:vAlign w:val="center"/>
          </w:tcPr>
          <w:p>
            <w:pPr>
              <w:pStyle w:val="TableContents"/>
              <w:bidi w:val="0"/>
              <w:spacing w:before="0" w:after="283"/>
              <w:jc w:val="left"/>
              <w:rPr>
                <w:sz w:val="4"/>
                <w:szCs w:val="4"/>
              </w:rPr>
            </w:pPr>
            <w:r>
              <w:rPr>
                <w:sz w:val="4"/>
                <w:szCs w:val="4"/>
              </w:rPr>
            </w:r>
          </w:p>
        </w:tc>
      </w:tr>
      <w:tr>
        <w:trPr/>
        <w:tc>
          <w:tcPr>
            <w:tcW w:w="45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999" w:type="dxa"/>
            <w:gridSpan w:val="3"/>
            <w:tcBorders/>
          </w:tcPr>
          <w:p>
            <w:pPr>
              <w:pStyle w:val="TableContents"/>
              <w:bidi w:val="0"/>
              <w:spacing w:before="0" w:after="283"/>
              <w:jc w:val="left"/>
              <w:rPr/>
            </w:pPr>
            <w:r>
              <w:rPr/>
              <w:t>Signature Guaranteed:</w:t>
            </w:r>
          </w:p>
        </w:tc>
      </w:tr>
      <w:tr>
        <w:trPr>
          <w:trHeight w:val="240" w:hRule="atLeast"/>
        </w:trPr>
        <w:tc>
          <w:tcPr>
            <w:tcW w:w="4597"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5101" w:type="dxa"/>
            <w:gridSpan w:val="4"/>
            <w:tcBorders/>
            <w:vAlign w:val="center"/>
          </w:tcPr>
          <w:p>
            <w:pPr>
              <w:pStyle w:val="TableContents"/>
              <w:bidi w:val="0"/>
              <w:spacing w:before="0" w:after="283"/>
              <w:jc w:val="left"/>
              <w:rPr>
                <w:sz w:val="4"/>
                <w:szCs w:val="4"/>
              </w:rPr>
            </w:pPr>
            <w:r>
              <w:rPr>
                <w:sz w:val="4"/>
                <w:szCs w:val="4"/>
              </w:rPr>
            </w:r>
          </w:p>
        </w:tc>
      </w:tr>
      <w:tr>
        <w:trPr/>
        <w:tc>
          <w:tcPr>
            <w:tcW w:w="45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999" w:type="dxa"/>
            <w:gridSpan w:val="3"/>
            <w:tcBorders/>
          </w:tcPr>
          <w:p>
            <w:pPr>
              <w:pStyle w:val="TableContents"/>
              <w:pBdr>
                <w:bottom w:val="single" w:sz="2" w:space="1" w:color="000000"/>
              </w:pBdr>
              <w:bidi w:val="0"/>
              <w:spacing w:before="0" w:after="20"/>
              <w:jc w:val="left"/>
              <w:rPr/>
            </w:pPr>
            <w:r>
              <w:rPr/>
              <w:t> </w:t>
            </w:r>
          </w:p>
        </w:tc>
      </w:tr>
      <w:tr>
        <w:trPr/>
        <w:tc>
          <w:tcPr>
            <w:tcW w:w="45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999" w:type="dxa"/>
            <w:gridSpan w:val="3"/>
            <w:tcBorders/>
          </w:tcPr>
          <w:p>
            <w:pPr>
              <w:pStyle w:val="TableContents"/>
              <w:bidi w:val="0"/>
              <w:spacing w:before="0" w:after="283"/>
              <w:jc w:val="center"/>
              <w:rPr/>
            </w:pPr>
            <w:r>
              <w:rPr/>
              <w:t>Participant in a Recognized Signature</w:t>
            </w:r>
          </w:p>
        </w:tc>
      </w:tr>
      <w:tr>
        <w:trPr/>
        <w:tc>
          <w:tcPr>
            <w:tcW w:w="45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999" w:type="dxa"/>
            <w:gridSpan w:val="3"/>
            <w:tcBorders/>
          </w:tcPr>
          <w:p>
            <w:pPr>
              <w:pStyle w:val="TableContents"/>
              <w:bidi w:val="0"/>
              <w:spacing w:before="0" w:after="283"/>
              <w:jc w:val="center"/>
              <w:rPr/>
            </w:pPr>
            <w:r>
              <w:rPr/>
              <w:t>Guarantee Medallion Program</w:t>
            </w:r>
          </w:p>
        </w:tc>
      </w:tr>
      <w:tr>
        <w:trPr>
          <w:trHeight w:val="240" w:hRule="atLeast"/>
        </w:trPr>
        <w:tc>
          <w:tcPr>
            <w:tcW w:w="4597"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11" w:type="dxa"/>
            <w:gridSpan w:val="2"/>
            <w:tcBorders/>
            <w:vAlign w:val="center"/>
          </w:tcPr>
          <w:p>
            <w:pPr>
              <w:pStyle w:val="TableContents"/>
              <w:bidi w:val="0"/>
              <w:spacing w:before="0" w:after="283"/>
              <w:jc w:val="left"/>
              <w:rPr>
                <w:sz w:val="4"/>
                <w:szCs w:val="4"/>
              </w:rPr>
            </w:pPr>
            <w:r>
              <w:rPr>
                <w:sz w:val="4"/>
                <w:szCs w:val="4"/>
              </w:rPr>
            </w:r>
          </w:p>
        </w:tc>
        <w:tc>
          <w:tcPr>
            <w:tcW w:w="4690" w:type="dxa"/>
            <w:gridSpan w:val="2"/>
            <w:tcBorders/>
            <w:vAlign w:val="center"/>
          </w:tcPr>
          <w:p>
            <w:pPr>
              <w:pStyle w:val="TableContents"/>
              <w:bidi w:val="0"/>
              <w:spacing w:before="0" w:after="283"/>
              <w:jc w:val="left"/>
              <w:rPr>
                <w:sz w:val="4"/>
                <w:szCs w:val="4"/>
              </w:rPr>
            </w:pPr>
            <w:r>
              <w:rPr>
                <w:sz w:val="4"/>
                <w:szCs w:val="4"/>
              </w:rPr>
            </w:r>
          </w:p>
        </w:tc>
      </w:tr>
      <w:tr>
        <w:trPr/>
        <w:tc>
          <w:tcPr>
            <w:tcW w:w="45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58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5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88" w:type="dxa"/>
            <w:tcBorders/>
            <w:vAlign w:val="bottom"/>
          </w:tcPr>
          <w:p>
            <w:pPr>
              <w:pStyle w:val="TableContents"/>
              <w:bidi w:val="0"/>
              <w:spacing w:before="0" w:after="283"/>
              <w:jc w:val="center"/>
              <w:rPr/>
            </w:pPr>
            <w:r>
              <w:rPr/>
              <w:t>Authorized Signatory</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Must be an Authorized Denomination.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FUNDAMENTAL CHANGE REPURCHASE NOTICE </w:t>
      </w:r>
    </w:p>
    <w:p>
      <w:pPr>
        <w:pStyle w:val="TextBody"/>
        <w:bidi w:val="0"/>
        <w:spacing w:before="120" w:after="0"/>
        <w:jc w:val="center"/>
        <w:rPr>
          <w:rFonts w:ascii="Times New Roman" w:hAnsi="Times New Roman"/>
          <w:sz w:val="20"/>
        </w:rPr>
      </w:pPr>
      <w:r>
        <w:rPr>
          <w:rFonts w:ascii="Times New Roman" w:hAnsi="Times New Roman"/>
          <w:sz w:val="20"/>
        </w:rPr>
        <w:t xml:space="preserve">VAXCYTE, INC. </w:t>
      </w:r>
    </w:p>
    <w:p>
      <w:pPr>
        <w:pStyle w:val="TextBody"/>
        <w:bidi w:val="0"/>
        <w:spacing w:before="120" w:after="0"/>
        <w:jc w:val="center"/>
        <w:rPr>
          <w:rFonts w:ascii="Times New Roman" w:hAnsi="Times New Roman"/>
          <w:sz w:val="20"/>
        </w:rPr>
      </w:pPr>
      <w:r>
        <w:rPr>
          <w:rFonts w:ascii="Times New Roman" w:hAnsi="Times New Roman"/>
          <w:sz w:val="20"/>
        </w:rPr>
        <w:t xml:space="preserve">1.50% Convertible Senior Notes due 2032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by executing and delivering this Fundamental Change Repurchase Notice, the undersigned Holder of the Note identified below is exercising its Fundamental Change Repurchase Right with respect to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entire principal amount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aggregate principal amount 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 identified by CUSIP No. </w:t>
      </w:r>
      <w:r>
        <w:rPr>
          <w:rFonts w:ascii="Times New Roman" w:hAnsi="Times New Roman"/>
          <w:sz w:val="20"/>
          <w:u w:val="single"/>
        </w:rPr>
        <w:t>    </w:t>
      </w:r>
      <w:r>
        <w:rPr>
          <w:rFonts w:ascii="Times New Roman" w:hAnsi="Times New Roman"/>
          <w:sz w:val="20"/>
        </w:rPr>
        <w:t xml:space="preserve"> and Certificate No.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that this Note, duly endorsed for transfer, must be delivered to the Paying Agent before the Fundamental Change Repurchase Price will be 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3"/>
        <w:gridCol w:w="101"/>
        <w:gridCol w:w="409"/>
        <w:gridCol w:w="101"/>
        <w:gridCol w:w="306"/>
        <w:gridCol w:w="101"/>
        <w:gridCol w:w="4594"/>
      </w:tblGrid>
      <w:tr>
        <w:trPr/>
        <w:tc>
          <w:tcPr>
            <w:tcW w:w="459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4" w:type="dxa"/>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283"/>
              <w:jc w:val="left"/>
              <w:rPr/>
            </w:pPr>
            <w:r>
              <w:rPr/>
              <w:t xml:space="preserve">Date: </w:t>
            </w:r>
            <w:r>
              <w:rPr>
                <w:u w:val="single"/>
              </w:rPr>
              <w:t>      </w:t>
            </w:r>
          </w:p>
        </w:tc>
        <w:tc>
          <w:tcPr>
            <w:tcW w:w="101"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tcPr>
          <w:p>
            <w:pPr>
              <w:pStyle w:val="TableContents"/>
              <w:bidi w:val="0"/>
              <w:spacing w:before="0" w:after="283"/>
              <w:jc w:val="center"/>
              <w:rPr/>
            </w:pPr>
            <w:r>
              <w:rPr/>
              <w:t>(Legal Name of Holder)</w:t>
            </w:r>
          </w:p>
        </w:tc>
      </w:tr>
      <w:tr>
        <w:trPr>
          <w:trHeight w:val="240" w:hRule="atLeast"/>
        </w:trPr>
        <w:tc>
          <w:tcPr>
            <w:tcW w:w="4593"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07" w:type="dxa"/>
            <w:gridSpan w:val="2"/>
            <w:tcBorders/>
            <w:vAlign w:val="center"/>
          </w:tcPr>
          <w:p>
            <w:pPr>
              <w:pStyle w:val="TableContents"/>
              <w:bidi w:val="0"/>
              <w:spacing w:before="0" w:after="283"/>
              <w:jc w:val="left"/>
              <w:rPr>
                <w:sz w:val="4"/>
                <w:szCs w:val="4"/>
              </w:rPr>
            </w:pPr>
            <w:r>
              <w:rPr>
                <w:sz w:val="4"/>
                <w:szCs w:val="4"/>
              </w:rPr>
            </w:r>
          </w:p>
        </w:tc>
        <w:tc>
          <w:tcPr>
            <w:tcW w:w="4695" w:type="dxa"/>
            <w:gridSpan w:val="2"/>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594" w:type="dxa"/>
            <w:tcBorders>
              <w:bottom w:val="single" w:sz="2" w:space="0" w:color="000000"/>
            </w:tcBorders>
            <w:tcMar>
              <w:bottom w:w="28" w:type="dxa"/>
            </w:tcMar>
          </w:tcPr>
          <w:p>
            <w:pPr>
              <w:pStyle w:val="TableContents"/>
              <w:bidi w:val="0"/>
              <w:spacing w:before="0" w:after="283"/>
              <w:jc w:val="left"/>
              <w:rPr/>
            </w:pPr>
            <w:r>
              <w:rPr/>
              <w:t> </w:t>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4" w:type="dxa"/>
            <w:tcBorders/>
          </w:tcPr>
          <w:p>
            <w:pPr>
              <w:pStyle w:val="TableContents"/>
              <w:bidi w:val="0"/>
              <w:spacing w:before="0" w:after="283"/>
              <w:jc w:val="left"/>
              <w:rPr/>
            </w:pPr>
            <w:r>
              <w:rPr/>
              <w:t>Name:</w:t>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4" w:type="dxa"/>
            <w:tcBorders/>
            <w:vAlign w:val="bottom"/>
          </w:tcPr>
          <w:p>
            <w:pPr>
              <w:pStyle w:val="TableContents"/>
              <w:bidi w:val="0"/>
              <w:spacing w:before="0" w:after="283"/>
              <w:jc w:val="left"/>
              <w:rPr/>
            </w:pPr>
            <w:r>
              <w:rPr/>
              <w:t>Title:</w:t>
            </w:r>
          </w:p>
        </w:tc>
      </w:tr>
      <w:tr>
        <w:trPr>
          <w:trHeight w:val="240" w:hRule="atLeast"/>
        </w:trPr>
        <w:tc>
          <w:tcPr>
            <w:tcW w:w="4593"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5102" w:type="dxa"/>
            <w:gridSpan w:val="4"/>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tcPr>
          <w:p>
            <w:pPr>
              <w:pStyle w:val="TableContents"/>
              <w:bidi w:val="0"/>
              <w:spacing w:before="0" w:after="283"/>
              <w:jc w:val="left"/>
              <w:rPr/>
            </w:pPr>
            <w:r>
              <w:rPr/>
              <w:t>Signature Guaranteed:</w:t>
            </w:r>
          </w:p>
        </w:tc>
      </w:tr>
      <w:tr>
        <w:trPr>
          <w:trHeight w:val="240" w:hRule="atLeast"/>
        </w:trPr>
        <w:tc>
          <w:tcPr>
            <w:tcW w:w="4593"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5102" w:type="dxa"/>
            <w:gridSpan w:val="4"/>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tcPr>
          <w:p>
            <w:pPr>
              <w:pStyle w:val="TableContents"/>
              <w:bidi w:val="0"/>
              <w:spacing w:before="0" w:after="283"/>
              <w:jc w:val="center"/>
              <w:rPr/>
            </w:pPr>
            <w:r>
              <w:rPr/>
              <w:t>Participant in a Recognized Signature</w:t>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tcPr>
          <w:p>
            <w:pPr>
              <w:pStyle w:val="TableContents"/>
              <w:bidi w:val="0"/>
              <w:spacing w:before="0" w:after="283"/>
              <w:jc w:val="center"/>
              <w:rPr/>
            </w:pPr>
            <w:r>
              <w:rPr/>
              <w:t>Guarantee Medallion Program</w:t>
            </w:r>
          </w:p>
        </w:tc>
      </w:tr>
      <w:tr>
        <w:trPr>
          <w:trHeight w:val="240" w:hRule="atLeast"/>
        </w:trPr>
        <w:tc>
          <w:tcPr>
            <w:tcW w:w="4593"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07" w:type="dxa"/>
            <w:gridSpan w:val="2"/>
            <w:tcBorders/>
            <w:vAlign w:val="center"/>
          </w:tcPr>
          <w:p>
            <w:pPr>
              <w:pStyle w:val="TableContents"/>
              <w:bidi w:val="0"/>
              <w:spacing w:before="0" w:after="283"/>
              <w:jc w:val="left"/>
              <w:rPr>
                <w:sz w:val="4"/>
                <w:szCs w:val="4"/>
              </w:rPr>
            </w:pPr>
            <w:r>
              <w:rPr>
                <w:sz w:val="4"/>
                <w:szCs w:val="4"/>
              </w:rPr>
            </w:r>
          </w:p>
        </w:tc>
        <w:tc>
          <w:tcPr>
            <w:tcW w:w="4695" w:type="dxa"/>
            <w:gridSpan w:val="2"/>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59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4" w:type="dxa"/>
            <w:tcBorders/>
            <w:vAlign w:val="bottom"/>
          </w:tcPr>
          <w:p>
            <w:pPr>
              <w:pStyle w:val="TableContents"/>
              <w:bidi w:val="0"/>
              <w:spacing w:before="0" w:after="283"/>
              <w:jc w:val="center"/>
              <w:rPr/>
            </w:pPr>
            <w:r>
              <w:rPr/>
              <w:t>Authorized Signatory</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 </w:t>
            </w:r>
          </w:p>
        </w:tc>
        <w:tc>
          <w:tcPr>
            <w:tcW w:w="10002" w:type="dxa"/>
            <w:tcBorders/>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Must be an Authorized Denomination.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120" w:after="0"/>
        <w:jc w:val="center"/>
        <w:rPr>
          <w:rFonts w:ascii="Times New Roman" w:hAnsi="Times New Roman"/>
          <w:sz w:val="20"/>
        </w:rPr>
      </w:pPr>
      <w:r>
        <w:rPr>
          <w:rFonts w:ascii="Times New Roman" w:hAnsi="Times New Roman"/>
          <w:sz w:val="20"/>
        </w:rPr>
        <w:t xml:space="preserve">VAXCYTE, INC. </w:t>
      </w:r>
    </w:p>
    <w:p>
      <w:pPr>
        <w:pStyle w:val="TextBody"/>
        <w:bidi w:val="0"/>
        <w:spacing w:before="120" w:after="0"/>
        <w:jc w:val="center"/>
        <w:rPr>
          <w:rFonts w:ascii="Times New Roman" w:hAnsi="Times New Roman"/>
          <w:sz w:val="20"/>
        </w:rPr>
      </w:pPr>
      <w:r>
        <w:rPr>
          <w:rFonts w:ascii="Times New Roman" w:hAnsi="Times New Roman"/>
          <w:sz w:val="20"/>
        </w:rPr>
        <w:t xml:space="preserve">1.50% Convertible Senior Notes due 2032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the undersigned Holder of the Note identified below assigns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entire principal amount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 aggregate principal amount 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 identified by CUSIP No. </w:t>
      </w:r>
      <w:r>
        <w:rPr>
          <w:rFonts w:ascii="Times New Roman" w:hAnsi="Times New Roman"/>
          <w:sz w:val="20"/>
          <w:u w:val="single"/>
        </w:rPr>
        <w:t>     </w:t>
      </w:r>
      <w:r>
        <w:rPr>
          <w:rFonts w:ascii="Times New Roman" w:hAnsi="Times New Roman"/>
          <w:sz w:val="20"/>
        </w:rPr>
        <w:t xml:space="preserve"> and Certificate No. </w:t>
      </w:r>
      <w:r>
        <w:rPr>
          <w:rFonts w:ascii="Times New Roman" w:hAnsi="Times New Roman"/>
          <w:sz w:val="20"/>
          <w:u w:val="single"/>
        </w:rPr>
        <w:t>     </w:t>
      </w:r>
      <w:r>
        <w:rPr>
          <w:rFonts w:ascii="Times New Roman" w:hAnsi="Times New Roman"/>
          <w:sz w:val="20"/>
        </w:rPr>
        <w:t xml:space="preserve">, and all rights thereunder,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07"/>
        <w:gridCol w:w="124"/>
        <w:gridCol w:w="6174"/>
      </w:tblGrid>
      <w:tr>
        <w:trPr/>
        <w:tc>
          <w:tcPr>
            <w:tcW w:w="390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174" w:type="dxa"/>
            <w:tcBorders/>
            <w:vAlign w:val="center"/>
          </w:tcPr>
          <w:p>
            <w:pPr>
              <w:pStyle w:val="TableContents"/>
              <w:bidi w:val="0"/>
              <w:spacing w:before="0" w:after="283"/>
              <w:jc w:val="left"/>
              <w:rPr>
                <w:sz w:val="4"/>
                <w:szCs w:val="4"/>
              </w:rPr>
            </w:pPr>
            <w:r>
              <w:rPr>
                <w:sz w:val="4"/>
                <w:szCs w:val="4"/>
              </w:rPr>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24" w:type="dxa"/>
            <w:tcBorders>
              <w:bottom w:val="single" w:sz="2" w:space="0" w:color="000000"/>
            </w:tcBorders>
            <w:tcMar>
              <w:bottom w:w="28" w:type="dxa"/>
            </w:tcMar>
            <w:vAlign w:val="bottom"/>
          </w:tcPr>
          <w:p>
            <w:pPr>
              <w:pStyle w:val="TableContents"/>
              <w:bidi w:val="0"/>
              <w:spacing w:before="0" w:after="283"/>
              <w:jc w:val="left"/>
              <w:rPr/>
            </w:pPr>
            <w:r>
              <w:rPr/>
              <w:t>  </w:t>
            </w:r>
          </w:p>
        </w:tc>
        <w:tc>
          <w:tcPr>
            <w:tcW w:w="617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3907" w:type="dxa"/>
            <w:tcBorders/>
            <w:vAlign w:val="center"/>
          </w:tcPr>
          <w:p>
            <w:pPr>
              <w:pStyle w:val="TableContents"/>
              <w:bidi w:val="0"/>
              <w:spacing w:before="0" w:after="283"/>
              <w:jc w:val="left"/>
              <w:rPr>
                <w:sz w:val="4"/>
                <w:szCs w:val="4"/>
              </w:rPr>
            </w:pPr>
            <w:r>
              <w:rPr>
                <w:sz w:val="4"/>
                <w:szCs w:val="4"/>
              </w:rPr>
            </w:r>
          </w:p>
        </w:tc>
        <w:tc>
          <w:tcPr>
            <w:tcW w:w="6298" w:type="dxa"/>
            <w:gridSpan w:val="2"/>
            <w:tcBorders/>
            <w:vAlign w:val="center"/>
          </w:tcPr>
          <w:p>
            <w:pPr>
              <w:pStyle w:val="TableContents"/>
              <w:bidi w:val="0"/>
              <w:spacing w:before="0" w:after="283"/>
              <w:jc w:val="left"/>
              <w:rPr>
                <w:sz w:val="4"/>
                <w:szCs w:val="4"/>
              </w:rPr>
            </w:pPr>
            <w:r>
              <w:rPr>
                <w:sz w:val="4"/>
                <w:szCs w:val="4"/>
              </w:rPr>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124" w:type="dxa"/>
            <w:tcBorders>
              <w:bottom w:val="single" w:sz="2" w:space="0" w:color="000000"/>
            </w:tcBorders>
            <w:tcMar>
              <w:bottom w:w="28" w:type="dxa"/>
            </w:tcMar>
            <w:vAlign w:val="bottom"/>
          </w:tcPr>
          <w:p>
            <w:pPr>
              <w:pStyle w:val="TableContents"/>
              <w:bidi w:val="0"/>
              <w:spacing w:before="0" w:after="283"/>
              <w:jc w:val="left"/>
              <w:rPr/>
            </w:pPr>
            <w:r>
              <w:rPr/>
              <w:t>  </w:t>
            </w:r>
          </w:p>
        </w:tc>
        <w:tc>
          <w:tcPr>
            <w:tcW w:w="617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3907" w:type="dxa"/>
            <w:tcBorders/>
            <w:vAlign w:val="center"/>
          </w:tcPr>
          <w:p>
            <w:pPr>
              <w:pStyle w:val="TableContents"/>
              <w:bidi w:val="0"/>
              <w:spacing w:before="0" w:after="283"/>
              <w:jc w:val="left"/>
              <w:rPr>
                <w:sz w:val="4"/>
                <w:szCs w:val="4"/>
              </w:rPr>
            </w:pPr>
            <w:r>
              <w:rPr>
                <w:sz w:val="4"/>
                <w:szCs w:val="4"/>
              </w:rPr>
            </w:r>
          </w:p>
        </w:tc>
        <w:tc>
          <w:tcPr>
            <w:tcW w:w="6298" w:type="dxa"/>
            <w:gridSpan w:val="2"/>
            <w:tcBorders/>
            <w:vAlign w:val="center"/>
          </w:tcPr>
          <w:p>
            <w:pPr>
              <w:pStyle w:val="TableContents"/>
              <w:bidi w:val="0"/>
              <w:spacing w:before="0" w:after="283"/>
              <w:jc w:val="left"/>
              <w:rPr>
                <w:sz w:val="4"/>
                <w:szCs w:val="4"/>
              </w:rPr>
            </w:pPr>
            <w:r>
              <w:rPr>
                <w:sz w:val="4"/>
                <w:szCs w:val="4"/>
              </w:rPr>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Social security or tax id. #:</w:t>
            </w:r>
          </w:p>
        </w:tc>
        <w:tc>
          <w:tcPr>
            <w:tcW w:w="124" w:type="dxa"/>
            <w:tcBorders>
              <w:bottom w:val="single" w:sz="2" w:space="0" w:color="000000"/>
            </w:tcBorders>
            <w:tcMar>
              <w:bottom w:w="28" w:type="dxa"/>
            </w:tcMar>
            <w:vAlign w:val="bottom"/>
          </w:tcPr>
          <w:p>
            <w:pPr>
              <w:pStyle w:val="TableContents"/>
              <w:bidi w:val="0"/>
              <w:spacing w:before="0" w:after="283"/>
              <w:jc w:val="left"/>
              <w:rPr/>
            </w:pPr>
            <w:r>
              <w:rPr/>
              <w:t>  </w:t>
            </w:r>
          </w:p>
        </w:tc>
        <w:tc>
          <w:tcPr>
            <w:tcW w:w="617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3907" w:type="dxa"/>
            <w:tcBorders/>
            <w:vAlign w:val="center"/>
          </w:tcPr>
          <w:p>
            <w:pPr>
              <w:pStyle w:val="TableContents"/>
              <w:bidi w:val="0"/>
              <w:spacing w:before="0" w:after="283"/>
              <w:jc w:val="left"/>
              <w:rPr>
                <w:sz w:val="4"/>
                <w:szCs w:val="4"/>
              </w:rPr>
            </w:pPr>
            <w:r>
              <w:rPr>
                <w:sz w:val="4"/>
                <w:szCs w:val="4"/>
              </w:rPr>
            </w:r>
          </w:p>
        </w:tc>
        <w:tc>
          <w:tcPr>
            <w:tcW w:w="6298" w:type="dxa"/>
            <w:gridSpan w:val="2"/>
            <w:tcBorders/>
            <w:vAlign w:val="center"/>
          </w:tcPr>
          <w:p>
            <w:pPr>
              <w:pStyle w:val="TableContents"/>
              <w:bidi w:val="0"/>
              <w:spacing w:before="0" w:after="283"/>
              <w:jc w:val="left"/>
              <w:rPr>
                <w:sz w:val="4"/>
                <w:szCs w:val="4"/>
              </w:rPr>
            </w:pPr>
            <w:r>
              <w:rPr>
                <w:sz w:val="4"/>
                <w:szCs w:val="4"/>
              </w:rPr>
            </w:r>
          </w:p>
        </w:tc>
      </w:tr>
      <w:tr>
        <w:trPr/>
        <w:tc>
          <w:tcPr>
            <w:tcW w:w="3907" w:type="dxa"/>
            <w:tcBorders/>
          </w:tcPr>
          <w:p>
            <w:pPr>
              <w:pStyle w:val="TableContents"/>
              <w:bidi w:val="0"/>
              <w:spacing w:before="0" w:after="283"/>
              <w:jc w:val="left"/>
              <w:rPr/>
            </w:pPr>
            <w:r>
              <w:rPr/>
              <w:t>and irrevocably appoints:</w:t>
            </w:r>
          </w:p>
        </w:tc>
        <w:tc>
          <w:tcPr>
            <w:tcW w:w="124" w:type="dxa"/>
            <w:tcBorders>
              <w:bottom w:val="single" w:sz="2" w:space="0" w:color="000000"/>
            </w:tcBorders>
            <w:tcMar>
              <w:bottom w:w="28" w:type="dxa"/>
            </w:tcMar>
            <w:vAlign w:val="bottom"/>
          </w:tcPr>
          <w:p>
            <w:pPr>
              <w:pStyle w:val="TableContents"/>
              <w:bidi w:val="0"/>
              <w:spacing w:before="0" w:after="283"/>
              <w:jc w:val="left"/>
              <w:rPr/>
            </w:pPr>
            <w:r>
              <w:rPr/>
              <w:t>  </w:t>
            </w:r>
          </w:p>
        </w:tc>
        <w:tc>
          <w:tcPr>
            <w:tcW w:w="6174"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agent to transfer the within Note on the books of the Company. The agent may substitute another to act for him/her.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3"/>
        <w:gridCol w:w="101"/>
        <w:gridCol w:w="409"/>
        <w:gridCol w:w="101"/>
        <w:gridCol w:w="306"/>
        <w:gridCol w:w="101"/>
        <w:gridCol w:w="4594"/>
      </w:tblGrid>
      <w:tr>
        <w:trPr/>
        <w:tc>
          <w:tcPr>
            <w:tcW w:w="459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4" w:type="dxa"/>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283"/>
              <w:jc w:val="left"/>
              <w:rPr/>
            </w:pPr>
            <w:r>
              <w:rPr/>
              <w:t xml:space="preserve">Date: </w:t>
            </w:r>
            <w:r>
              <w:rPr>
                <w:u w:val="single"/>
              </w:rPr>
              <w:t>      </w:t>
            </w:r>
          </w:p>
        </w:tc>
        <w:tc>
          <w:tcPr>
            <w:tcW w:w="101"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tcPr>
          <w:p>
            <w:pPr>
              <w:pStyle w:val="TableContents"/>
              <w:pBdr>
                <w:bottom w:val="single" w:sz="2" w:space="1" w:color="000000"/>
              </w:pBdr>
              <w:bidi w:val="0"/>
              <w:spacing w:before="0" w:after="20"/>
              <w:jc w:val="left"/>
              <w:rPr/>
            </w:pPr>
            <w:r>
              <w:rPr/>
              <w:t> </w:t>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tcPr>
          <w:p>
            <w:pPr>
              <w:pStyle w:val="TableContents"/>
              <w:bidi w:val="0"/>
              <w:spacing w:before="0" w:after="283"/>
              <w:jc w:val="center"/>
              <w:rPr/>
            </w:pPr>
            <w:r>
              <w:rPr/>
              <w:t>(Legal Name of Holder)</w:t>
            </w:r>
          </w:p>
        </w:tc>
      </w:tr>
      <w:tr>
        <w:trPr>
          <w:trHeight w:val="240" w:hRule="atLeast"/>
        </w:trPr>
        <w:tc>
          <w:tcPr>
            <w:tcW w:w="4593"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07" w:type="dxa"/>
            <w:gridSpan w:val="2"/>
            <w:tcBorders/>
            <w:vAlign w:val="center"/>
          </w:tcPr>
          <w:p>
            <w:pPr>
              <w:pStyle w:val="TableContents"/>
              <w:bidi w:val="0"/>
              <w:spacing w:before="0" w:after="283"/>
              <w:jc w:val="left"/>
              <w:rPr>
                <w:sz w:val="4"/>
                <w:szCs w:val="4"/>
              </w:rPr>
            </w:pPr>
            <w:r>
              <w:rPr>
                <w:sz w:val="4"/>
                <w:szCs w:val="4"/>
              </w:rPr>
            </w:r>
          </w:p>
        </w:tc>
        <w:tc>
          <w:tcPr>
            <w:tcW w:w="4695" w:type="dxa"/>
            <w:gridSpan w:val="2"/>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594" w:type="dxa"/>
            <w:tcBorders>
              <w:bottom w:val="single" w:sz="2" w:space="0" w:color="000000"/>
            </w:tcBorders>
            <w:tcMar>
              <w:bottom w:w="28" w:type="dxa"/>
            </w:tcMar>
          </w:tcPr>
          <w:p>
            <w:pPr>
              <w:pStyle w:val="TableContents"/>
              <w:bidi w:val="0"/>
              <w:spacing w:before="0" w:after="283"/>
              <w:jc w:val="left"/>
              <w:rPr/>
            </w:pPr>
            <w:r>
              <w:rPr/>
              <w:t> </w:t>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4" w:type="dxa"/>
            <w:tcBorders/>
          </w:tcPr>
          <w:p>
            <w:pPr>
              <w:pStyle w:val="TableContents"/>
              <w:bidi w:val="0"/>
              <w:spacing w:before="0" w:after="283"/>
              <w:jc w:val="left"/>
              <w:rPr/>
            </w:pPr>
            <w:r>
              <w:rPr/>
              <w:t>Name:</w:t>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4" w:type="dxa"/>
            <w:tcBorders/>
            <w:vAlign w:val="bottom"/>
          </w:tcPr>
          <w:p>
            <w:pPr>
              <w:pStyle w:val="TableContents"/>
              <w:bidi w:val="0"/>
              <w:spacing w:before="0" w:after="283"/>
              <w:jc w:val="left"/>
              <w:rPr/>
            </w:pPr>
            <w:r>
              <w:rPr/>
              <w:t>Title:</w:t>
            </w:r>
          </w:p>
        </w:tc>
      </w:tr>
      <w:tr>
        <w:trPr>
          <w:trHeight w:val="240" w:hRule="atLeast"/>
        </w:trPr>
        <w:tc>
          <w:tcPr>
            <w:tcW w:w="4593"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5102" w:type="dxa"/>
            <w:gridSpan w:val="4"/>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tcPr>
          <w:p>
            <w:pPr>
              <w:pStyle w:val="TableContents"/>
              <w:bidi w:val="0"/>
              <w:spacing w:before="0" w:after="283"/>
              <w:jc w:val="left"/>
              <w:rPr/>
            </w:pPr>
            <w:r>
              <w:rPr/>
              <w:t>Signature Guaranteed:</w:t>
            </w:r>
          </w:p>
        </w:tc>
      </w:tr>
      <w:tr>
        <w:trPr>
          <w:trHeight w:val="240" w:hRule="atLeast"/>
        </w:trPr>
        <w:tc>
          <w:tcPr>
            <w:tcW w:w="4593"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5102" w:type="dxa"/>
            <w:gridSpan w:val="4"/>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tcPr>
          <w:p>
            <w:pPr>
              <w:pStyle w:val="TableContents"/>
              <w:pBdr>
                <w:bottom w:val="single" w:sz="2" w:space="1" w:color="000000"/>
              </w:pBdr>
              <w:bidi w:val="0"/>
              <w:spacing w:before="0" w:after="20"/>
              <w:jc w:val="left"/>
              <w:rPr/>
            </w:pPr>
            <w:r>
              <w:rPr/>
              <w:t> </w:t>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Participant in a Recognized Signature</w:t>
            </w:r>
          </w:p>
          <w:p>
            <w:pPr>
              <w:pStyle w:val="TableContents"/>
              <w:bidi w:val="0"/>
              <w:spacing w:before="0" w:after="20"/>
              <w:jc w:val="center"/>
              <w:rPr>
                <w:rFonts w:ascii="Times New Roman" w:hAnsi="Times New Roman"/>
                <w:sz w:val="20"/>
              </w:rPr>
            </w:pPr>
            <w:r>
              <w:rPr>
                <w:rFonts w:ascii="Times New Roman" w:hAnsi="Times New Roman"/>
                <w:sz w:val="20"/>
              </w:rPr>
              <w:t>Guarantee Medallion Program</w:t>
            </w:r>
          </w:p>
        </w:tc>
      </w:tr>
      <w:tr>
        <w:trPr>
          <w:trHeight w:val="240" w:hRule="atLeast"/>
        </w:trPr>
        <w:tc>
          <w:tcPr>
            <w:tcW w:w="4593"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07" w:type="dxa"/>
            <w:gridSpan w:val="2"/>
            <w:tcBorders/>
            <w:vAlign w:val="center"/>
          </w:tcPr>
          <w:p>
            <w:pPr>
              <w:pStyle w:val="TableContents"/>
              <w:bidi w:val="0"/>
              <w:spacing w:before="0" w:after="283"/>
              <w:jc w:val="left"/>
              <w:rPr>
                <w:sz w:val="4"/>
                <w:szCs w:val="4"/>
              </w:rPr>
            </w:pPr>
            <w:r>
              <w:rPr>
                <w:sz w:val="4"/>
                <w:szCs w:val="4"/>
              </w:rPr>
            </w:r>
          </w:p>
        </w:tc>
        <w:tc>
          <w:tcPr>
            <w:tcW w:w="4695" w:type="dxa"/>
            <w:gridSpan w:val="2"/>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59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4" w:type="dxa"/>
            <w:tcBorders/>
            <w:vAlign w:val="bottom"/>
          </w:tcPr>
          <w:p>
            <w:pPr>
              <w:pStyle w:val="TableContents"/>
              <w:bidi w:val="0"/>
              <w:spacing w:before="0" w:after="283"/>
              <w:jc w:val="center"/>
              <w:rPr/>
            </w:pPr>
            <w:r>
              <w:rPr/>
              <w:t>Authorized Signatory</w:t>
            </w:r>
          </w:p>
        </w:tc>
      </w:tr>
    </w:tbl>
    <w:p>
      <w:pPr>
        <w:pStyle w:val="TextBody"/>
        <w:bidi w:val="0"/>
        <w:spacing w:before="0" w:after="0"/>
        <w:jc w:val="center"/>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Must be an Authorized Denomination.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B-1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FORM OF GLOBAL NOTE LEGEND </w:t>
      </w:r>
    </w:p>
    <w:p>
      <w:pPr>
        <w:pStyle w:val="TextBody"/>
        <w:bidi w:val="0"/>
        <w:spacing w:before="240" w:after="0"/>
        <w:jc w:val="left"/>
        <w:rPr>
          <w:rFonts w:ascii="Times New Roman" w:hAnsi="Times New Roman"/>
          <w:sz w:val="20"/>
        </w:rPr>
      </w:pPr>
      <w:r>
        <w:rPr>
          <w:rFonts w:ascii="Times New Roman" w:hAnsi="Times New Roman"/>
          <w:sz w:val="20"/>
        </w:rPr>
        <w:t xml:space="preserve">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SUPPLEMENTAL INDENTURE HEREINAFTER REFERRED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p>
    <w:p>
      <w:pPr>
        <w:pStyle w:val="TextBody"/>
        <w:bidi w:val="0"/>
        <w:spacing w:before="0" w:after="0"/>
        <w:jc w:val="right"/>
        <w:rPr>
          <w:rFonts w:ascii="Times New Roman" w:hAnsi="Times New Roman"/>
          <w:b/>
          <w:sz w:val="20"/>
        </w:rPr>
      </w:pPr>
      <w:bookmarkStart w:id="10" w:name="d150490dex51.htm"/>
      <w:bookmarkStart w:id="11" w:name="ksd150490dex51"/>
      <w:bookmarkEnd w:id="10"/>
      <w:bookmarkEnd w:id="11"/>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2"/>
        <w:gridCol w:w="131"/>
        <w:gridCol w:w="4761"/>
        <w:gridCol w:w="131"/>
        <w:gridCol w:w="3040"/>
      </w:tblGrid>
      <w:tr>
        <w:trPr/>
        <w:tc>
          <w:tcPr>
            <w:tcW w:w="2142"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4761"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r>
      <w:tr>
        <w:trPr/>
        <w:tc>
          <w:tcPr>
            <w:tcW w:w="2142"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0"/>
              <w:jc w:val="center"/>
              <w:rPr>
                <w:rFonts w:ascii="Times New Roman" w:hAnsi="Times New Roman"/>
                <w:sz w:val="24"/>
              </w:rPr>
            </w:pPr>
            <w:r>
              <w:rPr>
                <w:rFonts w:ascii="Times New Roman" w:hAnsi="Times New Roman"/>
                <w:sz w:val="24"/>
              </w:rPr>
              <w:t>S</w:t>
            </w:r>
            <w:r>
              <w:rPr>
                <w:rFonts w:ascii="Times New Roman" w:hAnsi="Times New Roman"/>
                <w:sz w:val="20"/>
              </w:rPr>
              <w:t>KADDEN</w:t>
            </w:r>
            <w:r>
              <w:rPr>
                <w:rFonts w:ascii="Times New Roman" w:hAnsi="Times New Roman"/>
                <w:sz w:val="24"/>
              </w:rPr>
              <w:t>, A</w:t>
            </w:r>
            <w:r>
              <w:rPr>
                <w:rFonts w:ascii="Times New Roman" w:hAnsi="Times New Roman"/>
                <w:sz w:val="20"/>
              </w:rPr>
              <w:t>RPS</w:t>
            </w:r>
            <w:r>
              <w:rPr>
                <w:rFonts w:ascii="Times New Roman" w:hAnsi="Times New Roman"/>
                <w:sz w:val="24"/>
              </w:rPr>
              <w:t>, S</w:t>
            </w:r>
            <w:r>
              <w:rPr>
                <w:rFonts w:ascii="Times New Roman" w:hAnsi="Times New Roman"/>
                <w:sz w:val="20"/>
              </w:rPr>
              <w:t>LATE</w:t>
            </w:r>
            <w:r>
              <w:rPr>
                <w:rFonts w:ascii="Times New Roman" w:hAnsi="Times New Roman"/>
                <w:sz w:val="24"/>
              </w:rPr>
              <w:t>, M</w:t>
            </w:r>
            <w:r>
              <w:rPr>
                <w:rFonts w:ascii="Times New Roman" w:hAnsi="Times New Roman"/>
                <w:sz w:val="20"/>
              </w:rPr>
              <w:t>EAGHER</w:t>
            </w:r>
            <w:r>
              <w:rPr>
                <w:rFonts w:ascii="Times New Roman" w:hAnsi="Times New Roman"/>
                <w:sz w:val="24"/>
              </w:rPr>
              <w:t> &amp; F</w:t>
            </w:r>
            <w:r>
              <w:rPr>
                <w:rFonts w:ascii="Times New Roman" w:hAnsi="Times New Roman"/>
                <w:sz w:val="20"/>
              </w:rPr>
              <w:t>LOM</w:t>
            </w:r>
            <w:r>
              <w:rPr>
                <w:rFonts w:ascii="Times New Roman" w:hAnsi="Times New Roman"/>
                <w:sz w:val="24"/>
              </w:rPr>
              <w:t xml:space="preserve"> </w:t>
            </w:r>
            <w:r>
              <w:rPr>
                <w:rFonts w:ascii="Times New Roman" w:hAnsi="Times New Roman"/>
                <w:sz w:val="20"/>
              </w:rPr>
              <w:t>LLP</w:t>
            </w:r>
          </w:p>
          <w:p>
            <w:pPr>
              <w:pStyle w:val="TableContents"/>
              <w:bidi w:val="0"/>
              <w:spacing w:before="0" w:after="0"/>
              <w:jc w:val="center"/>
              <w:rPr>
                <w:rFonts w:ascii="Times New Roman" w:hAnsi="Times New Roman"/>
                <w:sz w:val="20"/>
              </w:rPr>
            </w:pPr>
            <w:r>
              <w:rPr>
                <w:rFonts w:ascii="Times New Roman" w:hAnsi="Times New Roman"/>
                <w:sz w:val="20"/>
              </w:rPr>
              <w:t>ONE MANHATTAN WEST</w:t>
            </w:r>
          </w:p>
          <w:p>
            <w:pPr>
              <w:pStyle w:val="TableContents"/>
              <w:bidi w:val="0"/>
              <w:spacing w:before="0" w:after="20"/>
              <w:jc w:val="center"/>
              <w:rPr>
                <w:rFonts w:ascii="Times New Roman" w:hAnsi="Times New Roman"/>
                <w:sz w:val="20"/>
              </w:rPr>
            </w:pPr>
            <w:r>
              <w:rPr>
                <w:rFonts w:ascii="Times New Roman" w:hAnsi="Times New Roman"/>
                <w:sz w:val="20"/>
              </w:rPr>
              <w:t>NEW YORK, NY 10001</w:t>
            </w:r>
          </w:p>
        </w:tc>
        <w:tc>
          <w:tcPr>
            <w:tcW w:w="131" w:type="dxa"/>
            <w:tcBorders/>
            <w:vAlign w:val="bottom"/>
          </w:tcPr>
          <w:p>
            <w:pPr>
              <w:pStyle w:val="TableContents"/>
              <w:bidi w:val="0"/>
              <w:spacing w:before="0" w:after="283"/>
              <w:jc w:val="left"/>
              <w:rPr/>
            </w:pPr>
            <w:r>
              <w:rPr/>
              <w:t>  </w:t>
            </w:r>
          </w:p>
        </w:tc>
        <w:tc>
          <w:tcPr>
            <w:tcW w:w="3040" w:type="dxa"/>
            <w:tcBorders/>
          </w:tcPr>
          <w:p>
            <w:pPr>
              <w:pStyle w:val="TableContents"/>
              <w:bidi w:val="0"/>
              <w:spacing w:before="0" w:after="283"/>
              <w:jc w:val="left"/>
              <w:rPr>
                <w:sz w:val="4"/>
                <w:szCs w:val="4"/>
              </w:rPr>
            </w:pPr>
            <w:r>
              <w:rPr>
                <w:sz w:val="4"/>
                <w:szCs w:val="4"/>
              </w:rPr>
            </w:r>
          </w:p>
        </w:tc>
      </w:tr>
      <w:tr>
        <w:trPr/>
        <w:tc>
          <w:tcPr>
            <w:tcW w:w="2142"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0"/>
              <w:jc w:val="center"/>
              <w:rPr>
                <w:u w:val="single"/>
              </w:rPr>
            </w:pPr>
            <w:r>
              <w:rPr>
                <w:u w:val="single"/>
              </w:rPr>
              <w:t>    </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TEL: (212) 735-3000</w:t>
            </w:r>
          </w:p>
          <w:p>
            <w:pPr>
              <w:pStyle w:val="TableContents"/>
              <w:bidi w:val="0"/>
              <w:spacing w:before="0" w:after="0"/>
              <w:jc w:val="center"/>
              <w:rPr>
                <w:rFonts w:ascii="Times New Roman" w:hAnsi="Times New Roman"/>
                <w:sz w:val="20"/>
              </w:rPr>
            </w:pPr>
            <w:r>
              <w:rPr>
                <w:rFonts w:ascii="Times New Roman" w:hAnsi="Times New Roman"/>
                <w:sz w:val="20"/>
              </w:rPr>
              <w:t>FAX: (212) 735-2000</w:t>
            </w:r>
          </w:p>
          <w:p>
            <w:pPr>
              <w:pStyle w:val="TableContents"/>
              <w:bidi w:val="0"/>
              <w:spacing w:before="0" w:after="0"/>
              <w:jc w:val="center"/>
              <w:rPr>
                <w:rFonts w:ascii="Times New Roman" w:hAnsi="Times New Roman"/>
                <w:sz w:val="20"/>
              </w:rPr>
            </w:pPr>
            <w:r>
              <w:rPr>
                <w:rFonts w:ascii="Times New Roman" w:hAnsi="Times New Roman"/>
                <w:sz w:val="20"/>
              </w:rPr>
              <w:t>www.skadden.com</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October 9, 2026</w:t>
            </w:r>
          </w:p>
        </w:tc>
        <w:tc>
          <w:tcPr>
            <w:tcW w:w="131" w:type="dxa"/>
            <w:tcBorders/>
            <w:vAlign w:val="bottom"/>
          </w:tcPr>
          <w:p>
            <w:pPr>
              <w:pStyle w:val="TableContents"/>
              <w:bidi w:val="0"/>
              <w:spacing w:before="0" w:after="283"/>
              <w:jc w:val="left"/>
              <w:rPr/>
            </w:pPr>
            <w:r>
              <w:rPr/>
              <w:t>  </w:t>
            </w:r>
          </w:p>
        </w:tc>
        <w:tc>
          <w:tcPr>
            <w:tcW w:w="3040" w:type="dxa"/>
            <w:tcBorders/>
          </w:tcPr>
          <w:p>
            <w:pPr>
              <w:pStyle w:val="TableContents"/>
              <w:bidi w:val="0"/>
              <w:spacing w:before="0" w:after="0"/>
              <w:jc w:val="center"/>
              <w:rPr>
                <w:rFonts w:ascii="Times New Roman" w:hAnsi="Times New Roman"/>
                <w:sz w:val="20"/>
              </w:rPr>
            </w:pPr>
            <w:r>
              <w:rPr>
                <w:rFonts w:ascii="Times New Roman" w:hAnsi="Times New Roman"/>
                <w:sz w:val="20"/>
              </w:rPr>
              <w:t>FIRM/AFFILIATE</w:t>
            </w:r>
          </w:p>
          <w:p>
            <w:pPr>
              <w:pStyle w:val="TableContents"/>
              <w:bidi w:val="0"/>
              <w:spacing w:before="0" w:after="0"/>
              <w:jc w:val="center"/>
              <w:rPr>
                <w:rFonts w:ascii="Times New Roman" w:hAnsi="Times New Roman"/>
                <w:sz w:val="20"/>
              </w:rPr>
            </w:pPr>
            <w:r>
              <w:rPr>
                <w:rFonts w:ascii="Times New Roman" w:hAnsi="Times New Roman"/>
                <w:sz w:val="20"/>
              </w:rPr>
              <w:t>OFFICES</w:t>
            </w:r>
          </w:p>
          <w:p>
            <w:pPr>
              <w:pStyle w:val="TableContents"/>
              <w:bidi w:val="0"/>
              <w:spacing w:before="0" w:after="0"/>
              <w:jc w:val="center"/>
              <w:rPr>
                <w:u w:val="single"/>
              </w:rPr>
            </w:pPr>
            <w:r>
              <w:rPr>
                <w:u w:val="single"/>
              </w:rPr>
              <w:t>    </w:t>
            </w:r>
          </w:p>
          <w:p>
            <w:pPr>
              <w:pStyle w:val="TableContents"/>
              <w:bidi w:val="0"/>
              <w:spacing w:before="0" w:after="0"/>
              <w:jc w:val="left"/>
              <w:rPr/>
            </w:pPr>
            <w:r>
              <w:rPr/>
              <w:t> </w:t>
            </w:r>
          </w:p>
          <w:p>
            <w:pPr>
              <w:pStyle w:val="TableContents"/>
              <w:bidi w:val="0"/>
              <w:spacing w:before="0" w:after="0"/>
              <w:jc w:val="center"/>
              <w:rPr>
                <w:rFonts w:ascii="Times New Roman" w:hAnsi="Times New Roman"/>
                <w:sz w:val="16"/>
              </w:rPr>
            </w:pPr>
            <w:r>
              <w:rPr>
                <w:rFonts w:ascii="Times New Roman" w:hAnsi="Times New Roman"/>
                <w:sz w:val="16"/>
              </w:rPr>
              <w:t>BOSTON</w:t>
            </w:r>
          </w:p>
          <w:p>
            <w:pPr>
              <w:pStyle w:val="TableContents"/>
              <w:bidi w:val="0"/>
              <w:spacing w:before="0" w:after="0"/>
              <w:jc w:val="center"/>
              <w:rPr>
                <w:rFonts w:ascii="Times New Roman" w:hAnsi="Times New Roman"/>
                <w:sz w:val="16"/>
              </w:rPr>
            </w:pPr>
            <w:r>
              <w:rPr>
                <w:rFonts w:ascii="Times New Roman" w:hAnsi="Times New Roman"/>
                <w:sz w:val="16"/>
              </w:rPr>
              <w:t>CHICAGO</w:t>
            </w:r>
          </w:p>
          <w:p>
            <w:pPr>
              <w:pStyle w:val="TableContents"/>
              <w:bidi w:val="0"/>
              <w:spacing w:before="0" w:after="0"/>
              <w:jc w:val="center"/>
              <w:rPr>
                <w:rFonts w:ascii="Times New Roman" w:hAnsi="Times New Roman"/>
                <w:sz w:val="16"/>
              </w:rPr>
            </w:pPr>
            <w:r>
              <w:rPr>
                <w:rFonts w:ascii="Times New Roman" w:hAnsi="Times New Roman"/>
                <w:sz w:val="16"/>
              </w:rPr>
              <w:t>HOUSTON</w:t>
            </w:r>
          </w:p>
          <w:p>
            <w:pPr>
              <w:pStyle w:val="TableContents"/>
              <w:bidi w:val="0"/>
              <w:spacing w:before="0" w:after="0"/>
              <w:jc w:val="center"/>
              <w:rPr>
                <w:rFonts w:ascii="Times New Roman" w:hAnsi="Times New Roman"/>
                <w:sz w:val="16"/>
              </w:rPr>
            </w:pPr>
            <w:r>
              <w:rPr>
                <w:rFonts w:ascii="Times New Roman" w:hAnsi="Times New Roman"/>
                <w:sz w:val="16"/>
              </w:rPr>
              <w:t>LOS ANGELES</w:t>
            </w:r>
          </w:p>
          <w:p>
            <w:pPr>
              <w:pStyle w:val="TableContents"/>
              <w:bidi w:val="0"/>
              <w:spacing w:before="0" w:after="0"/>
              <w:jc w:val="center"/>
              <w:rPr>
                <w:rFonts w:ascii="Times New Roman" w:hAnsi="Times New Roman"/>
                <w:sz w:val="16"/>
              </w:rPr>
            </w:pPr>
            <w:r>
              <w:rPr>
                <w:rFonts w:ascii="Times New Roman" w:hAnsi="Times New Roman"/>
                <w:sz w:val="16"/>
              </w:rPr>
              <w:t>PALO ALTO</w:t>
            </w:r>
          </w:p>
          <w:p>
            <w:pPr>
              <w:pStyle w:val="TableContents"/>
              <w:bidi w:val="0"/>
              <w:spacing w:before="0" w:after="0"/>
              <w:jc w:val="center"/>
              <w:rPr>
                <w:rFonts w:ascii="Times New Roman" w:hAnsi="Times New Roman"/>
                <w:sz w:val="16"/>
              </w:rPr>
            </w:pPr>
            <w:r>
              <w:rPr>
                <w:rFonts w:ascii="Times New Roman" w:hAnsi="Times New Roman"/>
                <w:sz w:val="16"/>
              </w:rPr>
              <w:t>WASHINGTON, D.C.</w:t>
            </w:r>
          </w:p>
          <w:p>
            <w:pPr>
              <w:pStyle w:val="TableContents"/>
              <w:bidi w:val="0"/>
              <w:spacing w:before="0" w:after="0"/>
              <w:jc w:val="center"/>
              <w:rPr>
                <w:rFonts w:ascii="Times New Roman" w:hAnsi="Times New Roman"/>
                <w:sz w:val="16"/>
              </w:rPr>
            </w:pPr>
            <w:r>
              <w:rPr>
                <w:rFonts w:ascii="Times New Roman" w:hAnsi="Times New Roman"/>
                <w:sz w:val="16"/>
              </w:rPr>
              <w:t>WILMINGTON</w:t>
            </w:r>
          </w:p>
          <w:p>
            <w:pPr>
              <w:pStyle w:val="TableContents"/>
              <w:bidi w:val="0"/>
              <w:spacing w:before="0" w:after="0"/>
              <w:jc w:val="center"/>
              <w:rPr>
                <w:u w:val="single"/>
              </w:rPr>
            </w:pPr>
            <w:r>
              <w:rPr>
                <w:u w:val="single"/>
              </w:rPr>
              <w:t>    </w:t>
            </w:r>
          </w:p>
          <w:p>
            <w:pPr>
              <w:pStyle w:val="TableContents"/>
              <w:bidi w:val="0"/>
              <w:spacing w:before="0" w:after="0"/>
              <w:jc w:val="left"/>
              <w:rPr/>
            </w:pPr>
            <w:r>
              <w:rPr/>
              <w:t> </w:t>
            </w:r>
          </w:p>
          <w:p>
            <w:pPr>
              <w:pStyle w:val="TableContents"/>
              <w:bidi w:val="0"/>
              <w:spacing w:before="0" w:after="0"/>
              <w:jc w:val="center"/>
              <w:rPr>
                <w:rFonts w:ascii="Times New Roman" w:hAnsi="Times New Roman"/>
                <w:sz w:val="16"/>
              </w:rPr>
            </w:pPr>
            <w:r>
              <w:rPr>
                <w:rFonts w:ascii="Times New Roman" w:hAnsi="Times New Roman"/>
                <w:sz w:val="16"/>
              </w:rPr>
              <w:t>ABU DHABI</w:t>
            </w:r>
          </w:p>
          <w:p>
            <w:pPr>
              <w:pStyle w:val="TableContents"/>
              <w:bidi w:val="0"/>
              <w:spacing w:before="0" w:after="0"/>
              <w:jc w:val="center"/>
              <w:rPr>
                <w:rFonts w:ascii="Times New Roman" w:hAnsi="Times New Roman"/>
                <w:sz w:val="16"/>
              </w:rPr>
            </w:pPr>
            <w:r>
              <w:rPr>
                <w:rFonts w:ascii="Times New Roman" w:hAnsi="Times New Roman"/>
                <w:sz w:val="16"/>
              </w:rPr>
              <w:t>BEIJING</w:t>
            </w:r>
          </w:p>
          <w:p>
            <w:pPr>
              <w:pStyle w:val="TableContents"/>
              <w:bidi w:val="0"/>
              <w:spacing w:before="0" w:after="0"/>
              <w:jc w:val="center"/>
              <w:rPr>
                <w:rFonts w:ascii="Times New Roman" w:hAnsi="Times New Roman"/>
                <w:sz w:val="16"/>
              </w:rPr>
            </w:pPr>
            <w:r>
              <w:rPr>
                <w:rFonts w:ascii="Times New Roman" w:hAnsi="Times New Roman"/>
                <w:sz w:val="16"/>
              </w:rPr>
              <w:t>BRUSSELS</w:t>
            </w:r>
          </w:p>
          <w:p>
            <w:pPr>
              <w:pStyle w:val="TableContents"/>
              <w:bidi w:val="0"/>
              <w:spacing w:before="0" w:after="0"/>
              <w:jc w:val="center"/>
              <w:rPr>
                <w:rFonts w:ascii="Times New Roman" w:hAnsi="Times New Roman"/>
                <w:sz w:val="16"/>
              </w:rPr>
            </w:pPr>
            <w:r>
              <w:rPr>
                <w:rFonts w:ascii="Times New Roman" w:hAnsi="Times New Roman"/>
                <w:sz w:val="16"/>
              </w:rPr>
              <w:t>FRANKFURT</w:t>
            </w:r>
          </w:p>
          <w:p>
            <w:pPr>
              <w:pStyle w:val="TableContents"/>
              <w:bidi w:val="0"/>
              <w:spacing w:before="0" w:after="0"/>
              <w:jc w:val="center"/>
              <w:rPr>
                <w:rFonts w:ascii="Times New Roman" w:hAnsi="Times New Roman"/>
                <w:sz w:val="16"/>
              </w:rPr>
            </w:pPr>
            <w:r>
              <w:rPr>
                <w:rFonts w:ascii="Times New Roman" w:hAnsi="Times New Roman"/>
                <w:sz w:val="16"/>
              </w:rPr>
              <w:t>HONG KONG</w:t>
            </w:r>
          </w:p>
          <w:p>
            <w:pPr>
              <w:pStyle w:val="TableContents"/>
              <w:bidi w:val="0"/>
              <w:spacing w:before="0" w:after="0"/>
              <w:jc w:val="center"/>
              <w:rPr>
                <w:rFonts w:ascii="Times New Roman" w:hAnsi="Times New Roman"/>
                <w:sz w:val="16"/>
              </w:rPr>
            </w:pPr>
            <w:r>
              <w:rPr>
                <w:rFonts w:ascii="Times New Roman" w:hAnsi="Times New Roman"/>
                <w:sz w:val="16"/>
              </w:rPr>
              <w:t>LONDON</w:t>
            </w:r>
          </w:p>
          <w:p>
            <w:pPr>
              <w:pStyle w:val="TableContents"/>
              <w:bidi w:val="0"/>
              <w:spacing w:before="0" w:after="0"/>
              <w:jc w:val="center"/>
              <w:rPr>
                <w:rFonts w:ascii="Times New Roman" w:hAnsi="Times New Roman"/>
                <w:sz w:val="16"/>
              </w:rPr>
            </w:pPr>
            <w:r>
              <w:rPr>
                <w:rFonts w:ascii="Times New Roman" w:hAnsi="Times New Roman"/>
                <w:sz w:val="16"/>
              </w:rPr>
              <w:t>MUNICH</w:t>
            </w:r>
          </w:p>
          <w:p>
            <w:pPr>
              <w:pStyle w:val="TableContents"/>
              <w:bidi w:val="0"/>
              <w:spacing w:before="0" w:after="0"/>
              <w:jc w:val="center"/>
              <w:rPr>
                <w:rFonts w:ascii="Times New Roman" w:hAnsi="Times New Roman"/>
                <w:sz w:val="16"/>
              </w:rPr>
            </w:pPr>
            <w:r>
              <w:rPr>
                <w:rFonts w:ascii="Times New Roman" w:hAnsi="Times New Roman"/>
                <w:sz w:val="16"/>
              </w:rPr>
              <w:t>PARIS</w:t>
            </w:r>
          </w:p>
          <w:p>
            <w:pPr>
              <w:pStyle w:val="TableContents"/>
              <w:bidi w:val="0"/>
              <w:spacing w:before="0" w:after="0"/>
              <w:jc w:val="center"/>
              <w:rPr>
                <w:rFonts w:ascii="Times New Roman" w:hAnsi="Times New Roman"/>
                <w:sz w:val="16"/>
              </w:rPr>
            </w:pPr>
            <w:r>
              <w:rPr>
                <w:rFonts w:ascii="Times New Roman" w:hAnsi="Times New Roman"/>
                <w:sz w:val="16"/>
              </w:rPr>
              <w:t>SÃO PAULO</w:t>
            </w:r>
          </w:p>
          <w:p>
            <w:pPr>
              <w:pStyle w:val="TableContents"/>
              <w:bidi w:val="0"/>
              <w:spacing w:before="0" w:after="0"/>
              <w:jc w:val="center"/>
              <w:rPr>
                <w:rFonts w:ascii="Times New Roman" w:hAnsi="Times New Roman"/>
                <w:sz w:val="16"/>
              </w:rPr>
            </w:pPr>
            <w:r>
              <w:rPr>
                <w:rFonts w:ascii="Times New Roman" w:hAnsi="Times New Roman"/>
                <w:sz w:val="16"/>
              </w:rPr>
              <w:t>SEOUL</w:t>
            </w:r>
          </w:p>
          <w:p>
            <w:pPr>
              <w:pStyle w:val="TableContents"/>
              <w:bidi w:val="0"/>
              <w:spacing w:before="0" w:after="0"/>
              <w:jc w:val="center"/>
              <w:rPr>
                <w:rFonts w:ascii="Times New Roman" w:hAnsi="Times New Roman"/>
                <w:sz w:val="16"/>
              </w:rPr>
            </w:pPr>
            <w:r>
              <w:rPr>
                <w:rFonts w:ascii="Times New Roman" w:hAnsi="Times New Roman"/>
                <w:sz w:val="16"/>
              </w:rPr>
              <w:t>SINGAPORE</w:t>
            </w:r>
          </w:p>
          <w:p>
            <w:pPr>
              <w:pStyle w:val="TableContents"/>
              <w:bidi w:val="0"/>
              <w:spacing w:before="0" w:after="0"/>
              <w:jc w:val="center"/>
              <w:rPr>
                <w:rFonts w:ascii="Times New Roman" w:hAnsi="Times New Roman"/>
                <w:sz w:val="16"/>
              </w:rPr>
            </w:pPr>
            <w:r>
              <w:rPr>
                <w:rFonts w:ascii="Times New Roman" w:hAnsi="Times New Roman"/>
                <w:sz w:val="16"/>
              </w:rPr>
              <w:t>TOKYO</w:t>
            </w:r>
          </w:p>
          <w:p>
            <w:pPr>
              <w:pStyle w:val="TableContents"/>
              <w:bidi w:val="0"/>
              <w:spacing w:before="0" w:after="20"/>
              <w:jc w:val="center"/>
              <w:rPr>
                <w:rFonts w:ascii="Times New Roman" w:hAnsi="Times New Roman"/>
                <w:sz w:val="16"/>
              </w:rPr>
            </w:pPr>
            <w:r>
              <w:rPr>
                <w:rFonts w:ascii="Times New Roman" w:hAnsi="Times New Roman"/>
                <w:sz w:val="16"/>
              </w:rPr>
              <w:t>TORONTO</w:t>
            </w:r>
          </w:p>
        </w:tc>
      </w:tr>
    </w:tbl>
    <w:p>
      <w:pPr>
        <w:pStyle w:val="TextBody"/>
        <w:bidi w:val="0"/>
        <w:spacing w:before="240" w:after="0"/>
        <w:jc w:val="left"/>
        <w:rPr>
          <w:rFonts w:ascii="Times New Roman" w:hAnsi="Times New Roman"/>
          <w:sz w:val="20"/>
        </w:rPr>
      </w:pPr>
      <w:r>
        <w:rPr>
          <w:rFonts w:ascii="Times New Roman" w:hAnsi="Times New Roman"/>
          <w:sz w:val="20"/>
        </w:rPr>
        <w:t xml:space="preserve">Vaxcyte, Inc. </w:t>
      </w:r>
    </w:p>
    <w:p>
      <w:pPr>
        <w:pStyle w:val="TextBody"/>
        <w:bidi w:val="0"/>
        <w:spacing w:before="0" w:after="0"/>
        <w:jc w:val="left"/>
        <w:rPr>
          <w:rFonts w:ascii="Times New Roman" w:hAnsi="Times New Roman"/>
          <w:sz w:val="20"/>
        </w:rPr>
      </w:pPr>
      <w:r>
        <w:rPr>
          <w:rFonts w:ascii="Times New Roman" w:hAnsi="Times New Roman"/>
          <w:sz w:val="20"/>
        </w:rPr>
        <w:t xml:space="preserve">825 Industrial Road, Suite 300 </w:t>
      </w:r>
    </w:p>
    <w:p>
      <w:pPr>
        <w:pStyle w:val="TextBody"/>
        <w:bidi w:val="0"/>
        <w:spacing w:before="0" w:after="0"/>
        <w:jc w:val="left"/>
        <w:rPr>
          <w:rFonts w:ascii="Times New Roman" w:hAnsi="Times New Roman"/>
          <w:sz w:val="20"/>
        </w:rPr>
      </w:pPr>
      <w:r>
        <w:rPr>
          <w:rFonts w:ascii="Times New Roman" w:hAnsi="Times New Roman"/>
          <w:sz w:val="20"/>
        </w:rPr>
        <w:t xml:space="preserve">San Carlos, California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Vaxcyte, Inc. </w:t>
            </w:r>
          </w:p>
        </w:tc>
      </w:tr>
    </w:tbl>
    <w:p>
      <w:pPr>
        <w:pStyle w:val="TextBody"/>
        <w:bidi w:val="0"/>
        <w:spacing w:before="0" w:after="0"/>
        <w:jc w:val="left"/>
        <w:rPr>
          <w:rFonts w:ascii="Times New Roman" w:hAnsi="Times New Roman"/>
          <w:sz w:val="20"/>
        </w:rPr>
      </w:pPr>
      <w:r>
        <w:rPr>
          <w:rFonts w:ascii="Times New Roman" w:hAnsi="Times New Roman"/>
          <w:sz w:val="20"/>
          <w:u w:val="single"/>
        </w:rPr>
        <w:t>Registration Statement on Form S-3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special United States counsel to Vaxcyte, Inc., a Delaware corporation (the “</w:t>
      </w:r>
      <w:r>
        <w:rPr>
          <w:rFonts w:ascii="Times New Roman" w:hAnsi="Times New Roman"/>
          <w:sz w:val="20"/>
          <w:u w:val="single"/>
        </w:rPr>
        <w:t>Company</w:t>
      </w:r>
      <w:r>
        <w:rPr>
          <w:rFonts w:ascii="Times New Roman" w:hAnsi="Times New Roman"/>
          <w:sz w:val="20"/>
        </w:rPr>
        <w:t>”), in connection with the public offering by the Company of 8,584,375 shares of common stock, par value $0.001 per share (“</w:t>
      </w:r>
      <w:r>
        <w:rPr>
          <w:rFonts w:ascii="Times New Roman" w:hAnsi="Times New Roman"/>
          <w:sz w:val="20"/>
          <w:u w:val="single"/>
        </w:rPr>
        <w:t>Common Stock</w:t>
      </w:r>
      <w:r>
        <w:rPr>
          <w:rFonts w:ascii="Times New Roman" w:hAnsi="Times New Roman"/>
          <w:sz w:val="20"/>
        </w:rPr>
        <w:t>”), of the Company (including 1,171,875 shares of Common Stock subject to an option) (the “</w:t>
      </w:r>
      <w:r>
        <w:rPr>
          <w:rFonts w:ascii="Times New Roman" w:hAnsi="Times New Roman"/>
          <w:sz w:val="20"/>
          <w:u w:val="single"/>
        </w:rPr>
        <w:t>Shares</w:t>
      </w:r>
      <w:r>
        <w:rPr>
          <w:rFonts w:ascii="Times New Roman" w:hAnsi="Times New Roman"/>
          <w:sz w:val="20"/>
        </w:rPr>
        <w:t>”) and pre-funded warrants (the “</w:t>
      </w:r>
      <w:r>
        <w:rPr>
          <w:rFonts w:ascii="Times New Roman" w:hAnsi="Times New Roman"/>
          <w:sz w:val="20"/>
          <w:u w:val="single"/>
        </w:rPr>
        <w:t>Pre-Funded Warrants</w:t>
      </w:r>
      <w:r>
        <w:rPr>
          <w:rFonts w:ascii="Times New Roman" w:hAnsi="Times New Roman"/>
          <w:sz w:val="20"/>
        </w:rPr>
        <w:t>”) exercisable for the purchase of up to 400,000 shares of Common Stock (the “</w:t>
      </w:r>
      <w:r>
        <w:rPr>
          <w:rFonts w:ascii="Times New Roman" w:hAnsi="Times New Roman"/>
          <w:sz w:val="20"/>
          <w:u w:val="single"/>
        </w:rPr>
        <w:t>Warrant Shares</w:t>
      </w:r>
      <w:r>
        <w:rPr>
          <w:rFonts w:ascii="Times New Roman" w:hAnsi="Times New Roman"/>
          <w:sz w:val="20"/>
        </w:rPr>
        <w:t>”). The Shares, the Pre-Funded Warrants and the Warrant Shares are collectively referred to herein as the “</w:t>
      </w:r>
      <w:r>
        <w:rPr>
          <w:rFonts w:ascii="Times New Roman" w:hAnsi="Times New Roman"/>
          <w:sz w:val="20"/>
          <w:u w:val="single"/>
        </w:rPr>
        <w:t>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opinion letter is being furnished in accordance with the requirements of Item 601(b)(5) of Regulation S-K under the Securities Act of 1933 (the “</w:t>
      </w:r>
      <w:r>
        <w:rPr>
          <w:rFonts w:ascii="Times New Roman" w:hAnsi="Times New Roman"/>
          <w:sz w:val="20"/>
          <w:u w:val="single"/>
        </w:rPr>
        <w:t>Securities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stated herein, we have examined and relied upon the following: </w:t>
      </w:r>
    </w:p>
    <w:p>
      <w:pPr>
        <w:pStyle w:val="TextBody"/>
        <w:bidi w:val="0"/>
        <w:spacing w:before="120" w:after="0"/>
        <w:jc w:val="left"/>
        <w:rPr>
          <w:rFonts w:ascii="Times New Roman" w:hAnsi="Times New Roman"/>
          <w:sz w:val="20"/>
        </w:rPr>
      </w:pPr>
      <w:r>
        <w:rPr>
          <w:rFonts w:ascii="Times New Roman" w:hAnsi="Times New Roman"/>
          <w:sz w:val="20"/>
        </w:rPr>
        <w:t>(a) the registration statement on Form S-3 (File No. 333-279735) of the Company, relating to the Securities and other securities of the Company, filed with the Securities and Exchange Commission (the “</w:t>
      </w:r>
      <w:r>
        <w:rPr>
          <w:rFonts w:ascii="Times New Roman" w:hAnsi="Times New Roman"/>
          <w:sz w:val="20"/>
          <w:u w:val="single"/>
        </w:rPr>
        <w:t>Commission</w:t>
      </w:r>
      <w:r>
        <w:rPr>
          <w:rFonts w:ascii="Times New Roman" w:hAnsi="Times New Roman"/>
          <w:sz w:val="20"/>
        </w:rPr>
        <w:t>”) on May 24, 2024 under the Securities Act, allowing for delayed offerings pursuant to Rule 415 of the General Rules and Regulations under the Securities Act (the “</w:t>
      </w:r>
      <w:r>
        <w:rPr>
          <w:rFonts w:ascii="Times New Roman" w:hAnsi="Times New Roman"/>
          <w:sz w:val="20"/>
          <w:u w:val="single"/>
        </w:rPr>
        <w:t>Rules and Regulations</w:t>
      </w:r>
      <w:r>
        <w:rPr>
          <w:rFonts w:ascii="Times New Roman" w:hAnsi="Times New Roman"/>
          <w:sz w:val="20"/>
        </w:rPr>
        <w:t>”), including the information deemed to be a part of the registration statement pursuant to Rule 430B of the Rules and Regulations (such registration statement being hereinafter referred to as the “</w:t>
      </w:r>
      <w:r>
        <w:rPr>
          <w:rFonts w:ascii="Times New Roman" w:hAnsi="Times New Roman"/>
          <w:sz w:val="20"/>
          <w:u w:val="single"/>
        </w:rPr>
        <w:t>Registration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prospectus, dated May 24, 2024 (the “</w:t>
      </w:r>
      <w:r>
        <w:rPr>
          <w:rFonts w:ascii="Times New Roman" w:hAnsi="Times New Roman"/>
          <w:sz w:val="20"/>
          <w:u w:val="single"/>
        </w:rPr>
        <w:t>Base Prospectus</w:t>
      </w:r>
      <w:r>
        <w:rPr>
          <w:rFonts w:ascii="Times New Roman" w:hAnsi="Times New Roman"/>
          <w:sz w:val="20"/>
        </w:rPr>
        <w:t xml:space="preserve">”), which forms a part of and is included in the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Vaxcyte, Inc. </w:t>
      </w:r>
    </w:p>
    <w:p>
      <w:pPr>
        <w:pStyle w:val="TextBody"/>
        <w:bidi w:val="0"/>
        <w:spacing w:before="0" w:after="0"/>
        <w:jc w:val="left"/>
        <w:rPr>
          <w:rFonts w:ascii="Times New Roman" w:hAnsi="Times New Roman"/>
          <w:sz w:val="20"/>
        </w:rPr>
      </w:pPr>
      <w:r>
        <w:rPr>
          <w:rFonts w:ascii="Times New Roman" w:hAnsi="Times New Roman"/>
          <w:sz w:val="20"/>
        </w:rPr>
        <w:t xml:space="preserve">October 9,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(c) the preliminary prospectus supplement, dated October 5, 2026 (together with the Base Prospectus, the “</w:t>
      </w:r>
      <w:r>
        <w:rPr>
          <w:rFonts w:ascii="Times New Roman" w:hAnsi="Times New Roman"/>
          <w:sz w:val="20"/>
          <w:u w:val="single"/>
        </w:rPr>
        <w:t>Preliminary Prospectus</w:t>
      </w:r>
      <w:r>
        <w:rPr>
          <w:rFonts w:ascii="Times New Roman" w:hAnsi="Times New Roman"/>
          <w:sz w:val="20"/>
        </w:rPr>
        <w:t xml:space="preserve">”), relating to the offering of the Securities, in the form filed with the Commission pursuant to Rule 424(b) of the Rules and Regulations; </w:t>
      </w:r>
    </w:p>
    <w:p>
      <w:pPr>
        <w:pStyle w:val="TextBody"/>
        <w:bidi w:val="0"/>
        <w:spacing w:before="240" w:after="0"/>
        <w:jc w:val="left"/>
        <w:rPr>
          <w:rFonts w:ascii="Times New Roman" w:hAnsi="Times New Roman"/>
          <w:sz w:val="20"/>
        </w:rPr>
      </w:pPr>
      <w:r>
        <w:rPr>
          <w:rFonts w:ascii="Times New Roman" w:hAnsi="Times New Roman"/>
          <w:sz w:val="20"/>
        </w:rPr>
        <w:t>(d) the prospectus supplement, dated October 6, 2026 (together with the Base Prospectus, the “</w:t>
      </w:r>
      <w:r>
        <w:rPr>
          <w:rFonts w:ascii="Times New Roman" w:hAnsi="Times New Roman"/>
          <w:sz w:val="20"/>
          <w:u w:val="single"/>
        </w:rPr>
        <w:t>Prospectus</w:t>
      </w:r>
      <w:r>
        <w:rPr>
          <w:rFonts w:ascii="Times New Roman" w:hAnsi="Times New Roman"/>
          <w:sz w:val="20"/>
        </w:rPr>
        <w:t xml:space="preserve">”), relating to the offering of the Securities, in the form filed with the Commission pursuant to Rule 424(b) of the Rules and Regulations; </w:t>
      </w:r>
    </w:p>
    <w:p>
      <w:pPr>
        <w:pStyle w:val="TextBody"/>
        <w:bidi w:val="0"/>
        <w:spacing w:before="240" w:after="0"/>
        <w:jc w:val="left"/>
        <w:rPr>
          <w:rFonts w:ascii="Times New Roman" w:hAnsi="Times New Roman"/>
          <w:sz w:val="20"/>
        </w:rPr>
      </w:pPr>
      <w:r>
        <w:rPr>
          <w:rFonts w:ascii="Times New Roman" w:hAnsi="Times New Roman"/>
          <w:sz w:val="20"/>
        </w:rPr>
        <w:t>(e) an executed copy of the Underwriting Agreement (the “</w:t>
      </w:r>
      <w:r>
        <w:rPr>
          <w:rFonts w:ascii="Times New Roman" w:hAnsi="Times New Roman"/>
          <w:sz w:val="20"/>
          <w:u w:val="single"/>
        </w:rPr>
        <w:t>Underwriting Agreement</w:t>
      </w:r>
      <w:r>
        <w:rPr>
          <w:rFonts w:ascii="Times New Roman" w:hAnsi="Times New Roman"/>
          <w:sz w:val="20"/>
        </w:rPr>
        <w:t>”), dated October 6, 2026 among the Company and Jefferies LLC and Leerink Partners LLC as representatives of the several Underwriters named therein (the “</w:t>
      </w:r>
      <w:r>
        <w:rPr>
          <w:rFonts w:ascii="Times New Roman" w:hAnsi="Times New Roman"/>
          <w:sz w:val="20"/>
          <w:u w:val="single"/>
        </w:rPr>
        <w:t>Underwriters</w:t>
      </w:r>
      <w:r>
        <w:rPr>
          <w:rFonts w:ascii="Times New Roman" w:hAnsi="Times New Roman"/>
          <w:sz w:val="20"/>
        </w:rPr>
        <w:t xml:space="preserve">”), relating to the sale by the Company to the Underwriters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(f) the Pre-Funded Warrants executed by the Company; </w:t>
      </w:r>
    </w:p>
    <w:p>
      <w:pPr>
        <w:pStyle w:val="TextBody"/>
        <w:bidi w:val="0"/>
        <w:spacing w:before="240" w:after="0"/>
        <w:jc w:val="left"/>
        <w:rPr>
          <w:rFonts w:ascii="Times New Roman" w:hAnsi="Times New Roman"/>
          <w:sz w:val="20"/>
        </w:rPr>
      </w:pPr>
      <w:r>
        <w:rPr>
          <w:rFonts w:ascii="Times New Roman" w:hAnsi="Times New Roman"/>
          <w:sz w:val="20"/>
        </w:rPr>
        <w:t>(g) an executed copy of a certificate of David McAvoy, Chief Legal Officer, Chief Compliance Officer and Corporate Secretary of the Company, dated the date hereof (the “</w:t>
      </w:r>
      <w:r>
        <w:rPr>
          <w:rFonts w:ascii="Times New Roman" w:hAnsi="Times New Roman"/>
          <w:sz w:val="20"/>
          <w:u w:val="single"/>
        </w:rPr>
        <w:t>Secretary’s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(h) a copy of the Company’s Second Amended and Restated Certificate of Incorporation (the “</w:t>
      </w:r>
      <w:r>
        <w:rPr>
          <w:rFonts w:ascii="Times New Roman" w:hAnsi="Times New Roman"/>
          <w:sz w:val="20"/>
          <w:u w:val="single"/>
        </w:rPr>
        <w:t>Certificate of Incorporation</w:t>
      </w:r>
      <w:r>
        <w:rPr>
          <w:rFonts w:ascii="Times New Roman" w:hAnsi="Times New Roman"/>
          <w:sz w:val="20"/>
        </w:rPr>
        <w:t xml:space="preserve">”), certified by the Secretary of State of the State of Delaware as of September 24, 2026, and certified pursuant to the Secretary’s Certificate as being in effect on the date of the resolutions referred to below and as of the date hereof; </w:t>
      </w:r>
    </w:p>
    <w:p>
      <w:pPr>
        <w:pStyle w:val="TextBody"/>
        <w:bidi w:val="0"/>
        <w:spacing w:before="240" w:after="0"/>
        <w:jc w:val="left"/>
        <w:rPr>
          <w:rFonts w:ascii="Times New Roman" w:hAnsi="Times New Roman"/>
          <w:sz w:val="20"/>
        </w:rPr>
      </w:pPr>
      <w:r>
        <w:rPr>
          <w:rFonts w:ascii="Times New Roman" w:hAnsi="Times New Roman"/>
          <w:sz w:val="20"/>
        </w:rPr>
        <w:t>(i) a copy of the Company’s Amended and Restated Bylaws (the “</w:t>
      </w:r>
      <w:r>
        <w:rPr>
          <w:rFonts w:ascii="Times New Roman" w:hAnsi="Times New Roman"/>
          <w:sz w:val="20"/>
          <w:u w:val="single"/>
        </w:rPr>
        <w:t>Bylaws</w:t>
      </w:r>
      <w:r>
        <w:rPr>
          <w:rFonts w:ascii="Times New Roman" w:hAnsi="Times New Roman"/>
          <w:sz w:val="20"/>
        </w:rPr>
        <w:t xml:space="preserve">”), as amended, and certified pursuant to the Secretary’s Certificate as being in effect on the date of the resolutions referred to below and as of the date hereof; and </w:t>
      </w:r>
    </w:p>
    <w:p>
      <w:pPr>
        <w:pStyle w:val="TextBody"/>
        <w:bidi w:val="0"/>
        <w:spacing w:before="240" w:after="0"/>
        <w:jc w:val="left"/>
        <w:rPr>
          <w:rFonts w:ascii="Times New Roman" w:hAnsi="Times New Roman"/>
          <w:sz w:val="20"/>
        </w:rPr>
      </w:pPr>
      <w:r>
        <w:rPr>
          <w:rFonts w:ascii="Times New Roman" w:hAnsi="Times New Roman"/>
          <w:sz w:val="20"/>
        </w:rPr>
        <w:t xml:space="preserve">(j) copies of certain resolutions of the Board of Directors of the Company, adopted on September 15, 2026 and September 30, 2026 and certain resolutions of the Pricing Committee thereof, adopted on October 6, 2026, certified pursuant to the Secretary’s Certificate as being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 </w:t>
      </w:r>
    </w:p>
    <w:p>
      <w:pPr>
        <w:pStyle w:val="TextBody"/>
        <w:bidi w:val="0"/>
        <w:spacing w:before="240" w:after="0"/>
        <w:jc w:val="left"/>
        <w:rPr>
          <w:rFonts w:ascii="Times New Roman" w:hAnsi="Times New Roman"/>
          <w:sz w:val="20"/>
        </w:rPr>
      </w:pPr>
      <w:r>
        <w:rPr>
          <w:rFonts w:ascii="Times New Roman" w:hAnsi="Times New Roman"/>
          <w:sz w:val="20"/>
        </w:rPr>
        <w:t xml:space="preserve">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With respect to our opinions set forth in paragraphs 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Vaxcyte, Inc. </w:t>
      </w:r>
    </w:p>
    <w:p>
      <w:pPr>
        <w:pStyle w:val="TextBody"/>
        <w:bidi w:val="0"/>
        <w:spacing w:before="0" w:after="0"/>
        <w:jc w:val="left"/>
        <w:rPr>
          <w:rFonts w:ascii="Times New Roman" w:hAnsi="Times New Roman"/>
          <w:sz w:val="20"/>
        </w:rPr>
      </w:pPr>
      <w:r>
        <w:rPr>
          <w:rFonts w:ascii="Times New Roman" w:hAnsi="Times New Roman"/>
          <w:sz w:val="20"/>
        </w:rPr>
        <w:t xml:space="preserve">October 9,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and 2 below, we have assumed that (i) the Company received the consideration for the Shares and the Warrant Shares set forth in the Transaction Documents and the applicable board resolutions and (ii) the issuance of the Shares and the Warrant Shares has been registered in the Company’s share registry. As to any facts relevant to the opinions stated herein that we did not independently establish or verify, we have relied upon statements and representations of officers and other representatives of the Company and others and of public officials, including the facts and conclusions set forth in the Secretary’s Certificate, the Certificate of Incorporation and the factual representations and warranties set forth in the Underwriting Agreement. </w:t>
      </w:r>
    </w:p>
    <w:p>
      <w:pPr>
        <w:pStyle w:val="TextBody"/>
        <w:bidi w:val="0"/>
        <w:spacing w:before="240" w:after="0"/>
        <w:jc w:val="left"/>
        <w:rPr>
          <w:rFonts w:ascii="Times New Roman" w:hAnsi="Times New Roman"/>
          <w:sz w:val="20"/>
        </w:rPr>
      </w:pPr>
      <w:r>
        <w:rPr>
          <w:rFonts w:ascii="Times New Roman" w:hAnsi="Times New Roman"/>
          <w:sz w:val="20"/>
        </w:rPr>
        <w:t>We do not express any opinion with respect to the laws of any jurisdiction other than (i) the laws of the State of New York and (ii) the General Corporation Law of the State of Delaware (the “</w:t>
      </w:r>
      <w:r>
        <w:rPr>
          <w:rFonts w:ascii="Times New Roman" w:hAnsi="Times New Roman"/>
          <w:sz w:val="20"/>
          <w:u w:val="single"/>
        </w:rPr>
        <w:t>DGCL</w:t>
      </w:r>
      <w:r>
        <w:rPr>
          <w:rFonts w:ascii="Times New Roman" w:hAnsi="Times New Roman"/>
          <w:sz w:val="20"/>
        </w:rPr>
        <w:t>”) (all of the foregoing being referred to as “</w:t>
      </w:r>
      <w:r>
        <w:rPr>
          <w:rFonts w:ascii="Times New Roman" w:hAnsi="Times New Roman"/>
          <w:sz w:val="20"/>
          <w:u w:val="single"/>
        </w:rPr>
        <w:t>Opined-on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“Transaction Documents” means the Underwriting Agreement and the Pre-Funded Warrants and “Organizational Documents” means the Certificate of Incorporation and the Bylaws.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qualifications and assumptions stated herein, we are of the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The Shares have been duly authorized by all requisite corporate action on the part of the Company under the DGCL and, when issued and sold in accordance with the Underwriting Agreement,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2. The Warrant Shares have been duly authorized by all requisite corporate action on the part of the Company under the DGCL and, when issued and delivered upon due exercise of the Pre-Funded Warrants against payment therefor in accordance with the provisions of the Pre-Funded Warrants,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3. The Pre-Funded Warrants have been duly authorized by all requisite corporate action on the part of the Company under the DGCL and, when the Pre-Funded Warrants are delivered and paid for in accordance with the terms of the Underwriting Agreement, will constitute valid and binding obligations of the Company, enforceable against the Company in accordance with their terms under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opinions stated herein are subject to the following qualifications: </w:t>
      </w:r>
    </w:p>
    <w:p>
      <w:pPr>
        <w:pStyle w:val="TextBody"/>
        <w:bidi w:val="0"/>
        <w:spacing w:before="120" w:after="0"/>
        <w:jc w:val="left"/>
        <w:rPr>
          <w:rFonts w:ascii="Times New Roman" w:hAnsi="Times New Roman"/>
          <w:sz w:val="20"/>
        </w:rPr>
      </w:pPr>
      <w:r>
        <w:rPr>
          <w:rFonts w:ascii="Times New Roman" w:hAnsi="Times New Roman"/>
          <w:sz w:val="20"/>
        </w:rPr>
        <w:t xml:space="preserve">(a) we do not express any opinion with respect to the effect on the opinions stated herein of any bankruptcy, insolvency, reorganization, moratorium, fraudulent transfer, preference and other similar laws or governmental orders affecting creditors’ rights generally, and the opinions stated herein are limited by such laws and governmental orders, and by general principles of equity (regardless of whether enforcement is sought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(b) we do not express any opinion with respect to any law, rule, regulation or order that is applicable to any party to any of the Transaction Documents or the transactions contemplated thereby solely because such law, rule, regulation or order is part of a regulatory regime applicable to any such party or any of its affiliates as a result of the specific assets or business operations of such party or such affiliates;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Vaxcyte, Inc. </w:t>
      </w:r>
    </w:p>
    <w:p>
      <w:pPr>
        <w:pStyle w:val="TextBody"/>
        <w:bidi w:val="0"/>
        <w:spacing w:before="0" w:after="0"/>
        <w:jc w:val="left"/>
        <w:rPr>
          <w:rFonts w:ascii="Times New Roman" w:hAnsi="Times New Roman"/>
          <w:sz w:val="20"/>
        </w:rPr>
      </w:pPr>
      <w:r>
        <w:rPr>
          <w:rFonts w:ascii="Times New Roman" w:hAnsi="Times New Roman"/>
          <w:sz w:val="20"/>
        </w:rPr>
        <w:t xml:space="preserve">October 9,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 except to the extent expressly stated in the opinions contained herein, we have assumed that each of the Transaction Documents constitutes the valid and binding obligation of each party to such Transaction Document, enforceable against such party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(d) we do not express any opinion with respect to the enforceability of any provision contained in the Pre-Funded Warrants relating to any indemnification, contribution, non-reliance, exculpation, release, limitation or exclusion of remedies, waiver or other provisions having similar effect that may be contrary to public policy or violative of federal or state securities laws, rules, regulations or orders, or to the extent any such provision purports to waive or alter, or has the effect of waiving, or altering any statute of limitations; </w:t>
      </w:r>
    </w:p>
    <w:p>
      <w:pPr>
        <w:pStyle w:val="TextBody"/>
        <w:bidi w:val="0"/>
        <w:spacing w:before="240" w:after="0"/>
        <w:jc w:val="left"/>
        <w:rPr>
          <w:rFonts w:ascii="Times New Roman" w:hAnsi="Times New Roman"/>
          <w:sz w:val="20"/>
        </w:rPr>
      </w:pPr>
      <w:r>
        <w:rPr>
          <w:rFonts w:ascii="Times New Roman" w:hAnsi="Times New Roman"/>
          <w:sz w:val="20"/>
        </w:rPr>
        <w:t xml:space="preserve">(e) to the extent that any opinion relates to the enforceability of the choice of New York law and choice of New York forum provisions contained in the Pre-Funded Warrants, the opinions stated herein are subject to the qualification that such enforceability may be subject to, in each case, (i) the exceptions and limitations in New York General Obligations Law Sections 5-1401 and 5-1402 and (ii) principles of comity and constitutionality; </w:t>
      </w:r>
    </w:p>
    <w:p>
      <w:pPr>
        <w:pStyle w:val="TextBody"/>
        <w:bidi w:val="0"/>
        <w:spacing w:before="240" w:after="0"/>
        <w:jc w:val="left"/>
        <w:rPr>
          <w:rFonts w:ascii="Times New Roman" w:hAnsi="Times New Roman"/>
          <w:sz w:val="20"/>
        </w:rPr>
      </w:pPr>
      <w:r>
        <w:rPr>
          <w:rFonts w:ascii="Times New Roman" w:hAnsi="Times New Roman"/>
          <w:sz w:val="20"/>
        </w:rPr>
        <w:t xml:space="preserve">(f) we do not express any opinion with respect to the enforceability of Section 15(f) of the Pre-Funded Warrants to the extent that such section purports to bind the Company to the exclusive jurisdiction of any particular federal court or courts; </w:t>
      </w:r>
    </w:p>
    <w:p>
      <w:pPr>
        <w:pStyle w:val="TextBody"/>
        <w:bidi w:val="0"/>
        <w:spacing w:before="240" w:after="0"/>
        <w:jc w:val="left"/>
        <w:rPr>
          <w:rFonts w:ascii="Times New Roman" w:hAnsi="Times New Roman"/>
          <w:sz w:val="20"/>
        </w:rPr>
      </w:pPr>
      <w:r>
        <w:rPr>
          <w:rFonts w:ascii="Times New Roman" w:hAnsi="Times New Roman"/>
          <w:sz w:val="20"/>
        </w:rPr>
        <w:t xml:space="preserve">(g) we call to your attention that irrespective of the agreement of the parties to the Pre-Funded Warrants,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(h) in rendering the opinion set forth in paragraph 2 above, we have assumed that the exercise price of such Pre-Funded Warrants will be at least equal to the par value of the shares of Common Stock issuable upon exercise of such Pre-Funded Warrants at the time of exercise; </w:t>
      </w:r>
    </w:p>
    <w:p>
      <w:pPr>
        <w:pStyle w:val="TextBody"/>
        <w:bidi w:val="0"/>
        <w:spacing w:before="240" w:after="0"/>
        <w:jc w:val="left"/>
        <w:rPr>
          <w:rFonts w:ascii="Times New Roman" w:hAnsi="Times New Roman"/>
          <w:sz w:val="20"/>
        </w:rPr>
      </w:pPr>
      <w:r>
        <w:rPr>
          <w:rFonts w:ascii="Times New Roman" w:hAnsi="Times New Roman"/>
          <w:sz w:val="20"/>
        </w:rPr>
        <w:t xml:space="preserve">(i) we do not express any opinion with respect to the enforceability of any provision contained in the Pre-Funded Warrants, including Section 5(b) thereof, to the extent that such provision provides for liquidated damages or the recovery of amounts deemed to constitute penalties;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Vaxcyte, Inc. </w:t>
      </w:r>
    </w:p>
    <w:p>
      <w:pPr>
        <w:pStyle w:val="TextBody"/>
        <w:bidi w:val="0"/>
        <w:spacing w:before="0" w:after="0"/>
        <w:jc w:val="left"/>
        <w:rPr>
          <w:rFonts w:ascii="Times New Roman" w:hAnsi="Times New Roman"/>
          <w:sz w:val="20"/>
        </w:rPr>
      </w:pPr>
      <w:r>
        <w:rPr>
          <w:rFonts w:ascii="Times New Roman" w:hAnsi="Times New Roman"/>
          <w:sz w:val="20"/>
        </w:rPr>
        <w:t xml:space="preserve">October 9, 2026 </w:t>
      </w:r>
    </w:p>
    <w:p>
      <w:pPr>
        <w:pStyle w:val="TextBody"/>
        <w:bidi w:val="0"/>
        <w:spacing w:before="0" w:after="0"/>
        <w:jc w:val="lef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(j) we do not express any opinion whether the execution or delivery of any of the Transaction Documents by the Company, or the performance by the Company of its obligations under any of the Transaction Documents, will constitute a violation of, or a default under, any covenant, restriction or provision with respect to financial ratios or tests or any aspect of the financial condition or results of operations of the Company; and </w:t>
      </w:r>
    </w:p>
    <w:p>
      <w:pPr>
        <w:pStyle w:val="TextBody"/>
        <w:bidi w:val="0"/>
        <w:spacing w:before="240" w:after="0"/>
        <w:jc w:val="left"/>
        <w:rPr>
          <w:rFonts w:ascii="Times New Roman" w:hAnsi="Times New Roman"/>
          <w:sz w:val="20"/>
        </w:rPr>
      </w:pPr>
      <w:r>
        <w:rPr>
          <w:rFonts w:ascii="Times New Roman" w:hAnsi="Times New Roman"/>
          <w:sz w:val="20"/>
        </w:rPr>
        <w:t>(k) the opinions stated herein are limited to the agreements and documents specifically identified in the opinions contained herein (the “</w:t>
      </w:r>
      <w:r>
        <w:rPr>
          <w:rFonts w:ascii="Times New Roman" w:hAnsi="Times New Roman"/>
          <w:sz w:val="20"/>
          <w:u w:val="single"/>
        </w:rPr>
        <w:t>Specified Documents</w:t>
      </w:r>
      <w:r>
        <w:rPr>
          <w:rFonts w:ascii="Times New Roman" w:hAnsi="Times New Roman"/>
          <w:sz w:val="20"/>
        </w:rPr>
        <w:t xml:space="preserve">”) without regard to any agreement or other document referenced in any Specified Document (including agreements or other documents incorporated by reference or attached or annexed thereto) and without regard to any other agreement or document relating to any Specified Document that is not a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rendering the foregoing opinions we have assumed that: </w:t>
      </w:r>
    </w:p>
    <w:p>
      <w:pPr>
        <w:pStyle w:val="TextBody"/>
        <w:bidi w:val="0"/>
        <w:spacing w:before="120" w:after="0"/>
        <w:jc w:val="left"/>
        <w:rPr>
          <w:rFonts w:ascii="Times New Roman" w:hAnsi="Times New Roman"/>
          <w:sz w:val="20"/>
        </w:rPr>
      </w:pPr>
      <w:r>
        <w:rPr>
          <w:rFonts w:ascii="Times New Roman" w:hAnsi="Times New Roman"/>
          <w:sz w:val="20"/>
        </w:rPr>
        <w:t xml:space="preserve">(a) the Company’s issuance of the Shares and the Warrant Shares does not and will not (i) (except that we do not make this assumption with respect to the DGCL) violate any statute to which the Company or such issuance is subject, or (ii) constitute a violation of, or a breach under, or require the consent or approval of any other person under, any agreement or instrument binding on the Company (except that we do not make this assumption with respect to the Organizational Documents or those agreements or instruments expressed to be governed by the laws of the State of New York which are listed in Part II of the Registration Statement or the Company’s Annual Report on Form 10-K for the year ended December 31, 2025, although we have assumed compliance with any covenant, restriction or provision with respect to financial ratios or tests or any aspect of the financial condition or results of operations of the Company contained in such agreements or instruments), and we have further assumed that the Company will continue to have sufficient authorized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(b) the Company’s authorized capital stock is as set forth in the Certificate of Incorporation, and we have relied solely on the certified copy thereof issued by the Secretary of State of the State of Delaware and have not made any other inquiries or investigations; </w:t>
      </w:r>
    </w:p>
    <w:p>
      <w:pPr>
        <w:pStyle w:val="TextBody"/>
        <w:bidi w:val="0"/>
        <w:spacing w:before="240" w:after="0"/>
        <w:jc w:val="left"/>
        <w:rPr>
          <w:rFonts w:ascii="Times New Roman" w:hAnsi="Times New Roman"/>
          <w:sz w:val="20"/>
        </w:rPr>
      </w:pPr>
      <w:r>
        <w:rPr>
          <w:rFonts w:ascii="Times New Roman" w:hAnsi="Times New Roman"/>
          <w:sz w:val="20"/>
        </w:rPr>
        <w:t xml:space="preserve">(c) neither the execution and delivery by the Company of the Transaction Documents nor the performance by the Company of its obligations thereunder, including the issuance and sale of the Pre-Funded Warrants (i) constituted or will constitute a violation of, or a default under, any lease, indenture, agreement or other instrument to which the Company or its property is subject (except that we do not make the assumption set forth in this clause (i) with respect to those agreements or instruments expressed to be governed by the laws of the State of New York which are listed in Part II of the Registration Statement or the Company’s Annual Report on Form 10-K for the year ended December 31, 2025), (ii) contravened or will contravene any order or decree of any governmental authority to which the Company or its property is subject, or (iii) violated or will violate any law, rule or regulation to which the Company or its property is subject (except that we do not make the assumption set forth in this clause (iii) with respect to the Opined-on Law); and </w:t>
      </w:r>
    </w:p>
    <w:p>
      <w:pPr>
        <w:pStyle w:val="TextBody"/>
        <w:bidi w:val="0"/>
        <w:spacing w:before="240" w:after="0"/>
        <w:jc w:val="left"/>
        <w:rPr>
          <w:rFonts w:ascii="Times New Roman" w:hAnsi="Times New Roman"/>
          <w:sz w:val="20"/>
        </w:rPr>
      </w:pPr>
      <w:r>
        <w:rPr>
          <w:rFonts w:ascii="Times New Roman" w:hAnsi="Times New Roman"/>
          <w:sz w:val="20"/>
        </w:rPr>
        <w:t xml:space="preserve">(d) neither the execution and delivery by the Company of the Transaction Documents nor the performance by the Company of its obligations thereunder required or will require the consent, approval, licensing or authorization of, or any filing, recording or registration with, any governmental authority under any law, rule, regulation or order of any jurisdiction.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Vaxcyte, Inc. </w:t>
      </w:r>
    </w:p>
    <w:p>
      <w:pPr>
        <w:pStyle w:val="TextBody"/>
        <w:bidi w:val="0"/>
        <w:spacing w:before="0" w:after="0"/>
        <w:jc w:val="left"/>
        <w:rPr>
          <w:rFonts w:ascii="Times New Roman" w:hAnsi="Times New Roman"/>
          <w:sz w:val="20"/>
        </w:rPr>
      </w:pPr>
      <w:r>
        <w:rPr>
          <w:rFonts w:ascii="Times New Roman" w:hAnsi="Times New Roman"/>
          <w:sz w:val="20"/>
        </w:rPr>
        <w:t xml:space="preserve">October 9, 2026 </w:t>
      </w:r>
    </w:p>
    <w:p>
      <w:pPr>
        <w:pStyle w:val="TextBody"/>
        <w:bidi w:val="0"/>
        <w:spacing w:before="0" w:after="0"/>
        <w:jc w:val="left"/>
        <w:rPr>
          <w:rFonts w:ascii="Times New Roman" w:hAnsi="Times New Roman"/>
          <w:sz w:val="20"/>
        </w:rPr>
      </w:pPr>
      <w:r>
        <w:rPr>
          <w:rFonts w:ascii="Times New Roman" w:hAnsi="Times New Roman"/>
          <w:sz w:val="20"/>
        </w:rPr>
        <w:t xml:space="preserve">Page 6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letter shall be interpreted in accordance with customary practice of United States lawyers who regularly give opinions in transactions of this type.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reference to our firm under the heading “Legal Matters” in the Preliminary Prospectus and the Prospectus. We also hereby consent to the filing of this opinion letter with the Commission as an exhibit to the Company’s Current Report on Form 8-K being filed on the date hereof and incorporated by reference into the Registration Statement. In giving this consent, we do not thereby admit that we are within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Skadden, Arps, Slate, Meagher &amp; Flom LLP</w:t>
            </w:r>
          </w:p>
        </w:tc>
      </w:tr>
    </w:tbl>
    <w:p>
      <w:pPr>
        <w:pStyle w:val="TextBody"/>
        <w:bidi w:val="0"/>
        <w:spacing w:before="240" w:after="0"/>
        <w:jc w:val="left"/>
        <w:rPr>
          <w:rFonts w:ascii="Times New Roman" w:hAnsi="Times New Roman"/>
          <w:sz w:val="20"/>
        </w:rPr>
      </w:pPr>
      <w:r>
        <w:rPr>
          <w:rFonts w:ascii="Times New Roman" w:hAnsi="Times New Roman"/>
          <w:sz w:val="20"/>
        </w:rPr>
        <w:t xml:space="preserve">MJH </w:t>
      </w:r>
    </w:p>
    <w:p>
      <w:pPr>
        <w:pStyle w:val="TextBody"/>
        <w:bidi w:val="0"/>
        <w:spacing w:before="0" w:after="0"/>
        <w:jc w:val="right"/>
        <w:rPr>
          <w:rFonts w:ascii="Times New Roman" w:hAnsi="Times New Roman"/>
          <w:b/>
          <w:sz w:val="20"/>
        </w:rPr>
      </w:pPr>
      <w:bookmarkStart w:id="12" w:name="d150490dex52.htm"/>
      <w:bookmarkStart w:id="13" w:name="ksd150490dex52"/>
      <w:bookmarkEnd w:id="12"/>
      <w:bookmarkEnd w:id="13"/>
      <w:r>
        <w:rPr>
          <w:rFonts w:ascii="Times New Roman" w:hAnsi="Times New Roman"/>
          <w:b/>
          <w:sz w:val="20"/>
        </w:rPr>
        <w:t xml:space="preserve">Exhibit 5.2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11"/>
        <w:gridCol w:w="120"/>
        <w:gridCol w:w="3929"/>
        <w:gridCol w:w="120"/>
        <w:gridCol w:w="3225"/>
      </w:tblGrid>
      <w:tr>
        <w:trPr/>
        <w:tc>
          <w:tcPr>
            <w:tcW w:w="281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5" w:type="dxa"/>
            <w:tcBorders/>
            <w:vAlign w:val="center"/>
          </w:tcPr>
          <w:p>
            <w:pPr>
              <w:pStyle w:val="TableContents"/>
              <w:bidi w:val="0"/>
              <w:spacing w:before="0" w:after="283"/>
              <w:jc w:val="left"/>
              <w:rPr>
                <w:sz w:val="4"/>
                <w:szCs w:val="4"/>
              </w:rPr>
            </w:pPr>
            <w:r>
              <w:rPr>
                <w:sz w:val="4"/>
                <w:szCs w:val="4"/>
              </w:rPr>
            </w:r>
          </w:p>
        </w:tc>
      </w:tr>
      <w:tr>
        <w:trPr/>
        <w:tc>
          <w:tcPr>
            <w:tcW w:w="28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29" w:type="dxa"/>
            <w:tcBorders/>
          </w:tcPr>
          <w:p>
            <w:pPr>
              <w:pStyle w:val="TableContents"/>
              <w:bidi w:val="0"/>
              <w:spacing w:before="0" w:after="0"/>
              <w:jc w:val="center"/>
              <w:rPr>
                <w:rFonts w:ascii="Times New Roman" w:hAnsi="Times New Roman"/>
                <w:sz w:val="24"/>
              </w:rPr>
            </w:pPr>
            <w:r>
              <w:rPr>
                <w:rFonts w:ascii="Times New Roman" w:hAnsi="Times New Roman"/>
                <w:sz w:val="24"/>
              </w:rPr>
              <w:t>S</w:t>
            </w:r>
            <w:r>
              <w:rPr>
                <w:rFonts w:ascii="Times New Roman" w:hAnsi="Times New Roman"/>
                <w:sz w:val="20"/>
              </w:rPr>
              <w:t>KADDEN</w:t>
            </w:r>
            <w:r>
              <w:rPr>
                <w:rFonts w:ascii="Times New Roman" w:hAnsi="Times New Roman"/>
                <w:sz w:val="24"/>
              </w:rPr>
              <w:t>, A</w:t>
            </w:r>
            <w:r>
              <w:rPr>
                <w:rFonts w:ascii="Times New Roman" w:hAnsi="Times New Roman"/>
                <w:sz w:val="20"/>
              </w:rPr>
              <w:t>RPS</w:t>
            </w:r>
            <w:r>
              <w:rPr>
                <w:rFonts w:ascii="Times New Roman" w:hAnsi="Times New Roman"/>
                <w:sz w:val="24"/>
              </w:rPr>
              <w:t>, S</w:t>
            </w:r>
            <w:r>
              <w:rPr>
                <w:rFonts w:ascii="Times New Roman" w:hAnsi="Times New Roman"/>
                <w:sz w:val="20"/>
              </w:rPr>
              <w:t>LATE</w:t>
            </w:r>
            <w:r>
              <w:rPr>
                <w:rFonts w:ascii="Times New Roman" w:hAnsi="Times New Roman"/>
                <w:sz w:val="24"/>
              </w:rPr>
              <w:t>, M</w:t>
            </w:r>
            <w:r>
              <w:rPr>
                <w:rFonts w:ascii="Times New Roman" w:hAnsi="Times New Roman"/>
                <w:sz w:val="20"/>
              </w:rPr>
              <w:t>EAGHER</w:t>
            </w:r>
            <w:r>
              <w:rPr>
                <w:rFonts w:ascii="Times New Roman" w:hAnsi="Times New Roman"/>
                <w:sz w:val="24"/>
              </w:rPr>
              <w:t> &amp;  F</w:t>
            </w:r>
            <w:r>
              <w:rPr>
                <w:rFonts w:ascii="Times New Roman" w:hAnsi="Times New Roman"/>
                <w:sz w:val="20"/>
              </w:rPr>
              <w:t>LOM</w:t>
            </w:r>
            <w:r>
              <w:rPr>
                <w:rFonts w:ascii="Times New Roman" w:hAnsi="Times New Roman"/>
                <w:sz w:val="24"/>
              </w:rPr>
              <w:t> </w:t>
            </w:r>
            <w:r>
              <w:rPr>
                <w:rFonts w:ascii="Times New Roman" w:hAnsi="Times New Roman"/>
                <w:sz w:val="20"/>
              </w:rPr>
              <w:t>LLP</w:t>
            </w:r>
          </w:p>
          <w:p>
            <w:pPr>
              <w:pStyle w:val="TableContents"/>
              <w:bidi w:val="0"/>
              <w:spacing w:before="0" w:after="20"/>
              <w:jc w:val="center"/>
              <w:rPr>
                <w:rFonts w:ascii="Times New Roman" w:hAnsi="Times New Roman"/>
                <w:sz w:val="20"/>
              </w:rPr>
            </w:pPr>
            <w:r>
              <w:rPr>
                <w:rFonts w:ascii="Times New Roman" w:hAnsi="Times New Roman"/>
                <w:sz w:val="20"/>
              </w:rPr>
              <w:t>ONE MANHATTAN WEST</w:t>
            </w:r>
          </w:p>
        </w:tc>
        <w:tc>
          <w:tcPr>
            <w:tcW w:w="120" w:type="dxa"/>
            <w:tcBorders/>
            <w:vAlign w:val="bottom"/>
          </w:tcPr>
          <w:p>
            <w:pPr>
              <w:pStyle w:val="TableContents"/>
              <w:bidi w:val="0"/>
              <w:spacing w:before="0" w:after="283"/>
              <w:jc w:val="left"/>
              <w:rPr/>
            </w:pPr>
            <w:r>
              <w:rPr/>
              <w:t>  </w:t>
            </w:r>
          </w:p>
        </w:tc>
        <w:tc>
          <w:tcPr>
            <w:tcW w:w="3225" w:type="dxa"/>
            <w:tcBorders/>
          </w:tcPr>
          <w:p>
            <w:pPr>
              <w:pStyle w:val="TableContents"/>
              <w:bidi w:val="0"/>
              <w:spacing w:before="0" w:after="283"/>
              <w:jc w:val="left"/>
              <w:rPr>
                <w:sz w:val="4"/>
                <w:szCs w:val="4"/>
              </w:rPr>
            </w:pPr>
            <w:r>
              <w:rPr>
                <w:sz w:val="4"/>
                <w:szCs w:val="4"/>
              </w:rPr>
            </w:r>
          </w:p>
        </w:tc>
      </w:tr>
      <w:tr>
        <w:trPr/>
        <w:tc>
          <w:tcPr>
            <w:tcW w:w="281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29" w:type="dxa"/>
            <w:tcBorders/>
          </w:tcPr>
          <w:p>
            <w:pPr>
              <w:pStyle w:val="TableContents"/>
              <w:bidi w:val="0"/>
              <w:spacing w:before="0" w:after="0"/>
              <w:jc w:val="center"/>
              <w:rPr>
                <w:rFonts w:ascii="Times New Roman" w:hAnsi="Times New Roman"/>
                <w:sz w:val="20"/>
              </w:rPr>
            </w:pPr>
            <w:r>
              <w:rPr>
                <w:rFonts w:ascii="Times New Roman" w:hAnsi="Times New Roman"/>
                <w:sz w:val="20"/>
              </w:rPr>
              <w:t>NEW YORK, NY 10001</w:t>
            </w:r>
          </w:p>
          <w:p>
            <w:pPr>
              <w:pStyle w:val="TableContents"/>
              <w:bidi w:val="0"/>
              <w:spacing w:before="0" w:after="0"/>
              <w:jc w:val="center"/>
              <w:rPr>
                <w:u w:val="single"/>
              </w:rPr>
            </w:pPr>
            <w:r>
              <w:rPr>
                <w:u w:val="single"/>
              </w:rPr>
              <w:t>    </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TEL: (212) 735-3000</w:t>
            </w:r>
          </w:p>
          <w:p>
            <w:pPr>
              <w:pStyle w:val="TableContents"/>
              <w:bidi w:val="0"/>
              <w:spacing w:before="0" w:after="0"/>
              <w:jc w:val="center"/>
              <w:rPr>
                <w:rFonts w:ascii="Times New Roman" w:hAnsi="Times New Roman"/>
                <w:sz w:val="20"/>
              </w:rPr>
            </w:pPr>
            <w:r>
              <w:rPr>
                <w:rFonts w:ascii="Times New Roman" w:hAnsi="Times New Roman"/>
                <w:sz w:val="20"/>
              </w:rPr>
              <w:t>FAX: (212) 735-2000</w:t>
            </w:r>
          </w:p>
          <w:p>
            <w:pPr>
              <w:pStyle w:val="TableContents"/>
              <w:bidi w:val="0"/>
              <w:spacing w:before="0" w:after="0"/>
              <w:jc w:val="center"/>
              <w:rPr>
                <w:rFonts w:ascii="Times New Roman" w:hAnsi="Times New Roman"/>
                <w:sz w:val="20"/>
              </w:rPr>
            </w:pPr>
            <w:r>
              <w:rPr>
                <w:rFonts w:ascii="Times New Roman" w:hAnsi="Times New Roman"/>
                <w:sz w:val="20"/>
              </w:rPr>
              <w:t>www.skadden.com</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October 9, 2026</w:t>
            </w:r>
          </w:p>
        </w:tc>
        <w:tc>
          <w:tcPr>
            <w:tcW w:w="120" w:type="dxa"/>
            <w:tcBorders/>
            <w:vAlign w:val="bottom"/>
          </w:tcPr>
          <w:p>
            <w:pPr>
              <w:pStyle w:val="TableContents"/>
              <w:bidi w:val="0"/>
              <w:spacing w:before="0" w:after="283"/>
              <w:jc w:val="left"/>
              <w:rPr/>
            </w:pPr>
            <w:r>
              <w:rPr/>
              <w:t>  </w:t>
            </w:r>
          </w:p>
        </w:tc>
        <w:tc>
          <w:tcPr>
            <w:tcW w:w="3225" w:type="dxa"/>
            <w:tcBorders/>
          </w:tcPr>
          <w:p>
            <w:pPr>
              <w:pStyle w:val="TableContents"/>
              <w:bidi w:val="0"/>
              <w:spacing w:before="0" w:after="0"/>
              <w:jc w:val="center"/>
              <w:rPr>
                <w:rFonts w:ascii="Times New Roman" w:hAnsi="Times New Roman"/>
                <w:sz w:val="20"/>
              </w:rPr>
            </w:pPr>
            <w:r>
              <w:rPr>
                <w:rFonts w:ascii="Times New Roman" w:hAnsi="Times New Roman"/>
                <w:sz w:val="20"/>
              </w:rPr>
              <w:t>FIRM/AFFILIATE</w:t>
            </w:r>
          </w:p>
          <w:p>
            <w:pPr>
              <w:pStyle w:val="TableContents"/>
              <w:bidi w:val="0"/>
              <w:spacing w:before="0" w:after="0"/>
              <w:jc w:val="center"/>
              <w:rPr>
                <w:rFonts w:ascii="Times New Roman" w:hAnsi="Times New Roman"/>
                <w:sz w:val="20"/>
              </w:rPr>
            </w:pPr>
            <w:r>
              <w:rPr>
                <w:rFonts w:ascii="Times New Roman" w:hAnsi="Times New Roman"/>
                <w:sz w:val="20"/>
              </w:rPr>
              <w:t>OFFICES</w:t>
            </w:r>
          </w:p>
          <w:p>
            <w:pPr>
              <w:pStyle w:val="TableContents"/>
              <w:bidi w:val="0"/>
              <w:spacing w:before="0" w:after="0"/>
              <w:jc w:val="center"/>
              <w:rPr>
                <w:u w:val="single"/>
              </w:rPr>
            </w:pPr>
            <w:r>
              <w:rPr>
                <w:u w:val="single"/>
              </w:rPr>
              <w:t>    </w:t>
            </w:r>
          </w:p>
          <w:p>
            <w:pPr>
              <w:pStyle w:val="TableContents"/>
              <w:bidi w:val="0"/>
              <w:spacing w:before="0" w:after="0"/>
              <w:jc w:val="left"/>
              <w:rPr/>
            </w:pPr>
            <w:r>
              <w:rPr/>
              <w:t> </w:t>
            </w:r>
          </w:p>
          <w:p>
            <w:pPr>
              <w:pStyle w:val="TableContents"/>
              <w:bidi w:val="0"/>
              <w:spacing w:before="0" w:after="0"/>
              <w:jc w:val="center"/>
              <w:rPr>
                <w:rFonts w:ascii="Times New Roman" w:hAnsi="Times New Roman"/>
                <w:sz w:val="16"/>
              </w:rPr>
            </w:pPr>
            <w:r>
              <w:rPr>
                <w:rFonts w:ascii="Times New Roman" w:hAnsi="Times New Roman"/>
                <w:sz w:val="16"/>
              </w:rPr>
              <w:t>BOSTON</w:t>
            </w:r>
          </w:p>
          <w:p>
            <w:pPr>
              <w:pStyle w:val="TableContents"/>
              <w:bidi w:val="0"/>
              <w:spacing w:before="0" w:after="0"/>
              <w:jc w:val="center"/>
              <w:rPr>
                <w:rFonts w:ascii="Times New Roman" w:hAnsi="Times New Roman"/>
                <w:sz w:val="16"/>
              </w:rPr>
            </w:pPr>
            <w:r>
              <w:rPr>
                <w:rFonts w:ascii="Times New Roman" w:hAnsi="Times New Roman"/>
                <w:sz w:val="16"/>
              </w:rPr>
              <w:t>CHICAGO</w:t>
            </w:r>
          </w:p>
          <w:p>
            <w:pPr>
              <w:pStyle w:val="TableContents"/>
              <w:bidi w:val="0"/>
              <w:spacing w:before="0" w:after="0"/>
              <w:jc w:val="center"/>
              <w:rPr>
                <w:rFonts w:ascii="Times New Roman" w:hAnsi="Times New Roman"/>
                <w:sz w:val="16"/>
              </w:rPr>
            </w:pPr>
            <w:r>
              <w:rPr>
                <w:rFonts w:ascii="Times New Roman" w:hAnsi="Times New Roman"/>
                <w:sz w:val="16"/>
              </w:rPr>
              <w:t>HOUSTON</w:t>
            </w:r>
          </w:p>
          <w:p>
            <w:pPr>
              <w:pStyle w:val="TableContents"/>
              <w:bidi w:val="0"/>
              <w:spacing w:before="0" w:after="0"/>
              <w:jc w:val="center"/>
              <w:rPr>
                <w:rFonts w:ascii="Times New Roman" w:hAnsi="Times New Roman"/>
                <w:sz w:val="16"/>
              </w:rPr>
            </w:pPr>
            <w:r>
              <w:rPr>
                <w:rFonts w:ascii="Times New Roman" w:hAnsi="Times New Roman"/>
                <w:sz w:val="16"/>
              </w:rPr>
              <w:t>LOS ANGELES</w:t>
            </w:r>
          </w:p>
          <w:p>
            <w:pPr>
              <w:pStyle w:val="TableContents"/>
              <w:bidi w:val="0"/>
              <w:spacing w:before="0" w:after="0"/>
              <w:jc w:val="center"/>
              <w:rPr>
                <w:rFonts w:ascii="Times New Roman" w:hAnsi="Times New Roman"/>
                <w:sz w:val="16"/>
              </w:rPr>
            </w:pPr>
            <w:r>
              <w:rPr>
                <w:rFonts w:ascii="Times New Roman" w:hAnsi="Times New Roman"/>
                <w:sz w:val="16"/>
              </w:rPr>
              <w:t>PALO ALTO</w:t>
            </w:r>
          </w:p>
          <w:p>
            <w:pPr>
              <w:pStyle w:val="TableContents"/>
              <w:bidi w:val="0"/>
              <w:spacing w:before="0" w:after="0"/>
              <w:jc w:val="center"/>
              <w:rPr>
                <w:rFonts w:ascii="Times New Roman" w:hAnsi="Times New Roman"/>
                <w:sz w:val="16"/>
              </w:rPr>
            </w:pPr>
            <w:r>
              <w:rPr>
                <w:rFonts w:ascii="Times New Roman" w:hAnsi="Times New Roman"/>
                <w:sz w:val="16"/>
              </w:rPr>
              <w:t>WASHINGTON, D.C.</w:t>
            </w:r>
          </w:p>
          <w:p>
            <w:pPr>
              <w:pStyle w:val="TableContents"/>
              <w:bidi w:val="0"/>
              <w:spacing w:before="0" w:after="0"/>
              <w:jc w:val="center"/>
              <w:rPr>
                <w:rFonts w:ascii="Times New Roman" w:hAnsi="Times New Roman"/>
                <w:sz w:val="16"/>
              </w:rPr>
            </w:pPr>
            <w:r>
              <w:rPr>
                <w:rFonts w:ascii="Times New Roman" w:hAnsi="Times New Roman"/>
                <w:sz w:val="16"/>
              </w:rPr>
              <w:t>WILMINGTON</w:t>
            </w:r>
          </w:p>
          <w:p>
            <w:pPr>
              <w:pStyle w:val="TableContents"/>
              <w:bidi w:val="0"/>
              <w:spacing w:before="0" w:after="0"/>
              <w:jc w:val="center"/>
              <w:rPr>
                <w:u w:val="single"/>
              </w:rPr>
            </w:pPr>
            <w:r>
              <w:rPr>
                <w:u w:val="single"/>
              </w:rPr>
              <w:t>    </w:t>
            </w:r>
          </w:p>
          <w:p>
            <w:pPr>
              <w:pStyle w:val="TableContents"/>
              <w:bidi w:val="0"/>
              <w:spacing w:before="0" w:after="0"/>
              <w:jc w:val="left"/>
              <w:rPr/>
            </w:pPr>
            <w:r>
              <w:rPr/>
              <w:t> </w:t>
            </w:r>
          </w:p>
          <w:p>
            <w:pPr>
              <w:pStyle w:val="TableContents"/>
              <w:bidi w:val="0"/>
              <w:spacing w:before="0" w:after="0"/>
              <w:jc w:val="center"/>
              <w:rPr>
                <w:rFonts w:ascii="Times New Roman" w:hAnsi="Times New Roman"/>
                <w:sz w:val="16"/>
              </w:rPr>
            </w:pPr>
            <w:r>
              <w:rPr>
                <w:rFonts w:ascii="Times New Roman" w:hAnsi="Times New Roman"/>
                <w:sz w:val="16"/>
              </w:rPr>
              <w:t>ABU DHABI</w:t>
            </w:r>
          </w:p>
          <w:p>
            <w:pPr>
              <w:pStyle w:val="TableContents"/>
              <w:bidi w:val="0"/>
              <w:spacing w:before="0" w:after="0"/>
              <w:jc w:val="center"/>
              <w:rPr>
                <w:rFonts w:ascii="Times New Roman" w:hAnsi="Times New Roman"/>
                <w:sz w:val="16"/>
              </w:rPr>
            </w:pPr>
            <w:r>
              <w:rPr>
                <w:rFonts w:ascii="Times New Roman" w:hAnsi="Times New Roman"/>
                <w:sz w:val="16"/>
              </w:rPr>
              <w:t>BEIJING</w:t>
            </w:r>
          </w:p>
          <w:p>
            <w:pPr>
              <w:pStyle w:val="TableContents"/>
              <w:bidi w:val="0"/>
              <w:spacing w:before="0" w:after="0"/>
              <w:jc w:val="center"/>
              <w:rPr>
                <w:rFonts w:ascii="Times New Roman" w:hAnsi="Times New Roman"/>
                <w:sz w:val="16"/>
              </w:rPr>
            </w:pPr>
            <w:r>
              <w:rPr>
                <w:rFonts w:ascii="Times New Roman" w:hAnsi="Times New Roman"/>
                <w:sz w:val="16"/>
              </w:rPr>
              <w:t>BRUSSELS</w:t>
            </w:r>
          </w:p>
          <w:p>
            <w:pPr>
              <w:pStyle w:val="TableContents"/>
              <w:bidi w:val="0"/>
              <w:spacing w:before="0" w:after="0"/>
              <w:jc w:val="center"/>
              <w:rPr>
                <w:rFonts w:ascii="Times New Roman" w:hAnsi="Times New Roman"/>
                <w:sz w:val="16"/>
              </w:rPr>
            </w:pPr>
            <w:r>
              <w:rPr>
                <w:rFonts w:ascii="Times New Roman" w:hAnsi="Times New Roman"/>
                <w:sz w:val="16"/>
              </w:rPr>
              <w:t>FRANKFURT</w:t>
            </w:r>
          </w:p>
          <w:p>
            <w:pPr>
              <w:pStyle w:val="TableContents"/>
              <w:bidi w:val="0"/>
              <w:spacing w:before="0" w:after="0"/>
              <w:jc w:val="center"/>
              <w:rPr>
                <w:rFonts w:ascii="Times New Roman" w:hAnsi="Times New Roman"/>
                <w:sz w:val="16"/>
              </w:rPr>
            </w:pPr>
            <w:r>
              <w:rPr>
                <w:rFonts w:ascii="Times New Roman" w:hAnsi="Times New Roman"/>
                <w:sz w:val="16"/>
              </w:rPr>
              <w:t>HONG KONG</w:t>
            </w:r>
          </w:p>
          <w:p>
            <w:pPr>
              <w:pStyle w:val="TableContents"/>
              <w:bidi w:val="0"/>
              <w:spacing w:before="0" w:after="0"/>
              <w:jc w:val="center"/>
              <w:rPr>
                <w:rFonts w:ascii="Times New Roman" w:hAnsi="Times New Roman"/>
                <w:sz w:val="16"/>
              </w:rPr>
            </w:pPr>
            <w:r>
              <w:rPr>
                <w:rFonts w:ascii="Times New Roman" w:hAnsi="Times New Roman"/>
                <w:sz w:val="16"/>
              </w:rPr>
              <w:t>LONDON</w:t>
            </w:r>
          </w:p>
          <w:p>
            <w:pPr>
              <w:pStyle w:val="TableContents"/>
              <w:bidi w:val="0"/>
              <w:spacing w:before="0" w:after="0"/>
              <w:jc w:val="center"/>
              <w:rPr>
                <w:rFonts w:ascii="Times New Roman" w:hAnsi="Times New Roman"/>
                <w:sz w:val="16"/>
              </w:rPr>
            </w:pPr>
            <w:r>
              <w:rPr>
                <w:rFonts w:ascii="Times New Roman" w:hAnsi="Times New Roman"/>
                <w:sz w:val="16"/>
              </w:rPr>
              <w:t>MUNICH</w:t>
            </w:r>
          </w:p>
          <w:p>
            <w:pPr>
              <w:pStyle w:val="TableContents"/>
              <w:bidi w:val="0"/>
              <w:spacing w:before="0" w:after="0"/>
              <w:jc w:val="center"/>
              <w:rPr>
                <w:rFonts w:ascii="Times New Roman" w:hAnsi="Times New Roman"/>
                <w:sz w:val="16"/>
              </w:rPr>
            </w:pPr>
            <w:r>
              <w:rPr>
                <w:rFonts w:ascii="Times New Roman" w:hAnsi="Times New Roman"/>
                <w:sz w:val="16"/>
              </w:rPr>
              <w:t>PARIS</w:t>
            </w:r>
          </w:p>
          <w:p>
            <w:pPr>
              <w:pStyle w:val="TableContents"/>
              <w:bidi w:val="0"/>
              <w:spacing w:before="0" w:after="0"/>
              <w:jc w:val="center"/>
              <w:rPr>
                <w:rFonts w:ascii="Times New Roman" w:hAnsi="Times New Roman"/>
                <w:sz w:val="16"/>
              </w:rPr>
            </w:pPr>
            <w:r>
              <w:rPr>
                <w:rFonts w:ascii="Times New Roman" w:hAnsi="Times New Roman"/>
                <w:sz w:val="16"/>
              </w:rPr>
              <w:t>SÃO PAULO</w:t>
            </w:r>
          </w:p>
          <w:p>
            <w:pPr>
              <w:pStyle w:val="TableContents"/>
              <w:bidi w:val="0"/>
              <w:spacing w:before="0" w:after="0"/>
              <w:jc w:val="center"/>
              <w:rPr>
                <w:rFonts w:ascii="Times New Roman" w:hAnsi="Times New Roman"/>
                <w:sz w:val="16"/>
              </w:rPr>
            </w:pPr>
            <w:r>
              <w:rPr>
                <w:rFonts w:ascii="Times New Roman" w:hAnsi="Times New Roman"/>
                <w:sz w:val="16"/>
              </w:rPr>
              <w:t>SEOUL</w:t>
            </w:r>
          </w:p>
          <w:p>
            <w:pPr>
              <w:pStyle w:val="TableContents"/>
              <w:bidi w:val="0"/>
              <w:spacing w:before="0" w:after="0"/>
              <w:jc w:val="center"/>
              <w:rPr>
                <w:rFonts w:ascii="Times New Roman" w:hAnsi="Times New Roman"/>
                <w:sz w:val="16"/>
              </w:rPr>
            </w:pPr>
            <w:r>
              <w:rPr>
                <w:rFonts w:ascii="Times New Roman" w:hAnsi="Times New Roman"/>
                <w:sz w:val="16"/>
              </w:rPr>
              <w:t>SINGAPORE</w:t>
            </w:r>
          </w:p>
          <w:p>
            <w:pPr>
              <w:pStyle w:val="TableContents"/>
              <w:bidi w:val="0"/>
              <w:spacing w:before="0" w:after="0"/>
              <w:jc w:val="center"/>
              <w:rPr>
                <w:rFonts w:ascii="Times New Roman" w:hAnsi="Times New Roman"/>
                <w:sz w:val="16"/>
              </w:rPr>
            </w:pPr>
            <w:r>
              <w:rPr>
                <w:rFonts w:ascii="Times New Roman" w:hAnsi="Times New Roman"/>
                <w:sz w:val="16"/>
              </w:rPr>
              <w:t>TOKYO</w:t>
            </w:r>
          </w:p>
          <w:p>
            <w:pPr>
              <w:pStyle w:val="TableContents"/>
              <w:bidi w:val="0"/>
              <w:spacing w:before="0" w:after="20"/>
              <w:jc w:val="center"/>
              <w:rPr>
                <w:rFonts w:ascii="Times New Roman" w:hAnsi="Times New Roman"/>
                <w:sz w:val="16"/>
              </w:rPr>
            </w:pPr>
            <w:r>
              <w:rPr>
                <w:rFonts w:ascii="Times New Roman" w:hAnsi="Times New Roman"/>
                <w:sz w:val="16"/>
              </w:rPr>
              <w:t>TORONTO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Vaxcyte, Inc.</w:t>
            </w:r>
          </w:p>
          <w:p>
            <w:pPr>
              <w:pStyle w:val="TableContents"/>
              <w:bidi w:val="0"/>
              <w:spacing w:before="0" w:after="0"/>
              <w:jc w:val="left"/>
              <w:rPr>
                <w:rFonts w:ascii="Times New Roman" w:hAnsi="Times New Roman"/>
                <w:sz w:val="20"/>
              </w:rPr>
            </w:pPr>
            <w:r>
              <w:rPr>
                <w:rFonts w:ascii="Times New Roman" w:hAnsi="Times New Roman"/>
                <w:sz w:val="20"/>
              </w:rPr>
              <w:t>825 Industrial Road, Suite 300</w:t>
            </w:r>
          </w:p>
          <w:p>
            <w:pPr>
              <w:pStyle w:val="TableContents"/>
              <w:bidi w:val="0"/>
              <w:spacing w:before="0" w:after="20"/>
              <w:jc w:val="left"/>
              <w:rPr>
                <w:rFonts w:ascii="Times New Roman" w:hAnsi="Times New Roman"/>
                <w:sz w:val="20"/>
              </w:rPr>
            </w:pPr>
            <w:r>
              <w:rPr>
                <w:rFonts w:ascii="Times New Roman" w:hAnsi="Times New Roman"/>
                <w:sz w:val="20"/>
              </w:rPr>
              <w:t>San Carlos, California</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Vaxcyte, Inc. </w:t>
            </w:r>
          </w:p>
        </w:tc>
      </w:tr>
    </w:tbl>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 </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on Form S-3</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special United States counsel to Vaxcyte, Inc., a Delaware corporation (the “</w:t>
      </w:r>
      <w:r>
        <w:rPr>
          <w:rFonts w:ascii="Times New Roman" w:hAnsi="Times New Roman"/>
          <w:sz w:val="20"/>
          <w:u w:val="single"/>
        </w:rPr>
        <w:t>Company</w:t>
      </w:r>
      <w:r>
        <w:rPr>
          <w:rFonts w:ascii="Times New Roman" w:hAnsi="Times New Roman"/>
          <w:sz w:val="20"/>
        </w:rPr>
        <w:t>”), in connection with the public offering by the Company of $575,000,000 aggregate principal amount of the Company’s 1.50% Convertible Senior Notes due 2032 (including $75,000,000 aggregate principal amount of the Notes at the Underwriters’ option to cover over-allotments) (the “</w:t>
      </w:r>
      <w:r>
        <w:rPr>
          <w:rFonts w:ascii="Times New Roman" w:hAnsi="Times New Roman"/>
          <w:sz w:val="20"/>
          <w:u w:val="single"/>
        </w:rPr>
        <w:t>Notes</w:t>
      </w:r>
      <w:r>
        <w:rPr>
          <w:rFonts w:ascii="Times New Roman" w:hAnsi="Times New Roman"/>
          <w:sz w:val="20"/>
        </w:rPr>
        <w:t>”), to be issued under the Indenture, dated as of the date hereof (the “</w:t>
      </w:r>
      <w:r>
        <w:rPr>
          <w:rFonts w:ascii="Times New Roman" w:hAnsi="Times New Roman"/>
          <w:sz w:val="20"/>
          <w:u w:val="single"/>
        </w:rPr>
        <w:t>Base Indenture</w:t>
      </w:r>
      <w:r>
        <w:rPr>
          <w:rFonts w:ascii="Times New Roman" w:hAnsi="Times New Roman"/>
          <w:sz w:val="20"/>
        </w:rPr>
        <w:t>”), between the Company and U.S. Bank Trust Company, National Association, as trustee (in such capacity, the “</w:t>
      </w:r>
      <w:r>
        <w:rPr>
          <w:rFonts w:ascii="Times New Roman" w:hAnsi="Times New Roman"/>
          <w:sz w:val="20"/>
          <w:u w:val="single"/>
        </w:rPr>
        <w:t>Trustee</w:t>
      </w:r>
      <w:r>
        <w:rPr>
          <w:rFonts w:ascii="Times New Roman" w:hAnsi="Times New Roman"/>
          <w:sz w:val="20"/>
        </w:rPr>
        <w:t>”), as supplemented by the First Supplemental Indenture, dated as of the date hereof (the “</w:t>
      </w:r>
      <w:r>
        <w:rPr>
          <w:rFonts w:ascii="Times New Roman" w:hAnsi="Times New Roman"/>
          <w:sz w:val="20"/>
          <w:u w:val="single"/>
        </w:rPr>
        <w:t>First Supplemental Indenture</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between the Company and the Trustee. The Notes will be convertible into cash, shares of the common stock of the Company, par value $0.001 per share (the “</w:t>
      </w:r>
      <w:r>
        <w:rPr>
          <w:rFonts w:ascii="Times New Roman" w:hAnsi="Times New Roman"/>
          <w:sz w:val="20"/>
          <w:u w:val="single"/>
        </w:rPr>
        <w:t>Common Stock</w:t>
      </w:r>
      <w:r>
        <w:rPr>
          <w:rFonts w:ascii="Times New Roman" w:hAnsi="Times New Roman"/>
          <w:sz w:val="20"/>
        </w:rPr>
        <w:t xml:space="preserve">”), or a combination thereof, at the Company’s option, in accordance with, and subject to, their terms and the terms of the Indenture. </w:t>
      </w:r>
    </w:p>
    <w:p>
      <w:pPr>
        <w:pStyle w:val="TextBody"/>
        <w:bidi w:val="0"/>
        <w:spacing w:before="240" w:after="0"/>
        <w:jc w:val="left"/>
        <w:rPr>
          <w:rFonts w:ascii="Times New Roman" w:hAnsi="Times New Roman"/>
          <w:sz w:val="20"/>
        </w:rPr>
      </w:pPr>
      <w:r>
        <w:rPr>
          <w:rFonts w:ascii="Times New Roman" w:hAnsi="Times New Roman"/>
          <w:sz w:val="20"/>
        </w:rPr>
        <w:t>This opinion letter is being furnished in accordance with the requirements of Item 601(b)(5) of Regulation S-K under the Securities Act of 1933 (the “</w:t>
      </w:r>
      <w:r>
        <w:rPr>
          <w:rFonts w:ascii="Times New Roman" w:hAnsi="Times New Roman"/>
          <w:sz w:val="20"/>
          <w:u w:val="single"/>
        </w:rPr>
        <w:t>Securities Act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Vaxcyte, Inc. </w:t>
      </w:r>
    </w:p>
    <w:p>
      <w:pPr>
        <w:pStyle w:val="TextBody"/>
        <w:bidi w:val="0"/>
        <w:spacing w:before="0" w:after="0"/>
        <w:jc w:val="left"/>
        <w:rPr>
          <w:rFonts w:ascii="Times New Roman" w:hAnsi="Times New Roman"/>
          <w:sz w:val="20"/>
        </w:rPr>
      </w:pPr>
      <w:r>
        <w:rPr>
          <w:rFonts w:ascii="Times New Roman" w:hAnsi="Times New Roman"/>
          <w:sz w:val="20"/>
        </w:rPr>
        <w:t xml:space="preserve">October 9,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rendering the opinions stated herein, we have examined and relied upon the following: </w:t>
      </w:r>
    </w:p>
    <w:p>
      <w:pPr>
        <w:pStyle w:val="TextBody"/>
        <w:bidi w:val="0"/>
        <w:spacing w:before="120" w:after="0"/>
        <w:jc w:val="left"/>
        <w:rPr>
          <w:rFonts w:ascii="Times New Roman" w:hAnsi="Times New Roman"/>
          <w:sz w:val="20"/>
        </w:rPr>
      </w:pPr>
      <w:r>
        <w:rPr>
          <w:rFonts w:ascii="Times New Roman" w:hAnsi="Times New Roman"/>
          <w:sz w:val="20"/>
        </w:rPr>
        <w:t>(a) the registration statement on Form S-3 (File No. 333-279735) of the Company relating to debt and equity securities and other securities of the Company filed on May 24, 2024 with the Securities and Exchange Commission (the “</w:t>
      </w:r>
      <w:r>
        <w:rPr>
          <w:rFonts w:ascii="Times New Roman" w:hAnsi="Times New Roman"/>
          <w:sz w:val="20"/>
          <w:u w:val="single"/>
        </w:rPr>
        <w:t>Commission</w:t>
      </w:r>
      <w:r>
        <w:rPr>
          <w:rFonts w:ascii="Times New Roman" w:hAnsi="Times New Roman"/>
          <w:sz w:val="20"/>
        </w:rPr>
        <w:t>”) under the Securities Act allowing for delayed offerings pursuant to Rule 415 of the General Rules and Regulations under the Securities Act (the “</w:t>
      </w:r>
      <w:r>
        <w:rPr>
          <w:rFonts w:ascii="Times New Roman" w:hAnsi="Times New Roman"/>
          <w:sz w:val="20"/>
          <w:u w:val="single"/>
        </w:rPr>
        <w:t>Rules and Regulations</w:t>
      </w:r>
      <w:r>
        <w:rPr>
          <w:rFonts w:ascii="Times New Roman" w:hAnsi="Times New Roman"/>
          <w:sz w:val="20"/>
        </w:rPr>
        <w:t>”), including the information deemed to be a part of the registration statement pursuant to Rule 430B of the Rules and Regulations (such registration statement being hereinafter referred to as the “</w:t>
      </w:r>
      <w:r>
        <w:rPr>
          <w:rFonts w:ascii="Times New Roman" w:hAnsi="Times New Roman"/>
          <w:sz w:val="20"/>
          <w:u w:val="single"/>
        </w:rPr>
        <w:t>Registration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prospectus, dated May 24, 2024 (the “</w:t>
      </w:r>
      <w:r>
        <w:rPr>
          <w:rFonts w:ascii="Times New Roman" w:hAnsi="Times New Roman"/>
          <w:sz w:val="20"/>
          <w:u w:val="single"/>
        </w:rPr>
        <w:t>Base Prospectus</w:t>
      </w:r>
      <w:r>
        <w:rPr>
          <w:rFonts w:ascii="Times New Roman" w:hAnsi="Times New Roman"/>
          <w:sz w:val="20"/>
        </w:rPr>
        <w:t xml:space="preserve">”), which forms a part of and is included in the Registration Statement; </w:t>
      </w:r>
    </w:p>
    <w:p>
      <w:pPr>
        <w:pStyle w:val="TextBody"/>
        <w:bidi w:val="0"/>
        <w:spacing w:before="240" w:after="0"/>
        <w:jc w:val="left"/>
        <w:rPr>
          <w:rFonts w:ascii="Times New Roman" w:hAnsi="Times New Roman"/>
          <w:sz w:val="20"/>
        </w:rPr>
      </w:pPr>
      <w:r>
        <w:rPr>
          <w:rFonts w:ascii="Times New Roman" w:hAnsi="Times New Roman"/>
          <w:sz w:val="20"/>
        </w:rPr>
        <w:t>(c) the preliminary prospectus supplement, dated October 5, 2026 (together with the Base Prospectus, the “</w:t>
      </w:r>
      <w:r>
        <w:rPr>
          <w:rFonts w:ascii="Times New Roman" w:hAnsi="Times New Roman"/>
          <w:sz w:val="20"/>
          <w:u w:val="single"/>
        </w:rPr>
        <w:t>Preliminary Prospectus</w:t>
      </w:r>
      <w:r>
        <w:rPr>
          <w:rFonts w:ascii="Times New Roman" w:hAnsi="Times New Roman"/>
          <w:sz w:val="20"/>
        </w:rPr>
        <w:t xml:space="preserve">”), relating to the offering of the Notes, in the form filed with the Commission pursuant to Rule 424(b) of the Rules and Regulations; </w:t>
      </w:r>
    </w:p>
    <w:p>
      <w:pPr>
        <w:pStyle w:val="TextBody"/>
        <w:bidi w:val="0"/>
        <w:spacing w:before="240" w:after="0"/>
        <w:jc w:val="left"/>
        <w:rPr>
          <w:rFonts w:ascii="Times New Roman" w:hAnsi="Times New Roman"/>
          <w:sz w:val="20"/>
        </w:rPr>
      </w:pPr>
      <w:r>
        <w:rPr>
          <w:rFonts w:ascii="Times New Roman" w:hAnsi="Times New Roman"/>
          <w:sz w:val="20"/>
        </w:rPr>
        <w:t>(d) the prospectus supplement, dated October 6, 2026 (together with the Base Prospectus, the “</w:t>
      </w:r>
      <w:r>
        <w:rPr>
          <w:rFonts w:ascii="Times New Roman" w:hAnsi="Times New Roman"/>
          <w:sz w:val="20"/>
          <w:u w:val="single"/>
        </w:rPr>
        <w:t>Prospectus</w:t>
      </w:r>
      <w:r>
        <w:rPr>
          <w:rFonts w:ascii="Times New Roman" w:hAnsi="Times New Roman"/>
          <w:sz w:val="20"/>
        </w:rPr>
        <w:t xml:space="preserve">”), relating to the offering of the Notes, in the form filed with the Commission pursuant to Rule 424(b) of the Rules and Regulations; </w:t>
      </w:r>
    </w:p>
    <w:p>
      <w:pPr>
        <w:pStyle w:val="TextBody"/>
        <w:bidi w:val="0"/>
        <w:spacing w:before="240" w:after="0"/>
        <w:jc w:val="left"/>
        <w:rPr>
          <w:rFonts w:ascii="Times New Roman" w:hAnsi="Times New Roman"/>
          <w:sz w:val="20"/>
        </w:rPr>
      </w:pPr>
      <w:r>
        <w:rPr>
          <w:rFonts w:ascii="Times New Roman" w:hAnsi="Times New Roman"/>
          <w:sz w:val="20"/>
        </w:rPr>
        <w:t>(e) an executed copy of the Underwriting Agreement, dated October 6, 2026 (the “</w:t>
      </w:r>
      <w:r>
        <w:rPr>
          <w:rFonts w:ascii="Times New Roman" w:hAnsi="Times New Roman"/>
          <w:sz w:val="20"/>
          <w:u w:val="single"/>
        </w:rPr>
        <w:t>Underwriting Agreement</w:t>
      </w:r>
      <w:r>
        <w:rPr>
          <w:rFonts w:ascii="Times New Roman" w:hAnsi="Times New Roman"/>
          <w:sz w:val="20"/>
        </w:rPr>
        <w:t>”), among the Company and Jefferies LLC and Leerink Partners LLC, as representatives of the several Underwriters (the “</w:t>
      </w:r>
      <w:r>
        <w:rPr>
          <w:rFonts w:ascii="Times New Roman" w:hAnsi="Times New Roman"/>
          <w:sz w:val="20"/>
          <w:u w:val="single"/>
        </w:rPr>
        <w:t>Underwriters</w:t>
      </w:r>
      <w:r>
        <w:rPr>
          <w:rFonts w:ascii="Times New Roman" w:hAnsi="Times New Roman"/>
          <w:sz w:val="20"/>
        </w:rPr>
        <w:t xml:space="preserve">”), relating to the sale by the Company to the Underwriters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(f) an executed copy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(g) an executed copy of the First Supplemental Indenture; </w:t>
      </w:r>
    </w:p>
    <w:p>
      <w:pPr>
        <w:pStyle w:val="TextBody"/>
        <w:bidi w:val="0"/>
        <w:spacing w:before="240" w:after="0"/>
        <w:jc w:val="left"/>
        <w:rPr>
          <w:rFonts w:ascii="Times New Roman" w:hAnsi="Times New Roman"/>
          <w:sz w:val="20"/>
        </w:rPr>
      </w:pPr>
      <w:r>
        <w:rPr>
          <w:rFonts w:ascii="Times New Roman" w:hAnsi="Times New Roman"/>
          <w:sz w:val="20"/>
        </w:rPr>
        <w:t>(h) the global certificates evidencing the Notes executed by the Company and registered in the name of Cede &amp; Co. (each, a “</w:t>
      </w:r>
      <w:r>
        <w:rPr>
          <w:rFonts w:ascii="Times New Roman" w:hAnsi="Times New Roman"/>
          <w:sz w:val="20"/>
          <w:u w:val="single"/>
        </w:rPr>
        <w:t>Note Certificate</w:t>
      </w:r>
      <w:r>
        <w:rPr>
          <w:rFonts w:ascii="Times New Roman" w:hAnsi="Times New Roman"/>
          <w:sz w:val="20"/>
        </w:rPr>
        <w:t>” and collectively, the “</w:t>
      </w:r>
      <w:r>
        <w:rPr>
          <w:rFonts w:ascii="Times New Roman" w:hAnsi="Times New Roman"/>
          <w:sz w:val="20"/>
          <w:u w:val="single"/>
        </w:rPr>
        <w:t>Note Certificates</w:t>
      </w:r>
      <w:r>
        <w:rPr>
          <w:rFonts w:ascii="Times New Roman" w:hAnsi="Times New Roman"/>
          <w:sz w:val="20"/>
        </w:rPr>
        <w:t xml:space="preserve">”), delivered by the Company to the Trustee for authentication and delivery; </w:t>
      </w:r>
    </w:p>
    <w:p>
      <w:pPr>
        <w:pStyle w:val="TextBody"/>
        <w:bidi w:val="0"/>
        <w:spacing w:before="240" w:after="0"/>
        <w:jc w:val="left"/>
        <w:rPr>
          <w:rFonts w:ascii="Times New Roman" w:hAnsi="Times New Roman"/>
          <w:sz w:val="20"/>
        </w:rPr>
      </w:pPr>
      <w:r>
        <w:rPr>
          <w:rFonts w:ascii="Times New Roman" w:hAnsi="Times New Roman"/>
          <w:sz w:val="20"/>
        </w:rPr>
        <w:t>(i) an executed copy of a certificate of David McAvoy, Chief Legal Officer, Chief Compliance Officer and Corporate Secretary of the Company, dated the date hereof (the “</w:t>
      </w:r>
      <w:r>
        <w:rPr>
          <w:rFonts w:ascii="Times New Roman" w:hAnsi="Times New Roman"/>
          <w:sz w:val="20"/>
          <w:u w:val="single"/>
        </w:rPr>
        <w:t>Secretary’s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(j) a copy of the Company’s Second Amended and Restated Certificate of Incorporation (the “</w:t>
      </w:r>
      <w:r>
        <w:rPr>
          <w:rFonts w:ascii="Times New Roman" w:hAnsi="Times New Roman"/>
          <w:sz w:val="20"/>
          <w:u w:val="single"/>
        </w:rPr>
        <w:t>Certificate of Incorporation</w:t>
      </w:r>
      <w:r>
        <w:rPr>
          <w:rFonts w:ascii="Times New Roman" w:hAnsi="Times New Roman"/>
          <w:sz w:val="20"/>
        </w:rPr>
        <w:t xml:space="preserve">”), certified by the Secretary of State of the State of Delaware as of September 24, 2026, and certified pursuant to the Secretary’s Certificate as being in effect on the date of the resolutions referred to below and as of the date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Vaxcyte, Inc. </w:t>
      </w:r>
    </w:p>
    <w:p>
      <w:pPr>
        <w:pStyle w:val="TextBody"/>
        <w:bidi w:val="0"/>
        <w:spacing w:before="0" w:after="0"/>
        <w:jc w:val="left"/>
        <w:rPr>
          <w:rFonts w:ascii="Times New Roman" w:hAnsi="Times New Roman"/>
          <w:sz w:val="20"/>
        </w:rPr>
      </w:pPr>
      <w:r>
        <w:rPr>
          <w:rFonts w:ascii="Times New Roman" w:hAnsi="Times New Roman"/>
          <w:sz w:val="20"/>
        </w:rPr>
        <w:t xml:space="preserve">October 9,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(k) a copy of the Company’s Amended and Restated Bylaws, as amended, and certified pursuant to the Secretary’s Certificate as being in effect on the date of the resolutions referred to below and as of the date hereof; and </w:t>
      </w:r>
    </w:p>
    <w:p>
      <w:pPr>
        <w:pStyle w:val="TextBody"/>
        <w:bidi w:val="0"/>
        <w:spacing w:before="240" w:after="0"/>
        <w:jc w:val="left"/>
        <w:rPr>
          <w:rFonts w:ascii="Times New Roman" w:hAnsi="Times New Roman"/>
          <w:sz w:val="20"/>
        </w:rPr>
      </w:pPr>
      <w:r>
        <w:rPr>
          <w:rFonts w:ascii="Times New Roman" w:hAnsi="Times New Roman"/>
          <w:sz w:val="20"/>
        </w:rPr>
        <w:t xml:space="preserve">(l) copies of certain resolutions of the Board of Directors of the Company, adopted on September 15, 2026 and September 30, 2026 and certain resolutions of the Pricing Committee thereof, adopted on October 6, 2026, certified pursuant to the Secretary’s Certificate as being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 </w:t>
      </w:r>
    </w:p>
    <w:p>
      <w:pPr>
        <w:pStyle w:val="TextBody"/>
        <w:bidi w:val="0"/>
        <w:spacing w:before="240" w:after="0"/>
        <w:jc w:val="left"/>
        <w:rPr>
          <w:rFonts w:ascii="Times New Roman" w:hAnsi="Times New Roman"/>
          <w:sz w:val="20"/>
        </w:rPr>
      </w:pPr>
      <w:r>
        <w:rPr>
          <w:rFonts w:ascii="Times New Roman" w:hAnsi="Times New Roman"/>
          <w:sz w:val="20"/>
        </w:rPr>
        <w:t xml:space="preserve">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 including the facts and conclusions set forth in the Secretary’s Certificate, the Certificate of Incorporation and the factual representations and warranties set forth in the Underwriting Agreement. </w:t>
      </w:r>
    </w:p>
    <w:p>
      <w:pPr>
        <w:pStyle w:val="TextBody"/>
        <w:bidi w:val="0"/>
        <w:spacing w:before="240" w:after="0"/>
        <w:jc w:val="left"/>
        <w:rPr>
          <w:rFonts w:ascii="Times New Roman" w:hAnsi="Times New Roman"/>
          <w:sz w:val="20"/>
        </w:rPr>
      </w:pPr>
      <w:r>
        <w:rPr>
          <w:rFonts w:ascii="Times New Roman" w:hAnsi="Times New Roman"/>
          <w:sz w:val="20"/>
        </w:rPr>
        <w:t>We do not express any opinion with respect to the laws of any jurisdiction other than (i) the laws of the State of New York and (ii) the General Corporation Law of the State of Delaware (the “</w:t>
      </w:r>
      <w:r>
        <w:rPr>
          <w:rFonts w:ascii="Times New Roman" w:hAnsi="Times New Roman"/>
          <w:sz w:val="20"/>
          <w:u w:val="single"/>
        </w:rPr>
        <w:t>DGCL</w:t>
      </w:r>
      <w:r>
        <w:rPr>
          <w:rFonts w:ascii="Times New Roman" w:hAnsi="Times New Roman"/>
          <w:sz w:val="20"/>
        </w:rPr>
        <w:t>”) (all of the foregoing being referred to as “</w:t>
      </w:r>
      <w:r>
        <w:rPr>
          <w:rFonts w:ascii="Times New Roman" w:hAnsi="Times New Roman"/>
          <w:sz w:val="20"/>
          <w:u w:val="single"/>
        </w:rPr>
        <w:t>Opined-on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As used herein, (a) “</w:t>
      </w:r>
      <w:r>
        <w:rPr>
          <w:rFonts w:ascii="Times New Roman" w:hAnsi="Times New Roman"/>
          <w:sz w:val="20"/>
          <w:u w:val="single"/>
        </w:rPr>
        <w:t>Transaction Documents</w:t>
      </w:r>
      <w:r>
        <w:rPr>
          <w:rFonts w:ascii="Times New Roman" w:hAnsi="Times New Roman"/>
          <w:sz w:val="20"/>
        </w:rPr>
        <w:t>” means the Underwriting Agreement, the Indenture, and the Note Certificates and (b) “</w:t>
      </w:r>
      <w:r>
        <w:rPr>
          <w:rFonts w:ascii="Times New Roman" w:hAnsi="Times New Roman"/>
          <w:sz w:val="20"/>
          <w:u w:val="single"/>
        </w:rPr>
        <w:t>Organizational Documents</w:t>
      </w:r>
      <w:r>
        <w:rPr>
          <w:rFonts w:ascii="Times New Roman" w:hAnsi="Times New Roman"/>
          <w:sz w:val="20"/>
        </w:rPr>
        <w:t xml:space="preserve">” means those documents listed in paragraphs (j) and (k) above.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qualifications and assumptions stated herein, we are of the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Each Note Certificate has been duly authorized and executed by all requisite corporate action on the part of the Company under the DGCL, and when duly authenticated by the Trustee and issued and delivered by the Company against payment therefor in accordance with the terms of the Underwriting Agreement and the Indenture, such Note Certificate will constitute a valid and binding obligation of the Company, enforceable against the Company in accordance with its terms under the laws of the State of New York.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Vaxcyte, Inc. </w:t>
      </w:r>
    </w:p>
    <w:p>
      <w:pPr>
        <w:pStyle w:val="TextBody"/>
        <w:bidi w:val="0"/>
        <w:spacing w:before="0" w:after="0"/>
        <w:jc w:val="left"/>
        <w:rPr>
          <w:rFonts w:ascii="Times New Roman" w:hAnsi="Times New Roman"/>
          <w:sz w:val="20"/>
        </w:rPr>
      </w:pPr>
      <w:r>
        <w:rPr>
          <w:rFonts w:ascii="Times New Roman" w:hAnsi="Times New Roman"/>
          <w:sz w:val="20"/>
        </w:rPr>
        <w:t xml:space="preserve">October 9,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2. The 8,984,375 shares of Common Stock of the Company initially issuable upon conversion of the Notes pursuant to the Indenture (the “</w:t>
      </w:r>
      <w:r>
        <w:rPr>
          <w:rFonts w:ascii="Times New Roman" w:hAnsi="Times New Roman"/>
          <w:sz w:val="20"/>
          <w:u w:val="single"/>
        </w:rPr>
        <w:t>Conversion Shares</w:t>
      </w:r>
      <w:r>
        <w:rPr>
          <w:rFonts w:ascii="Times New Roman" w:hAnsi="Times New Roman"/>
          <w:sz w:val="20"/>
        </w:rPr>
        <w:t xml:space="preserve">”) have been duly authorized by all requisite corporate action on the part of the Company under the DGCL and, when issued upon conversion of the Notes in accordance with the terms of the Indenture,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opinions stated herein are subject to the following assumptions and qualifications: </w:t>
      </w:r>
    </w:p>
    <w:p>
      <w:pPr>
        <w:pStyle w:val="TextBody"/>
        <w:bidi w:val="0"/>
        <w:spacing w:before="120" w:after="0"/>
        <w:jc w:val="left"/>
        <w:rPr>
          <w:rFonts w:ascii="Times New Roman" w:hAnsi="Times New Roman"/>
          <w:sz w:val="20"/>
        </w:rPr>
      </w:pPr>
      <w:r>
        <w:rPr>
          <w:rFonts w:ascii="Times New Roman" w:hAnsi="Times New Roman"/>
          <w:sz w:val="20"/>
        </w:rPr>
        <w:t xml:space="preserve">(a) we do not express any opinion with respect to the effect on the opinions stated herein of any bankruptcy, insolvency, reorganization, moratorium, fraudulent transfer, preference and other similar laws or governmental orders affecting creditors’ rights generally, and the opinions stated herein are limited by such laws and governmental orders and by general principles of equity (regardless of whether enforcement is sought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(b) we do not express any opinion with respect to any law, rule, regulation or order that is applicable to any party to any of the Transaction Documents or the transactions contemplated thereby solely because such law, rule, regulation or order is part of a regulatory regime applicable to any such party or any of its affiliates as a result of the specific assets or business operations of such party or such affiliates; </w:t>
      </w:r>
    </w:p>
    <w:p>
      <w:pPr>
        <w:pStyle w:val="TextBody"/>
        <w:bidi w:val="0"/>
        <w:spacing w:before="240" w:after="0"/>
        <w:jc w:val="left"/>
        <w:rPr>
          <w:rFonts w:ascii="Times New Roman" w:hAnsi="Times New Roman"/>
          <w:sz w:val="20"/>
        </w:rPr>
      </w:pPr>
      <w:r>
        <w:rPr>
          <w:rFonts w:ascii="Times New Roman" w:hAnsi="Times New Roman"/>
          <w:sz w:val="20"/>
        </w:rPr>
        <w:t xml:space="preserve">(c) except to the extent expressly stated in the opinions contained herein, we have assumed that each of the Transaction Documents constitutes the valid and binding obligation of each party to such Transaction Document, enforceable against such party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(d) 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regulations or orders, or to the extent any such provision purports to waive or alter, or has the effect of waiving or altering, any statute of limitations; </w:t>
      </w:r>
    </w:p>
    <w:p>
      <w:pPr>
        <w:pStyle w:val="TextBody"/>
        <w:bidi w:val="0"/>
        <w:spacing w:before="240" w:after="0"/>
        <w:jc w:val="left"/>
        <w:rPr>
          <w:rFonts w:ascii="Times New Roman" w:hAnsi="Times New Roman"/>
          <w:sz w:val="20"/>
        </w:rPr>
      </w:pPr>
      <w:r>
        <w:rPr>
          <w:rFonts w:ascii="Times New Roman" w:hAnsi="Times New Roman"/>
          <w:sz w:val="20"/>
        </w:rPr>
        <w:t xml:space="preserve">(e) we do not express any opinion whether the execution or delivery of any Transaction Document by the Company, or the performance by the Company of its obligations under any Transaction Document will constitute a violation of, or a default under, any covenant, restriction or provision with respect to financial ratios or tests or any aspect of the financial condition or results of operations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(f) the opinions stated herein are limited to the agreements and documents specifically identified in the opinions contained herein (the “</w:t>
      </w:r>
      <w:r>
        <w:rPr>
          <w:rFonts w:ascii="Times New Roman" w:hAnsi="Times New Roman"/>
          <w:sz w:val="20"/>
          <w:u w:val="single"/>
        </w:rPr>
        <w:t>Specified Documents</w:t>
      </w:r>
      <w:r>
        <w:rPr>
          <w:rFonts w:ascii="Times New Roman" w:hAnsi="Times New Roman"/>
          <w:sz w:val="20"/>
        </w:rPr>
        <w:t xml:space="preserve">”) without regard to any agreement or other document referenced in any Specified Document (including agreements or other documents incorporated by reference or attached or annexed thereto) and without regard to any other agreement or document relating to any Specified Document that is not a Transaction Document;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Vaxcyte, Inc. </w:t>
      </w:r>
    </w:p>
    <w:p>
      <w:pPr>
        <w:pStyle w:val="TextBody"/>
        <w:bidi w:val="0"/>
        <w:spacing w:before="0" w:after="0"/>
        <w:jc w:val="left"/>
        <w:rPr>
          <w:rFonts w:ascii="Times New Roman" w:hAnsi="Times New Roman"/>
          <w:sz w:val="20"/>
        </w:rPr>
      </w:pPr>
      <w:r>
        <w:rPr>
          <w:rFonts w:ascii="Times New Roman" w:hAnsi="Times New Roman"/>
          <w:sz w:val="20"/>
        </w:rPr>
        <w:t xml:space="preserve">October 9, 2026 </w:t>
      </w:r>
    </w:p>
    <w:p>
      <w:pPr>
        <w:pStyle w:val="TextBody"/>
        <w:bidi w:val="0"/>
        <w:spacing w:before="0" w:after="0"/>
        <w:jc w:val="lef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(g) 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(h) to the extent that any opinion relates to the enforceability of the choice of New York law and choice of New York forum provisions contained in any Transaction Document, the opinions stated herein are subject to the qualification that such enforceability may be subject to, in each case, (i) the exceptions and limitations in New York General Obligations Law Sections 5-1401 and 5-1402 and (ii) principles of comity and constitutionality; </w:t>
      </w:r>
    </w:p>
    <w:p>
      <w:pPr>
        <w:pStyle w:val="TextBody"/>
        <w:bidi w:val="0"/>
        <w:spacing w:before="240" w:after="0"/>
        <w:jc w:val="left"/>
        <w:rPr>
          <w:rFonts w:ascii="Times New Roman" w:hAnsi="Times New Roman"/>
          <w:sz w:val="20"/>
        </w:rPr>
      </w:pPr>
      <w:r>
        <w:rPr>
          <w:rFonts w:ascii="Times New Roman" w:hAnsi="Times New Roman"/>
          <w:sz w:val="20"/>
        </w:rPr>
        <w:t xml:space="preserve">(i) the Company’s issuance of the Conversion Shares does not and will not (i) (except that we do not make this assumption with respect to the DGCL) violate any statute to which the Company or such issuance is subject, or (ii) constitute a violation of, or a breach under, or require the consent or approval of any other person under, any agreement or instrument binding on the Company (except that we do not make this assumption with respect to the Organizational Documents or those agreements or instruments expressed to be governed by the laws of the State of New York which are listed in Part II of the Registration Statement or the Company’s Annual Report on Form 10-K for the year ended December 31, 2025, although we have assumed compliance with any covenant, restriction or provision with respect to financial ratios or tests or any aspect of the financial condition or results of operations of the Company contained in such agreements or instruments), and we have further assumed that the Company will continue to have sufficient authorized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(j) the Company’s authorized capital stock is as set forth in the Certificate of Incorporation, and we have relied solely on the certified copy thereof issued by the Secretary of State of the State of Delaware and have not made any other inquiries or investigations; and </w:t>
      </w:r>
    </w:p>
    <w:p>
      <w:pPr>
        <w:pStyle w:val="TextBody"/>
        <w:bidi w:val="0"/>
        <w:spacing w:before="240" w:after="0"/>
        <w:jc w:val="left"/>
        <w:rPr>
          <w:rFonts w:ascii="Times New Roman" w:hAnsi="Times New Roman"/>
          <w:sz w:val="20"/>
        </w:rPr>
      </w:pPr>
      <w:r>
        <w:rPr>
          <w:rFonts w:ascii="Times New Roman" w:hAnsi="Times New Roman"/>
          <w:sz w:val="20"/>
        </w:rPr>
        <w:t xml:space="preserve">(k) in rendering the opinion set forth in paragraph 2 above, we have assumed that the Conversion Price (as defined in the Indenture) will be at least equal to the par value of the Conversion Shares at the time of conversion.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Vaxcyte, Inc. </w:t>
      </w:r>
    </w:p>
    <w:p>
      <w:pPr>
        <w:pStyle w:val="TextBody"/>
        <w:bidi w:val="0"/>
        <w:spacing w:before="0" w:after="0"/>
        <w:jc w:val="left"/>
        <w:rPr>
          <w:rFonts w:ascii="Times New Roman" w:hAnsi="Times New Roman"/>
          <w:sz w:val="20"/>
        </w:rPr>
      </w:pPr>
      <w:r>
        <w:rPr>
          <w:rFonts w:ascii="Times New Roman" w:hAnsi="Times New Roman"/>
          <w:sz w:val="20"/>
        </w:rPr>
        <w:t xml:space="preserve">October 9, 2026 </w:t>
      </w:r>
    </w:p>
    <w:p>
      <w:pPr>
        <w:pStyle w:val="TextBody"/>
        <w:bidi w:val="0"/>
        <w:spacing w:before="0" w:after="0"/>
        <w:jc w:val="left"/>
        <w:rPr>
          <w:rFonts w:ascii="Times New Roman" w:hAnsi="Times New Roman"/>
          <w:sz w:val="20"/>
        </w:rPr>
      </w:pPr>
      <w:r>
        <w:rPr>
          <w:rFonts w:ascii="Times New Roman" w:hAnsi="Times New Roman"/>
          <w:sz w:val="20"/>
        </w:rPr>
        <w:t xml:space="preserve">Page 6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addition, in rendering the foregoing opinions we have also assumed that, at all applicable times: </w:t>
      </w:r>
    </w:p>
    <w:p>
      <w:pPr>
        <w:pStyle w:val="TextBody"/>
        <w:bidi w:val="0"/>
        <w:spacing w:before="120" w:after="0"/>
        <w:jc w:val="left"/>
        <w:rPr>
          <w:rFonts w:ascii="Times New Roman" w:hAnsi="Times New Roman"/>
          <w:sz w:val="20"/>
        </w:rPr>
      </w:pPr>
      <w:r>
        <w:rPr>
          <w:rFonts w:ascii="Times New Roman" w:hAnsi="Times New Roman"/>
          <w:sz w:val="20"/>
        </w:rPr>
        <w:t xml:space="preserve">(a) neither the execution and delivery by the Company of the Transaction Documents nor the performance by the Company of its obligations thereunder, including the issuance and sale of the Notes: (i) conflicted or will conflict with the Organizational Documents, (ii) constituted or will constitute a violation of, or a default under, any lease, indenture, agreement or other instrument to which the Company or its property is subject (except that we do not make the assumption set forth in this clause (ii) with respect to those agreements or instruments expressed to be governed by the laws of the State of New York which are listed in Part II of the Registration Statement or the Company’s Annual Report on Form 10-K for the year ended December 31, 2025, although we have assumed compliance with any covenant, restriction or provision with respect to financial ratios or tests or any aspect of the financial condition or results of operations of the Company contained in such agreements or instruments), (iii) contravened or will contravene any order or decree of any governmental authority to which the Company or its properties is subject, or (iv) violated or will violate any law, rule or regulation to which the Company or its properties is subject (except that we do not make the assumption set forth in this clause (iv) with respect to the Opined-on Law); and </w:t>
      </w:r>
    </w:p>
    <w:p>
      <w:pPr>
        <w:pStyle w:val="TextBody"/>
        <w:bidi w:val="0"/>
        <w:spacing w:before="240" w:after="0"/>
        <w:jc w:val="left"/>
        <w:rPr>
          <w:rFonts w:ascii="Times New Roman" w:hAnsi="Times New Roman"/>
          <w:sz w:val="20"/>
        </w:rPr>
      </w:pPr>
      <w:r>
        <w:rPr>
          <w:rFonts w:ascii="Times New Roman" w:hAnsi="Times New Roman"/>
          <w:sz w:val="20"/>
        </w:rPr>
        <w:t xml:space="preserve">(b) neither the execution and delivery by the Company of the Transaction Documents nor the performance by the Company of its obligations thereunder, including the issuance and sale of the Notes, required or will require the consent, approval, licensing or authorization of, or any filing, recording or registration with, any governmental authority under any law, rule or regulation of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shall be interpreted in accordance with customary practice of United States lawyers who regularly give opinions in transactions of this type.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reference to our firm under the heading “Legal Matters” in the Preliminary Prospectus and the Prospectus. In giving this consent, we do not thereby admit that we are within the category of persons whose consent is required under Section 7 of the Securities Act or the Rules and Regulations. We also hereby consent to the filing of this opinion letter with the Commission as an exhibit to the Company’s Current Report on Form 8-K being filed on the date hereof and incorporated by reference into the Registration Statement. This opinion letter is expressed as of the date hereof unless otherwise expressly stated, and we disclaim any undertaking to advise you of any subsequent changes in the facts stated or assumed herein or of any subsequent changes in applicable laws.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0"/>
              <w:jc w:val="center"/>
              <w:rPr>
                <w:rFonts w:ascii="Times New Roman" w:hAnsi="Times New Roman"/>
                <w:sz w:val="20"/>
              </w:rPr>
            </w:pPr>
            <w:r>
              <w:rPr>
                <w:rFonts w:ascii="Times New Roman" w:hAnsi="Times New Roman"/>
                <w:sz w:val="20"/>
              </w:rPr>
              <w:t>Very truly yours,</w:t>
            </w:r>
          </w:p>
        </w:tc>
      </w:tr>
      <w:tr>
        <w:trPr>
          <w:trHeight w:val="240" w:hRule="atLeast"/>
        </w:trPr>
        <w:tc>
          <w:tcPr>
            <w:tcW w:w="5103" w:type="dxa"/>
            <w:tcBorders/>
            <w:vAlign w:val="center"/>
          </w:tcPr>
          <w:p>
            <w:pPr>
              <w:pStyle w:val="TableContents"/>
              <w:bidi w:val="0"/>
              <w:spacing w:before="0" w:after="283"/>
              <w:jc w:val="left"/>
              <w:rPr>
                <w:sz w:val="4"/>
                <w:szCs w:val="4"/>
              </w:rPr>
            </w:pPr>
            <w:r>
              <w:rPr>
                <w:sz w:val="4"/>
                <w:szCs w:val="4"/>
              </w:rPr>
            </w:r>
          </w:p>
        </w:tc>
        <w:tc>
          <w:tcPr>
            <w:tcW w:w="5102" w:type="dxa"/>
            <w:gridSpan w:val="2"/>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0"/>
              <w:jc w:val="center"/>
              <w:rPr>
                <w:rFonts w:ascii="Times New Roman" w:hAnsi="Times New Roman"/>
                <w:sz w:val="20"/>
              </w:rPr>
            </w:pPr>
            <w:r>
              <w:rPr>
                <w:rFonts w:ascii="Times New Roman" w:hAnsi="Times New Roman"/>
                <w:sz w:val="20"/>
              </w:rPr>
              <w:t>/s/ Skadden, Arps, Slate, Meagher &amp; Flom LLP</w:t>
            </w:r>
          </w:p>
        </w:tc>
      </w:tr>
    </w:tbl>
    <w:p>
      <w:pPr>
        <w:pStyle w:val="TextBody"/>
        <w:bidi w:val="0"/>
        <w:spacing w:before="240" w:after="0"/>
        <w:jc w:val="left"/>
        <w:rPr>
          <w:rFonts w:ascii="Times New Roman" w:hAnsi="Times New Roman"/>
          <w:sz w:val="20"/>
        </w:rPr>
      </w:pPr>
      <w:r>
        <w:rPr>
          <w:rFonts w:ascii="Times New Roman" w:hAnsi="Times New Roman"/>
          <w:sz w:val="20"/>
        </w:rPr>
        <w:t xml:space="preserve">MJH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285</Pages>
  <Words>137955</Words>
  <Characters>718367</Characters>
  <CharactersWithSpaces>858575</CharactersWithSpaces>
  <Paragraphs>6762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EX-5.2</dc:title>
</cp:coreProperties>
</file>